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2B6" w:rsidRDefault="000F482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3662B6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3662B6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3662B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 FIDALIA, SME </w:t>
                                </w:r>
                              </w:sdtContent>
                            </w:sdt>
                            <w:r w:rsidR="003662B6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3662B6" w:rsidRDefault="003662B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 FIDALIA, SME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662B6" w:rsidRDefault="003662B6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662B6" w:rsidRDefault="003662B6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Default="00415DBD" w:rsidP="00415DBD"/>
    <w:p w:rsidR="00A311A0" w:rsidRDefault="00A311A0" w:rsidP="00415DBD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348"/>
        <w:gridCol w:w="5348"/>
      </w:tblGrid>
      <w:tr w:rsidR="00A311A0" w:rsidRPr="00781046" w:rsidTr="00056BA7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A0" w:rsidRPr="00781046" w:rsidRDefault="00A311A0" w:rsidP="00056BA7">
            <w:r w:rsidRPr="00781046">
              <w:rPr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A0" w:rsidRPr="00781046" w:rsidRDefault="00A311A0" w:rsidP="00056BA7">
            <w:r w:rsidRPr="00781046">
              <w:t>2</w:t>
            </w:r>
            <w:r>
              <w:t>1</w:t>
            </w:r>
            <w:r w:rsidRPr="00781046">
              <w:t>/04/2023</w:t>
            </w:r>
          </w:p>
          <w:p w:rsidR="00A311A0" w:rsidRPr="00781046" w:rsidRDefault="00A311A0" w:rsidP="00056BA7">
            <w:r w:rsidRPr="00781046">
              <w:t>Segunda revisión: 16/05/2023</w:t>
            </w:r>
          </w:p>
        </w:tc>
      </w:tr>
    </w:tbl>
    <w:p w:rsidR="00A311A0" w:rsidRPr="00B1184C" w:rsidRDefault="00A311A0" w:rsidP="00415DBD"/>
    <w:p w:rsidR="0082470D" w:rsidRPr="002D27E4" w:rsidRDefault="000F482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E15EC7">
        <w:trPr>
          <w:cantSplit/>
          <w:tblHeader/>
        </w:trPr>
        <w:tc>
          <w:tcPr>
            <w:tcW w:w="1668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996FD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996FD4" w:rsidRDefault="00A249BB" w:rsidP="00996FD4">
            <w:pPr>
              <w:pStyle w:val="Prrafodelista"/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996FD4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ha habilitado un acceso Transparencia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8918C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F65739" w:rsidRDefault="00A249BB" w:rsidP="00F65739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A5B1C">
            <w:pPr>
              <w:rPr>
                <w:sz w:val="18"/>
                <w:szCs w:val="18"/>
              </w:rPr>
            </w:pPr>
          </w:p>
        </w:tc>
      </w:tr>
      <w:tr w:rsidR="0092389F" w:rsidRPr="007465AA" w:rsidTr="0092389F">
        <w:tc>
          <w:tcPr>
            <w:tcW w:w="1668" w:type="dxa"/>
            <w:vMerge w:val="restart"/>
            <w:vAlign w:val="center"/>
          </w:tcPr>
          <w:p w:rsidR="0092389F" w:rsidRPr="00E07201" w:rsidRDefault="0092389F" w:rsidP="001521CD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528" w:type="dxa"/>
          </w:tcPr>
          <w:p w:rsidR="0092389F" w:rsidRPr="00505719" w:rsidRDefault="003662B6" w:rsidP="00923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Normativa aplicable: completar información</w:t>
            </w:r>
          </w:p>
        </w:tc>
        <w:tc>
          <w:tcPr>
            <w:tcW w:w="709" w:type="dxa"/>
          </w:tcPr>
          <w:p w:rsidR="0092389F" w:rsidRPr="00834161" w:rsidRDefault="0092389F" w:rsidP="00834161">
            <w:pPr>
              <w:pStyle w:val="Prrafodelista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Default="00834161" w:rsidP="003662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</w:t>
            </w:r>
            <w:r w:rsidR="003662B6">
              <w:rPr>
                <w:sz w:val="18"/>
                <w:szCs w:val="18"/>
              </w:rPr>
              <w:t>se publican los Estatutos de la sociedad</w:t>
            </w:r>
          </w:p>
        </w:tc>
      </w:tr>
      <w:tr w:rsidR="003662B6" w:rsidRPr="007465AA" w:rsidTr="0092389F">
        <w:tc>
          <w:tcPr>
            <w:tcW w:w="1668" w:type="dxa"/>
            <w:vMerge/>
            <w:vAlign w:val="center"/>
          </w:tcPr>
          <w:p w:rsidR="003662B6" w:rsidRPr="00E07201" w:rsidRDefault="003662B6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662B6" w:rsidRPr="003662B6" w:rsidRDefault="003662B6" w:rsidP="003662B6">
            <w:pPr>
              <w:rPr>
                <w:sz w:val="18"/>
                <w:szCs w:val="18"/>
              </w:rPr>
            </w:pPr>
            <w:r w:rsidRPr="003662B6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3662B6" w:rsidRPr="003662B6" w:rsidRDefault="003662B6" w:rsidP="003662B6">
            <w:p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3662B6" w:rsidRPr="003662B6" w:rsidRDefault="003662B6" w:rsidP="003662B6">
            <w:pPr>
              <w:rPr>
                <w:sz w:val="18"/>
                <w:szCs w:val="18"/>
              </w:rPr>
            </w:pPr>
            <w:r w:rsidRPr="003662B6">
              <w:rPr>
                <w:sz w:val="18"/>
                <w:szCs w:val="18"/>
              </w:rPr>
              <w:t>Si, se informa que se publicará información sobre los convenios cuando existan convenios vigentes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7465AA" w:rsidRDefault="0092389F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Subvenciones y ayudas públicas</w:t>
            </w:r>
          </w:p>
        </w:tc>
        <w:tc>
          <w:tcPr>
            <w:tcW w:w="709" w:type="dxa"/>
          </w:tcPr>
          <w:p w:rsidR="0092389F" w:rsidRPr="00505719" w:rsidRDefault="0092389F" w:rsidP="00505719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Default="0092389F" w:rsidP="00834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se informa de que </w:t>
            </w:r>
            <w:r w:rsidR="00834161">
              <w:rPr>
                <w:sz w:val="18"/>
                <w:szCs w:val="18"/>
              </w:rPr>
              <w:t xml:space="preserve">se publicará información cuando existan </w:t>
            </w:r>
            <w:r>
              <w:rPr>
                <w:sz w:val="18"/>
                <w:szCs w:val="18"/>
              </w:rPr>
              <w:t>subvenciones o ayudas públicas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7465AA" w:rsidRDefault="0092389F" w:rsidP="00A9411C">
            <w:pPr>
              <w:tabs>
                <w:tab w:val="left" w:pos="4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Presupuestos: </w:t>
            </w:r>
          </w:p>
        </w:tc>
        <w:tc>
          <w:tcPr>
            <w:tcW w:w="709" w:type="dxa"/>
          </w:tcPr>
          <w:p w:rsidR="0092389F" w:rsidRPr="00834161" w:rsidRDefault="0092389F" w:rsidP="00834161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Default="00834161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la página que abre el enlace presupuestos sólo publica la fecha de actualización de</w:t>
            </w:r>
            <w:r w:rsidR="003662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 información</w:t>
            </w:r>
          </w:p>
        </w:tc>
      </w:tr>
      <w:tr w:rsidR="0092389F" w:rsidRPr="007465AA" w:rsidTr="007465AA">
        <w:tc>
          <w:tcPr>
            <w:tcW w:w="1668" w:type="dxa"/>
            <w:vMerge/>
            <w:vAlign w:val="center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389F" w:rsidRPr="007465AA" w:rsidRDefault="0092389F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  <w:r>
              <w:rPr>
                <w:sz w:val="18"/>
                <w:szCs w:val="18"/>
              </w:rPr>
              <w:t>elaborados por el Tribunal de Cuentas</w:t>
            </w:r>
          </w:p>
        </w:tc>
        <w:tc>
          <w:tcPr>
            <w:tcW w:w="709" w:type="dxa"/>
          </w:tcPr>
          <w:p w:rsidR="0092389F" w:rsidRPr="0092389F" w:rsidRDefault="0092389F" w:rsidP="0092389F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92389F" w:rsidRPr="007465AA" w:rsidRDefault="0092389F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Se publican los informes de auditoría elaborados por una auditora independiente, pero no los del Tribunal de Cuentas que es a lo que se refiere el contenido material de esta obligación.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15E7D" w:rsidRDefault="00A249BB" w:rsidP="00885853">
            <w:pPr>
              <w:pStyle w:val="Prrafodelista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885853" w:rsidP="00834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834161">
              <w:rPr>
                <w:sz w:val="18"/>
                <w:szCs w:val="18"/>
              </w:rPr>
              <w:t>,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521C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3662B6" w:rsidP="00C163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BA4354" w:rsidRDefault="00834161" w:rsidP="00DF56A7">
      <w:pPr>
        <w:jc w:val="both"/>
      </w:pPr>
      <w:r>
        <w:lastRenderedPageBreak/>
        <w:t>FIDALIA</w:t>
      </w:r>
      <w:r w:rsidR="00281234">
        <w:t xml:space="preserve"> </w:t>
      </w:r>
      <w:r w:rsidR="008B6789">
        <w:t xml:space="preserve">ha aplicado </w:t>
      </w:r>
      <w:r w:rsidR="003662B6">
        <w:t>5</w:t>
      </w:r>
      <w:r w:rsidR="00663F4A">
        <w:t xml:space="preserve"> </w:t>
      </w:r>
      <w:r w:rsidR="008B6789">
        <w:t xml:space="preserve">de las </w:t>
      </w:r>
      <w:r w:rsidR="00A311A0">
        <w:t>7</w:t>
      </w:r>
      <w:r w:rsidR="006657D5">
        <w:t xml:space="preserve"> </w:t>
      </w:r>
      <w:r w:rsidR="008B6789">
        <w:t>recomendaciones derivadas de la evaluación 2022.</w:t>
      </w:r>
    </w:p>
    <w:p w:rsidR="00C1635D" w:rsidRDefault="00C1635D" w:rsidP="00DF56A7">
      <w:pPr>
        <w:jc w:val="both"/>
      </w:pPr>
    </w:p>
    <w:p w:rsidR="00C1635D" w:rsidRDefault="00C1635D" w:rsidP="00DF56A7">
      <w:pPr>
        <w:jc w:val="both"/>
      </w:pPr>
    </w:p>
    <w:p w:rsidR="00C1635D" w:rsidRDefault="00C1635D" w:rsidP="00DF56A7">
      <w:pPr>
        <w:jc w:val="both"/>
      </w:pPr>
    </w:p>
    <w:p w:rsidR="00C1635D" w:rsidRDefault="00C1635D" w:rsidP="00DF56A7">
      <w:pPr>
        <w:jc w:val="both"/>
      </w:pPr>
    </w:p>
    <w:p w:rsidR="00C1635D" w:rsidRDefault="00C1635D" w:rsidP="00DF56A7">
      <w:pPr>
        <w:jc w:val="both"/>
      </w:pPr>
    </w:p>
    <w:p w:rsidR="00FA5AFD" w:rsidRDefault="00FA5AFD" w:rsidP="00AC4A6F"/>
    <w:p w:rsidR="003F6EDC" w:rsidRPr="002D27E4" w:rsidRDefault="002D27E4" w:rsidP="00035DFF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662B6" w:rsidRPr="00F31BC3" w:rsidRDefault="003662B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3662B6" w:rsidRPr="00F31BC3" w:rsidRDefault="003662B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8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52F27" w:rsidRPr="00952F27" w:rsidTr="008D4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3662B6" w:rsidRPr="00952F27" w:rsidTr="00366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662B6" w:rsidRPr="00952F27" w:rsidRDefault="003662B6" w:rsidP="00952F27">
            <w:pPr>
              <w:spacing w:before="120" w:after="12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100,0</w:t>
            </w:r>
          </w:p>
        </w:tc>
      </w:tr>
      <w:tr w:rsidR="003662B6" w:rsidRPr="00952F27" w:rsidTr="003662B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662B6" w:rsidRPr="00952F27" w:rsidRDefault="003662B6" w:rsidP="00952F27">
            <w:pPr>
              <w:spacing w:before="120" w:after="120"/>
              <w:jc w:val="both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662B6">
              <w:rPr>
                <w:sz w:val="16"/>
              </w:rPr>
              <w:t>62,5</w:t>
            </w:r>
          </w:p>
        </w:tc>
      </w:tr>
      <w:tr w:rsidR="003662B6" w:rsidRPr="00952F27" w:rsidTr="00366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662B6" w:rsidRPr="00952F27" w:rsidRDefault="003662B6" w:rsidP="00952F27">
            <w:pPr>
              <w:spacing w:before="120" w:after="120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952F27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662B6">
              <w:rPr>
                <w:b/>
                <w:i/>
                <w:sz w:val="16"/>
              </w:rPr>
              <w:t>81,3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662B6">
              <w:rPr>
                <w:b/>
                <w:i/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662B6">
              <w:rPr>
                <w:b/>
                <w:i/>
                <w:sz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662B6">
              <w:rPr>
                <w:b/>
                <w:i/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662B6">
              <w:rPr>
                <w:b/>
                <w:i/>
                <w:sz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662B6">
              <w:rPr>
                <w:b/>
                <w:i/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662B6">
              <w:rPr>
                <w:b/>
                <w:i/>
                <w:sz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3662B6" w:rsidRPr="003662B6" w:rsidRDefault="003662B6" w:rsidP="00366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662B6">
              <w:rPr>
                <w:b/>
                <w:i/>
                <w:sz w:val="16"/>
              </w:rPr>
              <w:t>83,0</w:t>
            </w:r>
          </w:p>
        </w:tc>
      </w:tr>
    </w:tbl>
    <w:p w:rsidR="00100121" w:rsidRDefault="00100121" w:rsidP="00F05E2C">
      <w:pPr>
        <w:pStyle w:val="Cuerpodelboletn"/>
        <w:rPr>
          <w:lang w:bidi="es-ES"/>
        </w:rPr>
      </w:pPr>
    </w:p>
    <w:p w:rsidR="00952F27" w:rsidRDefault="004061BC" w:rsidP="00F05E2C">
      <w:pPr>
        <w:pStyle w:val="Cuerpodelboletn"/>
        <w:sectPr w:rsidR="00952F27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 w:rsidRPr="00952F27">
        <w:rPr>
          <w:lang w:bidi="es-ES"/>
        </w:rPr>
        <w:t xml:space="preserve">El Índice de Cumplimiento de la Información Obligatoria (ICIO) se sitúa en el </w:t>
      </w:r>
      <w:r w:rsidR="00A311A0">
        <w:rPr>
          <w:lang w:bidi="es-ES"/>
        </w:rPr>
        <w:t>83</w:t>
      </w:r>
      <w:r w:rsidRPr="00952F27">
        <w:rPr>
          <w:lang w:bidi="es-ES"/>
        </w:rPr>
        <w:t>%.</w:t>
      </w:r>
      <w:r w:rsidR="00BB3652" w:rsidRPr="00952F27">
        <w:rPr>
          <w:lang w:bidi="es-ES"/>
        </w:rPr>
        <w:t xml:space="preserve"> Respecto de 202</w:t>
      </w:r>
      <w:r w:rsidR="004413FC" w:rsidRPr="00952F27">
        <w:rPr>
          <w:lang w:bidi="es-ES"/>
        </w:rPr>
        <w:t>2</w:t>
      </w:r>
      <w:r w:rsidR="00BB3652" w:rsidRPr="00952F27">
        <w:rPr>
          <w:lang w:bidi="es-ES"/>
        </w:rPr>
        <w:t xml:space="preserve"> </w:t>
      </w:r>
      <w:r w:rsidR="00D95052" w:rsidRPr="00952F27">
        <w:rPr>
          <w:lang w:bidi="es-ES"/>
        </w:rPr>
        <w:t xml:space="preserve">este nivel de cumplimiento </w:t>
      </w:r>
      <w:r w:rsidR="00952F27">
        <w:rPr>
          <w:lang w:bidi="es-ES"/>
        </w:rPr>
        <w:t xml:space="preserve">se ha incrementado en </w:t>
      </w:r>
      <w:r w:rsidR="00A311A0">
        <w:rPr>
          <w:lang w:bidi="es-ES"/>
        </w:rPr>
        <w:t xml:space="preserve">20 </w:t>
      </w:r>
      <w:r w:rsidR="00952F27">
        <w:rPr>
          <w:lang w:bidi="es-ES"/>
        </w:rPr>
        <w:t xml:space="preserve"> puntos porcentuales, atribuibles a la aplicación de </w:t>
      </w:r>
      <w:r w:rsidR="003662B6">
        <w:rPr>
          <w:lang w:bidi="es-ES"/>
        </w:rPr>
        <w:t>5</w:t>
      </w:r>
      <w:r w:rsidR="005D03A1">
        <w:rPr>
          <w:lang w:bidi="es-ES"/>
        </w:rPr>
        <w:t xml:space="preserve"> </w:t>
      </w:r>
      <w:r w:rsidR="00952F27">
        <w:rPr>
          <w:lang w:bidi="es-ES"/>
        </w:rPr>
        <w:t xml:space="preserve">recomendaciones derivadas de la evaluación 2022. </w:t>
      </w: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5D03A1" w:rsidRDefault="004349B8" w:rsidP="005D03A1">
      <w:pPr>
        <w:pStyle w:val="Cuerpodelboletn"/>
      </w:pPr>
      <w:r>
        <w:t>Aunque e</w:t>
      </w:r>
      <w:r w:rsidR="004413FC" w:rsidRPr="008D4E50">
        <w:t xml:space="preserve">ste CTBG </w:t>
      </w:r>
      <w:r w:rsidR="004413FC" w:rsidRPr="008D4E50">
        <w:rPr>
          <w:b/>
        </w:rPr>
        <w:t xml:space="preserve">valora </w:t>
      </w:r>
      <w:r w:rsidR="005D03A1">
        <w:rPr>
          <w:b/>
        </w:rPr>
        <w:t xml:space="preserve">muy </w:t>
      </w:r>
      <w:r w:rsidR="008D4E50">
        <w:rPr>
          <w:b/>
        </w:rPr>
        <w:t>positivamente</w:t>
      </w:r>
      <w:r w:rsidR="004413FC" w:rsidRPr="008D4E50">
        <w:t xml:space="preserve"> </w:t>
      </w:r>
      <w:r>
        <w:t>el esfuerzo</w:t>
      </w:r>
      <w:r w:rsidR="004413FC" w:rsidRPr="008D4E50">
        <w:t xml:space="preserve"> </w:t>
      </w:r>
      <w:r w:rsidR="003F3C0C">
        <w:t xml:space="preserve">realizado por </w:t>
      </w:r>
      <w:r w:rsidR="00FA2331">
        <w:t xml:space="preserve"> </w:t>
      </w:r>
      <w:r w:rsidR="00B947E7">
        <w:t>FIDALIA</w:t>
      </w:r>
      <w:r w:rsidR="00FA2331">
        <w:t xml:space="preserve">, </w:t>
      </w:r>
      <w:r w:rsidR="003F3C0C">
        <w:t>para</w:t>
      </w:r>
      <w:r>
        <w:t xml:space="preserve"> mejorar su Índice de Cumplimiento</w:t>
      </w:r>
      <w:r w:rsidR="00FA2331">
        <w:t xml:space="preserve">- </w:t>
      </w:r>
      <w:r>
        <w:t xml:space="preserve">lo que se ha reflejado en un incremento de </w:t>
      </w:r>
      <w:r w:rsidR="00B947E7">
        <w:t xml:space="preserve">Índice </w:t>
      </w:r>
      <w:r>
        <w:t xml:space="preserve">este </w:t>
      </w:r>
      <w:r w:rsidR="00B947E7">
        <w:t xml:space="preserve">en el </w:t>
      </w:r>
      <w:r w:rsidR="00A311A0">
        <w:t>31,7</w:t>
      </w:r>
      <w:r w:rsidR="00FA2331">
        <w:t xml:space="preserve">% </w:t>
      </w:r>
      <w:r>
        <w:t>como consecuencia de la aplicación</w:t>
      </w:r>
      <w:r w:rsidR="009E1DDF" w:rsidRPr="008D4E50">
        <w:t xml:space="preserve"> </w:t>
      </w:r>
      <w:r>
        <w:t>d</w:t>
      </w:r>
      <w:r w:rsidR="005D03A1">
        <w:t xml:space="preserve">el </w:t>
      </w:r>
      <w:r w:rsidR="003662B6">
        <w:t>71,4</w:t>
      </w:r>
      <w:r w:rsidR="00FA2331">
        <w:t>% d</w:t>
      </w:r>
      <w:r w:rsidR="004413FC" w:rsidRPr="008D4E50">
        <w:t>e las recomendaciones derivadas de la evaluación realizada en 202</w:t>
      </w:r>
      <w:r w:rsidR="00117FA9" w:rsidRPr="008D4E50">
        <w:t>2</w:t>
      </w:r>
      <w:r>
        <w:t xml:space="preserve"> -</w:t>
      </w:r>
      <w:r w:rsidR="003F3C0C">
        <w:t>,</w:t>
      </w:r>
      <w:r w:rsidR="005D03A1">
        <w:t xml:space="preserve"> </w:t>
      </w:r>
      <w:r w:rsidR="003F3C0C">
        <w:t>t</w:t>
      </w:r>
      <w:r>
        <w:t>odavía</w:t>
      </w:r>
      <w:r w:rsidR="005D03A1">
        <w:t xml:space="preserve"> existe margen de mejora en el cumplimiento de las obligaciones de publicidad activa por parte de </w:t>
      </w:r>
      <w:r w:rsidR="00B947E7">
        <w:t>FIDALIA</w:t>
      </w:r>
      <w:r w:rsidR="005D03A1">
        <w:t>.</w:t>
      </w:r>
      <w:r w:rsidR="00880290" w:rsidRPr="008D4E50">
        <w:t xml:space="preserve"> </w:t>
      </w:r>
    </w:p>
    <w:p w:rsidR="004413FC" w:rsidRDefault="004413FC" w:rsidP="005D03A1">
      <w:pPr>
        <w:pStyle w:val="Cuerpodelboletn"/>
      </w:pPr>
      <w:r w:rsidRPr="00A670E9">
        <w:t xml:space="preserve">Respecto de la publicación de contenidos, </w:t>
      </w:r>
      <w:r>
        <w:t>sigue sin publicarse:</w:t>
      </w:r>
    </w:p>
    <w:p w:rsidR="003F3C0C" w:rsidRDefault="00B947E7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presupuestos</w:t>
      </w:r>
    </w:p>
    <w:p w:rsidR="003F3C0C" w:rsidRDefault="003F3C0C" w:rsidP="003F3C0C">
      <w:pPr>
        <w:pStyle w:val="Prrafodelista"/>
      </w:pPr>
    </w:p>
    <w:p w:rsidR="003F3C0C" w:rsidRDefault="003F3C0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Finamente, en relación con la obligación informes de auditoría y fiscalización elaborados por órganos de control externo,  no se publican los informes realizados por el Tribunal de Cuentas</w:t>
      </w:r>
      <w:r w:rsidR="002658EB">
        <w:rPr>
          <w:rFonts w:ascii="Century Gothic" w:hAnsi="Century Gothic"/>
        </w:rPr>
        <w:t xml:space="preserve"> – que es a lo que se refiere esta obligación-</w:t>
      </w:r>
      <w:r>
        <w:rPr>
          <w:rFonts w:ascii="Century Gothic" w:hAnsi="Century Gothic"/>
        </w:rPr>
        <w:t>, ni se informa, si este es el caso, sobre su inexistencia.</w:t>
      </w:r>
    </w:p>
    <w:p w:rsidR="00A311A0" w:rsidRDefault="00A311A0" w:rsidP="00A311A0">
      <w:pPr>
        <w:pStyle w:val="Prrafodelista"/>
      </w:pPr>
    </w:p>
    <w:p w:rsidR="00A311A0" w:rsidRPr="00A311A0" w:rsidRDefault="00A311A0" w:rsidP="00A311A0">
      <w:pPr>
        <w:pStyle w:val="Prrafodelista"/>
        <w:numPr>
          <w:ilvl w:val="0"/>
          <w:numId w:val="20"/>
        </w:numPr>
        <w:spacing w:line="276" w:lineRule="auto"/>
        <w:jc w:val="both"/>
        <w:rPr>
          <w:szCs w:val="22"/>
        </w:rPr>
      </w:pPr>
      <w:r w:rsidRPr="00A311A0">
        <w:rPr>
          <w:szCs w:val="22"/>
        </w:rPr>
        <w:t>Una cuestión adicional res</w:t>
      </w:r>
      <w:bookmarkStart w:id="0" w:name="_GoBack"/>
      <w:bookmarkEnd w:id="0"/>
      <w:r w:rsidRPr="00A311A0">
        <w:rPr>
          <w:szCs w:val="22"/>
        </w:rPr>
        <w:t xml:space="preserve">pecto de la información sobre contratos, es que la Ley 14/2022, de modificación de la Ley 19/2013, impone una nueva información obligatoria en esta materia. A partir de julio de 2023, será obligatorio publicar </w:t>
      </w:r>
      <w:r w:rsidRPr="00A311A0">
        <w:rPr>
          <w:szCs w:val="22"/>
        </w:rPr>
        <w:lastRenderedPageBreak/>
        <w:t>semestralmente “información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público”.</w:t>
      </w:r>
    </w:p>
    <w:p w:rsidR="00A311A0" w:rsidRDefault="00A311A0" w:rsidP="00A311A0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E15EC7" w:rsidRDefault="00E15EC7" w:rsidP="00E15EC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3662B6">
        <w:rPr>
          <w:rFonts w:ascii="Century Gothic" w:hAnsi="Century Gothic"/>
        </w:rPr>
        <w:t>mayo</w:t>
      </w:r>
      <w:r>
        <w:rPr>
          <w:rFonts w:ascii="Century Gothic" w:hAnsi="Century Gothic"/>
        </w:rPr>
        <w:t xml:space="preserve">  de 2023</w:t>
      </w:r>
    </w:p>
    <w:p w:rsidR="00C259F4" w:rsidRDefault="00C259F4" w:rsidP="00965C69">
      <w:pPr>
        <w:pStyle w:val="Cuerpodelboletn"/>
      </w:pPr>
    </w:p>
    <w:p w:rsidR="003F3C0C" w:rsidRDefault="003F3C0C">
      <w:pPr>
        <w:rPr>
          <w:color w:val="000000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662B6" w:rsidRPr="00F31BC3" w:rsidRDefault="003662B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3662B6" w:rsidRPr="00F31BC3" w:rsidRDefault="003662B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56C0088" wp14:editId="2B5D52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6236A1D" wp14:editId="07AABC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662B6" w:rsidRPr="00F31BC3" w:rsidRDefault="003662B6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A9B11E" wp14:editId="73FCC9ED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3662B6" w:rsidRPr="00F31BC3" w:rsidRDefault="003662B6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A9B11E" wp14:editId="73FCC9ED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B6" w:rsidRDefault="003662B6" w:rsidP="00F31BC3">
      <w:r>
        <w:separator/>
      </w:r>
    </w:p>
  </w:endnote>
  <w:endnote w:type="continuationSeparator" w:id="0">
    <w:p w:rsidR="003662B6" w:rsidRDefault="003662B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B6" w:rsidRDefault="003662B6" w:rsidP="00F31BC3">
      <w:r>
        <w:separator/>
      </w:r>
    </w:p>
  </w:footnote>
  <w:footnote w:type="continuationSeparator" w:id="0">
    <w:p w:rsidR="003662B6" w:rsidRDefault="003662B6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2" type="#_x0000_t75" style="width:9pt;height:9pt" o:bullet="t">
        <v:imagedata r:id="rId1" o:title="BD14533_"/>
      </v:shape>
    </w:pict>
  </w:numPicBullet>
  <w:abstractNum w:abstractNumId="0">
    <w:nsid w:val="00F2018A"/>
    <w:multiLevelType w:val="hybridMultilevel"/>
    <w:tmpl w:val="61568E7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C2F4B"/>
    <w:multiLevelType w:val="hybridMultilevel"/>
    <w:tmpl w:val="EFDC893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>
    <w:nsid w:val="3958145F"/>
    <w:multiLevelType w:val="hybridMultilevel"/>
    <w:tmpl w:val="A49C90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C3EA5"/>
    <w:multiLevelType w:val="hybridMultilevel"/>
    <w:tmpl w:val="E258F37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27BF7"/>
    <w:multiLevelType w:val="hybridMultilevel"/>
    <w:tmpl w:val="74F2EE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87A05"/>
    <w:multiLevelType w:val="hybridMultilevel"/>
    <w:tmpl w:val="B7F4B47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C22FA"/>
    <w:multiLevelType w:val="hybridMultilevel"/>
    <w:tmpl w:val="837A472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F6C9A"/>
    <w:multiLevelType w:val="hybridMultilevel"/>
    <w:tmpl w:val="A8D8E2A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BE70F7"/>
    <w:multiLevelType w:val="hybridMultilevel"/>
    <w:tmpl w:val="37CA9AD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1"/>
  </w:num>
  <w:num w:numId="5">
    <w:abstractNumId w:val="22"/>
  </w:num>
  <w:num w:numId="6">
    <w:abstractNumId w:val="24"/>
  </w:num>
  <w:num w:numId="7">
    <w:abstractNumId w:val="19"/>
  </w:num>
  <w:num w:numId="8">
    <w:abstractNumId w:val="2"/>
  </w:num>
  <w:num w:numId="9">
    <w:abstractNumId w:val="5"/>
  </w:num>
  <w:num w:numId="10">
    <w:abstractNumId w:val="4"/>
  </w:num>
  <w:num w:numId="11">
    <w:abstractNumId w:val="26"/>
  </w:num>
  <w:num w:numId="12">
    <w:abstractNumId w:val="18"/>
  </w:num>
  <w:num w:numId="13">
    <w:abstractNumId w:val="10"/>
  </w:num>
  <w:num w:numId="14">
    <w:abstractNumId w:val="28"/>
  </w:num>
  <w:num w:numId="15">
    <w:abstractNumId w:val="3"/>
  </w:num>
  <w:num w:numId="16">
    <w:abstractNumId w:val="30"/>
  </w:num>
  <w:num w:numId="17">
    <w:abstractNumId w:val="15"/>
  </w:num>
  <w:num w:numId="18">
    <w:abstractNumId w:val="9"/>
  </w:num>
  <w:num w:numId="19">
    <w:abstractNumId w:val="8"/>
  </w:num>
  <w:num w:numId="20">
    <w:abstractNumId w:val="23"/>
  </w:num>
  <w:num w:numId="21">
    <w:abstractNumId w:val="6"/>
  </w:num>
  <w:num w:numId="22">
    <w:abstractNumId w:val="7"/>
  </w:num>
  <w:num w:numId="23">
    <w:abstractNumId w:val="16"/>
  </w:num>
  <w:num w:numId="24">
    <w:abstractNumId w:val="14"/>
  </w:num>
  <w:num w:numId="25">
    <w:abstractNumId w:val="21"/>
  </w:num>
  <w:num w:numId="26">
    <w:abstractNumId w:val="20"/>
  </w:num>
  <w:num w:numId="27">
    <w:abstractNumId w:val="27"/>
  </w:num>
  <w:num w:numId="28">
    <w:abstractNumId w:val="12"/>
  </w:num>
  <w:num w:numId="29">
    <w:abstractNumId w:val="0"/>
  </w:num>
  <w:num w:numId="30">
    <w:abstractNumId w:val="1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5429"/>
    <w:rsid w:val="00032D8A"/>
    <w:rsid w:val="00035DFF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27CF"/>
    <w:rsid w:val="000F4820"/>
    <w:rsid w:val="00100121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6C4D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AE5"/>
    <w:rsid w:val="0021682B"/>
    <w:rsid w:val="00231D61"/>
    <w:rsid w:val="00243294"/>
    <w:rsid w:val="00244EDA"/>
    <w:rsid w:val="002467FA"/>
    <w:rsid w:val="00250846"/>
    <w:rsid w:val="00263F79"/>
    <w:rsid w:val="002658EB"/>
    <w:rsid w:val="00281234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662B6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3C0C"/>
    <w:rsid w:val="003F4DDD"/>
    <w:rsid w:val="003F6EDC"/>
    <w:rsid w:val="00401F45"/>
    <w:rsid w:val="004061BC"/>
    <w:rsid w:val="00415DBD"/>
    <w:rsid w:val="00422B18"/>
    <w:rsid w:val="004349B8"/>
    <w:rsid w:val="004413FC"/>
    <w:rsid w:val="004720A5"/>
    <w:rsid w:val="004724E2"/>
    <w:rsid w:val="0047735C"/>
    <w:rsid w:val="004859CC"/>
    <w:rsid w:val="004A1663"/>
    <w:rsid w:val="004C17FC"/>
    <w:rsid w:val="004C6440"/>
    <w:rsid w:val="004D1FFB"/>
    <w:rsid w:val="004D4B3E"/>
    <w:rsid w:val="004D50CC"/>
    <w:rsid w:val="004D6B23"/>
    <w:rsid w:val="004D7037"/>
    <w:rsid w:val="004E09F9"/>
    <w:rsid w:val="004E7B33"/>
    <w:rsid w:val="00505719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D03A1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63F4A"/>
    <w:rsid w:val="006657D5"/>
    <w:rsid w:val="0069673B"/>
    <w:rsid w:val="006A5B1C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ECD"/>
    <w:rsid w:val="00714C54"/>
    <w:rsid w:val="00715E7D"/>
    <w:rsid w:val="00717272"/>
    <w:rsid w:val="0073626B"/>
    <w:rsid w:val="007465AA"/>
    <w:rsid w:val="00751FAA"/>
    <w:rsid w:val="00752C6B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4161"/>
    <w:rsid w:val="00836976"/>
    <w:rsid w:val="008514EC"/>
    <w:rsid w:val="00853CB9"/>
    <w:rsid w:val="00857C55"/>
    <w:rsid w:val="00865E5A"/>
    <w:rsid w:val="00880290"/>
    <w:rsid w:val="00882A5B"/>
    <w:rsid w:val="00885853"/>
    <w:rsid w:val="008918C3"/>
    <w:rsid w:val="00891E6F"/>
    <w:rsid w:val="00894358"/>
    <w:rsid w:val="0089455A"/>
    <w:rsid w:val="00897D04"/>
    <w:rsid w:val="008A5AAE"/>
    <w:rsid w:val="008B032F"/>
    <w:rsid w:val="008B6789"/>
    <w:rsid w:val="008D4E50"/>
    <w:rsid w:val="008D6E75"/>
    <w:rsid w:val="008F2EF6"/>
    <w:rsid w:val="008F57BE"/>
    <w:rsid w:val="00902A71"/>
    <w:rsid w:val="009039FD"/>
    <w:rsid w:val="00903FE0"/>
    <w:rsid w:val="00912DB4"/>
    <w:rsid w:val="0092389F"/>
    <w:rsid w:val="00947271"/>
    <w:rsid w:val="00952F27"/>
    <w:rsid w:val="009654DA"/>
    <w:rsid w:val="00965C69"/>
    <w:rsid w:val="00972AA8"/>
    <w:rsid w:val="00982299"/>
    <w:rsid w:val="00991EBF"/>
    <w:rsid w:val="00996FD4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311A0"/>
    <w:rsid w:val="00A51AAD"/>
    <w:rsid w:val="00A670E9"/>
    <w:rsid w:val="00A82709"/>
    <w:rsid w:val="00A9411C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084E"/>
    <w:rsid w:val="00B77C12"/>
    <w:rsid w:val="00B85EA1"/>
    <w:rsid w:val="00B87734"/>
    <w:rsid w:val="00B947E7"/>
    <w:rsid w:val="00BA03C4"/>
    <w:rsid w:val="00BA14E6"/>
    <w:rsid w:val="00BA3611"/>
    <w:rsid w:val="00BA4354"/>
    <w:rsid w:val="00BA5833"/>
    <w:rsid w:val="00BB2529"/>
    <w:rsid w:val="00BB3652"/>
    <w:rsid w:val="00BC61D1"/>
    <w:rsid w:val="00BC748E"/>
    <w:rsid w:val="00BD17A4"/>
    <w:rsid w:val="00BD18E4"/>
    <w:rsid w:val="00BD1E44"/>
    <w:rsid w:val="00BD2172"/>
    <w:rsid w:val="00BD2842"/>
    <w:rsid w:val="00C02953"/>
    <w:rsid w:val="00C1049E"/>
    <w:rsid w:val="00C1290B"/>
    <w:rsid w:val="00C1635D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E29DF"/>
    <w:rsid w:val="00CF21EB"/>
    <w:rsid w:val="00CF5B92"/>
    <w:rsid w:val="00D014E1"/>
    <w:rsid w:val="00D01CA1"/>
    <w:rsid w:val="00D1453D"/>
    <w:rsid w:val="00D249E6"/>
    <w:rsid w:val="00D313C7"/>
    <w:rsid w:val="00D41F4C"/>
    <w:rsid w:val="00D44BCF"/>
    <w:rsid w:val="00D45F5C"/>
    <w:rsid w:val="00D520C8"/>
    <w:rsid w:val="00D70570"/>
    <w:rsid w:val="00D848CC"/>
    <w:rsid w:val="00D9090A"/>
    <w:rsid w:val="00D95052"/>
    <w:rsid w:val="00D96084"/>
    <w:rsid w:val="00DA6660"/>
    <w:rsid w:val="00DC5B52"/>
    <w:rsid w:val="00DC6B31"/>
    <w:rsid w:val="00DD515F"/>
    <w:rsid w:val="00DF25D7"/>
    <w:rsid w:val="00DF54AF"/>
    <w:rsid w:val="00DF555F"/>
    <w:rsid w:val="00DF56A7"/>
    <w:rsid w:val="00E023B5"/>
    <w:rsid w:val="00E07201"/>
    <w:rsid w:val="00E11FBC"/>
    <w:rsid w:val="00E12CB4"/>
    <w:rsid w:val="00E15EC7"/>
    <w:rsid w:val="00E17DF6"/>
    <w:rsid w:val="00E33169"/>
    <w:rsid w:val="00E4458C"/>
    <w:rsid w:val="00E51AC4"/>
    <w:rsid w:val="00E61D77"/>
    <w:rsid w:val="00E6528C"/>
    <w:rsid w:val="00E73F4D"/>
    <w:rsid w:val="00E83650"/>
    <w:rsid w:val="00EA39D7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5739"/>
    <w:rsid w:val="00F7274D"/>
    <w:rsid w:val="00F81A18"/>
    <w:rsid w:val="00F95333"/>
    <w:rsid w:val="00FA0C58"/>
    <w:rsid w:val="00FA11BE"/>
    <w:rsid w:val="00FA1911"/>
    <w:rsid w:val="00FA2331"/>
    <w:rsid w:val="00FA5997"/>
    <w:rsid w:val="00FA5AFD"/>
    <w:rsid w:val="00FB5F9E"/>
    <w:rsid w:val="00FC4E74"/>
    <w:rsid w:val="00FD4E10"/>
    <w:rsid w:val="00FE2187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663F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7">
    <w:name w:val="Sombreado medio 2 - Énfasis 37"/>
    <w:basedOn w:val="Tablanormal"/>
    <w:next w:val="Sombreadomedio2-nfasis3"/>
    <w:uiPriority w:val="64"/>
    <w:rsid w:val="00972A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8">
    <w:name w:val="Sombreado medio 2 - Énfasis 38"/>
    <w:basedOn w:val="Tablanormal"/>
    <w:next w:val="Sombreadomedio2-nfasis3"/>
    <w:uiPriority w:val="64"/>
    <w:rsid w:val="00952F2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A311A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663F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7">
    <w:name w:val="Sombreado medio 2 - Énfasis 37"/>
    <w:basedOn w:val="Tablanormal"/>
    <w:next w:val="Sombreadomedio2-nfasis3"/>
    <w:uiPriority w:val="64"/>
    <w:rsid w:val="00972A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8">
    <w:name w:val="Sombreado medio 2 - Énfasis 38"/>
    <w:basedOn w:val="Tablanormal"/>
    <w:next w:val="Sombreadomedio2-nfasis3"/>
    <w:uiPriority w:val="64"/>
    <w:rsid w:val="00952F2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A311A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15CB"/>
    <w:rsid w:val="000E6A8D"/>
    <w:rsid w:val="0015011A"/>
    <w:rsid w:val="00202DDA"/>
    <w:rsid w:val="002C7DC1"/>
    <w:rsid w:val="00443EA4"/>
    <w:rsid w:val="0051307B"/>
    <w:rsid w:val="00583D19"/>
    <w:rsid w:val="00722728"/>
    <w:rsid w:val="00787EBD"/>
    <w:rsid w:val="007C3485"/>
    <w:rsid w:val="008E118A"/>
    <w:rsid w:val="00A104A7"/>
    <w:rsid w:val="00A46AF5"/>
    <w:rsid w:val="00AB484A"/>
    <w:rsid w:val="00B54AE5"/>
    <w:rsid w:val="00C32372"/>
    <w:rsid w:val="00D052D1"/>
    <w:rsid w:val="00DA008C"/>
    <w:rsid w:val="00DC78EE"/>
    <w:rsid w:val="00DE3DE6"/>
    <w:rsid w:val="00EA0738"/>
    <w:rsid w:val="00EB2177"/>
    <w:rsid w:val="00EC3F90"/>
    <w:rsid w:val="00EF5732"/>
    <w:rsid w:val="00F0267E"/>
    <w:rsid w:val="00F4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873beb7-5857-4685-be1f-d57550cc96c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FA1FDE-C386-444D-9D41-0709C4ED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883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2023-06-02T08:37:00Z</dcterms:created>
  <dcterms:modified xsi:type="dcterms:W3CDTF">2023-06-02T08:37:00Z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