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052" w:rsidRDefault="00DB7D0F"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D95052" w:rsidRPr="007F1D56">
                                  <w:rPr>
                                    <w:rFonts w:ascii="Century Gothic" w:hAnsi="Century Gothic"/>
                                    <w:sz w:val="40"/>
                                    <w:szCs w:val="40"/>
                                  </w:rPr>
                                  <w:t>Informe de r</w:t>
                                </w:r>
                                <w:r w:rsidR="00D95052" w:rsidRPr="007F1D56">
                                  <w:rPr>
                                    <w:rFonts w:ascii="Century Gothic" w:hAnsi="Century Gothic"/>
                                    <w:sz w:val="40"/>
                                    <w:szCs w:val="40"/>
                                    <w:lang w:bidi="es-ES"/>
                                  </w:rPr>
                                  <w:t xml:space="preserve">evisión  del cumplimiento de las recomendaciones efectuadas por el CTBG en materia de Publicidad Activa  por parte </w:t>
                                </w:r>
                                <w:r w:rsidR="00D95052">
                                  <w:rPr>
                                    <w:rFonts w:ascii="Century Gothic" w:hAnsi="Century Gothic"/>
                                    <w:sz w:val="40"/>
                                    <w:szCs w:val="40"/>
                                    <w:lang w:bidi="es-ES"/>
                                  </w:rPr>
                                  <w:t xml:space="preserve">del INIA </w:t>
                                </w:r>
                              </w:sdtContent>
                            </w:sdt>
                            <w:r w:rsidR="00D95052"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D95052" w:rsidRDefault="00DB7D0F"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D95052" w:rsidRPr="007F1D56">
                            <w:rPr>
                              <w:rFonts w:ascii="Century Gothic" w:hAnsi="Century Gothic"/>
                              <w:sz w:val="40"/>
                              <w:szCs w:val="40"/>
                            </w:rPr>
                            <w:t>Informe de r</w:t>
                          </w:r>
                          <w:r w:rsidR="00D95052" w:rsidRPr="007F1D56">
                            <w:rPr>
                              <w:rFonts w:ascii="Century Gothic" w:hAnsi="Century Gothic"/>
                              <w:sz w:val="40"/>
                              <w:szCs w:val="40"/>
                              <w:lang w:bidi="es-ES"/>
                            </w:rPr>
                            <w:t xml:space="preserve">evisión  del cumplimiento de las recomendaciones efectuadas por el CTBG en materia de Publicidad Activa  por parte </w:t>
                          </w:r>
                          <w:r w:rsidR="00D95052">
                            <w:rPr>
                              <w:rFonts w:ascii="Century Gothic" w:hAnsi="Century Gothic"/>
                              <w:sz w:val="40"/>
                              <w:szCs w:val="40"/>
                              <w:lang w:bidi="es-ES"/>
                            </w:rPr>
                            <w:t xml:space="preserve">del INIA </w:t>
                          </w:r>
                        </w:sdtContent>
                      </w:sdt>
                      <w:r w:rsidR="00D95052"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D95052" w:rsidRDefault="00D95052"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D95052" w:rsidRDefault="00D95052"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DB7D0F" w:rsidRDefault="00DB7D0F" w:rsidP="00415DBD">
      <w:pPr>
        <w:spacing w:before="120" w:after="120" w:line="312" w:lineRule="auto"/>
        <w:ind w:right="-2"/>
        <w:jc w:val="both"/>
        <w:rPr>
          <w:rFonts w:cs="Arial"/>
          <w:szCs w:val="22"/>
        </w:rPr>
      </w:pPr>
    </w:p>
    <w:tbl>
      <w:tblPr>
        <w:tblStyle w:val="Tablaconcuadrcula1"/>
        <w:tblW w:w="0" w:type="auto"/>
        <w:tblInd w:w="0" w:type="dxa"/>
        <w:tblLook w:val="04A0" w:firstRow="1" w:lastRow="0" w:firstColumn="1" w:lastColumn="0" w:noHBand="0" w:noVBand="1"/>
      </w:tblPr>
      <w:tblGrid>
        <w:gridCol w:w="5348"/>
        <w:gridCol w:w="5348"/>
      </w:tblGrid>
      <w:tr w:rsidR="00DB7D0F" w:rsidRPr="00DB7D0F" w:rsidTr="00DB7D0F">
        <w:tc>
          <w:tcPr>
            <w:tcW w:w="5348" w:type="dxa"/>
            <w:tcBorders>
              <w:top w:val="single" w:sz="4" w:space="0" w:color="auto"/>
              <w:left w:val="single" w:sz="4" w:space="0" w:color="auto"/>
              <w:bottom w:val="single" w:sz="4" w:space="0" w:color="auto"/>
              <w:right w:val="single" w:sz="4" w:space="0" w:color="auto"/>
            </w:tcBorders>
            <w:hideMark/>
          </w:tcPr>
          <w:p w:rsidR="00DB7D0F" w:rsidRPr="00DB7D0F" w:rsidRDefault="00DB7D0F" w:rsidP="00DB7D0F">
            <w:r w:rsidRPr="00DB7D0F">
              <w:rPr>
                <w:b/>
                <w:color w:val="50866C"/>
                <w:szCs w:val="30"/>
                <w:lang w:bidi="es-ES"/>
              </w:rPr>
              <w:t>Fecha de la evaluación</w:t>
            </w:r>
          </w:p>
        </w:tc>
        <w:tc>
          <w:tcPr>
            <w:tcW w:w="5348" w:type="dxa"/>
            <w:tcBorders>
              <w:top w:val="single" w:sz="4" w:space="0" w:color="auto"/>
              <w:left w:val="single" w:sz="4" w:space="0" w:color="auto"/>
              <w:bottom w:val="single" w:sz="4" w:space="0" w:color="auto"/>
              <w:right w:val="single" w:sz="4" w:space="0" w:color="auto"/>
            </w:tcBorders>
            <w:hideMark/>
          </w:tcPr>
          <w:p w:rsidR="00DB7D0F" w:rsidRPr="00DB7D0F" w:rsidRDefault="00DB7D0F" w:rsidP="00DB7D0F">
            <w:r w:rsidRPr="00DB7D0F">
              <w:t>20/04/2023</w:t>
            </w:r>
          </w:p>
          <w:p w:rsidR="00DB7D0F" w:rsidRPr="00DB7D0F" w:rsidRDefault="00DB7D0F" w:rsidP="00DB7D0F">
            <w:r w:rsidRPr="00DB7D0F">
              <w:t>Segunda revisión: 16/05/2023</w:t>
            </w:r>
          </w:p>
        </w:tc>
      </w:tr>
    </w:tbl>
    <w:p w:rsidR="00DB7D0F" w:rsidRDefault="00DB7D0F" w:rsidP="00415DBD">
      <w:pPr>
        <w:spacing w:before="120" w:after="120" w:line="312" w:lineRule="auto"/>
        <w:ind w:right="-2"/>
        <w:jc w:val="both"/>
        <w:rPr>
          <w:rFonts w:cs="Arial"/>
          <w:szCs w:val="22"/>
        </w:rPr>
        <w:sectPr w:rsidR="00DB7D0F" w:rsidSect="00F31BC3">
          <w:pgSz w:w="11906" w:h="16838" w:code="9"/>
          <w:pgMar w:top="1440" w:right="630" w:bottom="1440" w:left="720" w:header="720" w:footer="720" w:gutter="0"/>
          <w:cols w:space="720"/>
          <w:docGrid w:linePitch="326"/>
        </w:sectPr>
      </w:pPr>
      <w:bookmarkStart w:id="0" w:name="_GoBack"/>
      <w:bookmarkEnd w:id="0"/>
    </w:p>
    <w:p w:rsidR="00415DBD" w:rsidRPr="00B1184C" w:rsidRDefault="00415DBD" w:rsidP="00415DBD"/>
    <w:p w:rsidR="0082470D" w:rsidRPr="002D27E4" w:rsidRDefault="00DB7D0F"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E15EC7">
        <w:trPr>
          <w:cantSplit/>
          <w:tblHeader/>
        </w:trPr>
        <w:tc>
          <w:tcPr>
            <w:tcW w:w="1668"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1521CD">
            <w:pPr>
              <w:rPr>
                <w:sz w:val="18"/>
                <w:szCs w:val="18"/>
              </w:rPr>
            </w:pPr>
            <w:r w:rsidRPr="007465AA">
              <w:rPr>
                <w:sz w:val="18"/>
                <w:szCs w:val="18"/>
              </w:rPr>
              <w:t>Localización y estructuración de la Información</w:t>
            </w:r>
          </w:p>
        </w:tc>
        <w:tc>
          <w:tcPr>
            <w:tcW w:w="5528" w:type="dxa"/>
          </w:tcPr>
          <w:p w:rsidR="00A249BB" w:rsidRPr="007465AA" w:rsidRDefault="00540929" w:rsidP="004D6B23">
            <w:pPr>
              <w:rPr>
                <w:sz w:val="18"/>
                <w:szCs w:val="18"/>
              </w:rPr>
            </w:pPr>
            <w:r w:rsidRPr="007465AA">
              <w:rPr>
                <w:sz w:val="18"/>
                <w:szCs w:val="18"/>
              </w:rPr>
              <w:t>Portal de Transparencia</w:t>
            </w:r>
            <w:r w:rsidR="00715E7D">
              <w:rPr>
                <w:sz w:val="18"/>
                <w:szCs w:val="18"/>
              </w:rPr>
              <w:t xml:space="preserve">: </w:t>
            </w:r>
            <w:r w:rsidR="004D6B23">
              <w:rPr>
                <w:sz w:val="18"/>
                <w:szCs w:val="18"/>
              </w:rPr>
              <w:t>Ubicación del enlace al Portal en un apartado más visible de la web</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4D6B23">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Estructuración conforme a LTAIBG</w:t>
            </w:r>
          </w:p>
        </w:tc>
        <w:tc>
          <w:tcPr>
            <w:tcW w:w="709" w:type="dxa"/>
            <w:vAlign w:val="center"/>
          </w:tcPr>
          <w:p w:rsidR="00A249BB" w:rsidRPr="007465AA" w:rsidRDefault="00715E7D" w:rsidP="001521CD">
            <w:pPr>
              <w:jc w:val="center"/>
              <w:rPr>
                <w:sz w:val="18"/>
                <w:szCs w:val="18"/>
              </w:rPr>
            </w:pPr>
            <w:r>
              <w:rPr>
                <w:sz w:val="18"/>
                <w:szCs w:val="18"/>
              </w:rPr>
              <w:t>x</w:t>
            </w:r>
          </w:p>
        </w:tc>
        <w:tc>
          <w:tcPr>
            <w:tcW w:w="2777" w:type="dxa"/>
          </w:tcPr>
          <w:p w:rsidR="00A249BB" w:rsidRPr="007465AA" w:rsidRDefault="00715E7D" w:rsidP="004D6B23">
            <w:pPr>
              <w:rPr>
                <w:sz w:val="18"/>
                <w:szCs w:val="18"/>
              </w:rPr>
            </w:pPr>
            <w:r>
              <w:rPr>
                <w:sz w:val="18"/>
                <w:szCs w:val="18"/>
              </w:rPr>
              <w:t xml:space="preserve">No, </w:t>
            </w:r>
            <w:r w:rsidR="004D6B23">
              <w:rPr>
                <w:sz w:val="18"/>
                <w:szCs w:val="18"/>
              </w:rPr>
              <w:t>El Portal sigue sin estructurarse conforme al patrón que establece la LTAIBG</w:t>
            </w:r>
            <w:r>
              <w:rPr>
                <w:sz w:val="18"/>
                <w:szCs w:val="18"/>
              </w:rPr>
              <w:t xml:space="preserve"> </w:t>
            </w: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4D6B23" w:rsidP="001521CD">
            <w:pPr>
              <w:jc w:val="center"/>
              <w:rPr>
                <w:sz w:val="18"/>
                <w:szCs w:val="18"/>
              </w:rPr>
            </w:pPr>
            <w:r>
              <w:rPr>
                <w:sz w:val="18"/>
                <w:szCs w:val="18"/>
              </w:rPr>
              <w:t>x</w:t>
            </w:r>
          </w:p>
        </w:tc>
        <w:tc>
          <w:tcPr>
            <w:tcW w:w="2777" w:type="dxa"/>
          </w:tcPr>
          <w:p w:rsidR="00A249BB" w:rsidRPr="007465AA" w:rsidRDefault="004D6B23" w:rsidP="001521CD">
            <w:pPr>
              <w:rPr>
                <w:sz w:val="18"/>
                <w:szCs w:val="18"/>
              </w:rPr>
            </w:pPr>
            <w:r>
              <w:rPr>
                <w:sz w:val="18"/>
                <w:szCs w:val="18"/>
              </w:rPr>
              <w:t>No, parte de las informaciones obligatorias se localizan fuera del Portal de Transparencia</w:t>
            </w:r>
          </w:p>
        </w:tc>
      </w:tr>
      <w:tr w:rsidR="001A0BD4" w:rsidRPr="007465AA" w:rsidTr="007465AA">
        <w:tc>
          <w:tcPr>
            <w:tcW w:w="1668" w:type="dxa"/>
            <w:vMerge w:val="restart"/>
            <w:vAlign w:val="center"/>
          </w:tcPr>
          <w:p w:rsidR="001A0BD4" w:rsidRPr="007465AA" w:rsidRDefault="00E07201" w:rsidP="001521CD">
            <w:pPr>
              <w:rPr>
                <w:sz w:val="18"/>
                <w:szCs w:val="18"/>
              </w:rPr>
            </w:pPr>
            <w:r w:rsidRPr="00E07201">
              <w:rPr>
                <w:sz w:val="18"/>
                <w:szCs w:val="18"/>
              </w:rPr>
              <w:t xml:space="preserve">Publicación de </w:t>
            </w:r>
            <w:r w:rsidR="001A0BD4" w:rsidRPr="007465AA">
              <w:rPr>
                <w:sz w:val="18"/>
                <w:szCs w:val="18"/>
              </w:rPr>
              <w:t>Contenidos</w:t>
            </w:r>
          </w:p>
        </w:tc>
        <w:tc>
          <w:tcPr>
            <w:tcW w:w="5528" w:type="dxa"/>
          </w:tcPr>
          <w:p w:rsidR="001A0BD4" w:rsidRPr="007465AA" w:rsidRDefault="00BC748E" w:rsidP="00715E7D">
            <w:pPr>
              <w:rPr>
                <w:sz w:val="18"/>
                <w:szCs w:val="18"/>
              </w:rPr>
            </w:pPr>
            <w:r>
              <w:rPr>
                <w:sz w:val="18"/>
                <w:szCs w:val="18"/>
              </w:rPr>
              <w:t>Organigrama</w:t>
            </w:r>
          </w:p>
        </w:tc>
        <w:tc>
          <w:tcPr>
            <w:tcW w:w="709" w:type="dxa"/>
          </w:tcPr>
          <w:p w:rsidR="001A0BD4" w:rsidRPr="00BC748E" w:rsidRDefault="001A0BD4" w:rsidP="00BC748E">
            <w:pPr>
              <w:ind w:left="360"/>
              <w:jc w:val="center"/>
              <w:rPr>
                <w:sz w:val="18"/>
                <w:szCs w:val="18"/>
              </w:rPr>
            </w:pPr>
          </w:p>
        </w:tc>
        <w:tc>
          <w:tcPr>
            <w:tcW w:w="2777" w:type="dxa"/>
          </w:tcPr>
          <w:p w:rsidR="001A0BD4" w:rsidRPr="007465AA" w:rsidRDefault="00BC748E" w:rsidP="004D6B23">
            <w:pPr>
              <w:rPr>
                <w:sz w:val="18"/>
                <w:szCs w:val="18"/>
              </w:rPr>
            </w:pPr>
            <w:r>
              <w:rPr>
                <w:sz w:val="18"/>
                <w:szCs w:val="18"/>
              </w:rPr>
              <w:t xml:space="preserve">No. </w:t>
            </w:r>
            <w:r w:rsidR="004D6B23">
              <w:rPr>
                <w:sz w:val="18"/>
                <w:szCs w:val="18"/>
              </w:rPr>
              <w:t>No se ha localizado el organigrama</w:t>
            </w:r>
            <w:r w:rsidR="00715E7D">
              <w:rPr>
                <w:sz w:val="18"/>
                <w:szCs w:val="18"/>
              </w:rPr>
              <w:t xml:space="preserve"> </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7465AA" w:rsidRDefault="004D6B23" w:rsidP="00715E7D">
            <w:pPr>
              <w:rPr>
                <w:sz w:val="18"/>
                <w:szCs w:val="18"/>
              </w:rPr>
            </w:pPr>
            <w:r>
              <w:rPr>
                <w:sz w:val="18"/>
                <w:szCs w:val="18"/>
              </w:rPr>
              <w:t>Registro de Actividades de Tratamiento</w:t>
            </w:r>
          </w:p>
        </w:tc>
        <w:tc>
          <w:tcPr>
            <w:tcW w:w="709" w:type="dxa"/>
          </w:tcPr>
          <w:p w:rsidR="001A0BD4" w:rsidRPr="007465AA" w:rsidRDefault="001A0BD4" w:rsidP="001521CD">
            <w:pPr>
              <w:jc w:val="center"/>
              <w:rPr>
                <w:sz w:val="18"/>
                <w:szCs w:val="18"/>
              </w:rPr>
            </w:pPr>
          </w:p>
        </w:tc>
        <w:tc>
          <w:tcPr>
            <w:tcW w:w="2777" w:type="dxa"/>
          </w:tcPr>
          <w:p w:rsidR="001A0BD4" w:rsidRPr="007465AA" w:rsidRDefault="00E4458C" w:rsidP="001521CD">
            <w:pPr>
              <w:rPr>
                <w:sz w:val="18"/>
                <w:szCs w:val="18"/>
              </w:rPr>
            </w:pPr>
            <w:r>
              <w:rPr>
                <w:sz w:val="18"/>
                <w:szCs w:val="18"/>
              </w:rPr>
              <w:t xml:space="preserve">No. </w:t>
            </w:r>
            <w:r w:rsidR="004D6B23">
              <w:rPr>
                <w:sz w:val="18"/>
                <w:szCs w:val="18"/>
              </w:rPr>
              <w:t>Sigue sin publicarse el Registro de Actividades de Tratamiento</w:t>
            </w:r>
          </w:p>
        </w:tc>
      </w:tr>
      <w:tr w:rsidR="00BD17A4" w:rsidRPr="007465AA" w:rsidTr="007465AA">
        <w:tc>
          <w:tcPr>
            <w:tcW w:w="1668" w:type="dxa"/>
            <w:vMerge/>
            <w:vAlign w:val="center"/>
          </w:tcPr>
          <w:p w:rsidR="00BD17A4" w:rsidRPr="007465AA" w:rsidRDefault="00BD17A4" w:rsidP="001521CD">
            <w:pPr>
              <w:rPr>
                <w:sz w:val="18"/>
                <w:szCs w:val="18"/>
              </w:rPr>
            </w:pPr>
          </w:p>
        </w:tc>
        <w:tc>
          <w:tcPr>
            <w:tcW w:w="5528" w:type="dxa"/>
          </w:tcPr>
          <w:p w:rsidR="00BD17A4" w:rsidRDefault="00BD17A4" w:rsidP="004D6B23">
            <w:pPr>
              <w:rPr>
                <w:sz w:val="18"/>
                <w:szCs w:val="18"/>
              </w:rPr>
            </w:pPr>
            <w:r>
              <w:rPr>
                <w:sz w:val="18"/>
                <w:szCs w:val="18"/>
              </w:rPr>
              <w:t xml:space="preserve">Perfil y </w:t>
            </w:r>
            <w:r w:rsidR="00FE2187">
              <w:rPr>
                <w:sz w:val="18"/>
                <w:szCs w:val="18"/>
              </w:rPr>
              <w:t>trayectoria profesional de los máximos responsables</w:t>
            </w:r>
          </w:p>
        </w:tc>
        <w:tc>
          <w:tcPr>
            <w:tcW w:w="709" w:type="dxa"/>
          </w:tcPr>
          <w:p w:rsidR="00BD17A4" w:rsidRPr="00FE2187" w:rsidRDefault="00BD17A4" w:rsidP="00FE2187">
            <w:pPr>
              <w:ind w:left="360"/>
              <w:jc w:val="center"/>
              <w:rPr>
                <w:sz w:val="18"/>
                <w:szCs w:val="18"/>
              </w:rPr>
            </w:pPr>
          </w:p>
        </w:tc>
        <w:tc>
          <w:tcPr>
            <w:tcW w:w="2777" w:type="dxa"/>
          </w:tcPr>
          <w:p w:rsidR="00BD17A4" w:rsidRDefault="00FE2187" w:rsidP="004D6B23">
            <w:pPr>
              <w:rPr>
                <w:sz w:val="18"/>
                <w:szCs w:val="18"/>
              </w:rPr>
            </w:pPr>
            <w:r>
              <w:rPr>
                <w:sz w:val="18"/>
                <w:szCs w:val="18"/>
              </w:rPr>
              <w:t>No, no se publica esta información.</w:t>
            </w:r>
          </w:p>
        </w:tc>
      </w:tr>
      <w:tr w:rsidR="00FE2187" w:rsidRPr="007465AA" w:rsidTr="007465AA">
        <w:tc>
          <w:tcPr>
            <w:tcW w:w="1668" w:type="dxa"/>
            <w:vMerge/>
            <w:vAlign w:val="center"/>
          </w:tcPr>
          <w:p w:rsidR="00FE2187" w:rsidRPr="007465AA" w:rsidRDefault="00FE2187" w:rsidP="001521CD">
            <w:pPr>
              <w:rPr>
                <w:sz w:val="18"/>
                <w:szCs w:val="18"/>
              </w:rPr>
            </w:pPr>
          </w:p>
        </w:tc>
        <w:tc>
          <w:tcPr>
            <w:tcW w:w="5528" w:type="dxa"/>
          </w:tcPr>
          <w:p w:rsidR="00FE2187" w:rsidRDefault="00FE2187" w:rsidP="004D6B23">
            <w:pPr>
              <w:rPr>
                <w:sz w:val="18"/>
                <w:szCs w:val="18"/>
              </w:rPr>
            </w:pPr>
            <w:r>
              <w:rPr>
                <w:sz w:val="18"/>
                <w:szCs w:val="18"/>
              </w:rPr>
              <w:t>Planes y programas</w:t>
            </w:r>
          </w:p>
        </w:tc>
        <w:tc>
          <w:tcPr>
            <w:tcW w:w="709" w:type="dxa"/>
          </w:tcPr>
          <w:p w:rsidR="00FE2187" w:rsidRPr="00FE2187" w:rsidRDefault="00FE2187" w:rsidP="00FE2187">
            <w:pPr>
              <w:ind w:left="360"/>
              <w:jc w:val="center"/>
              <w:rPr>
                <w:sz w:val="18"/>
                <w:szCs w:val="18"/>
              </w:rPr>
            </w:pPr>
          </w:p>
        </w:tc>
        <w:tc>
          <w:tcPr>
            <w:tcW w:w="2777" w:type="dxa"/>
          </w:tcPr>
          <w:p w:rsidR="00FE2187" w:rsidRDefault="00FE2187" w:rsidP="004D6B23">
            <w:pPr>
              <w:rPr>
                <w:sz w:val="18"/>
                <w:szCs w:val="18"/>
              </w:rPr>
            </w:pPr>
            <w:r>
              <w:rPr>
                <w:sz w:val="18"/>
                <w:szCs w:val="18"/>
              </w:rPr>
              <w:t>No, no se ha localizado esta información</w:t>
            </w:r>
          </w:p>
        </w:tc>
      </w:tr>
      <w:tr w:rsidR="00FE2187" w:rsidRPr="007465AA" w:rsidTr="007465AA">
        <w:tc>
          <w:tcPr>
            <w:tcW w:w="1668" w:type="dxa"/>
            <w:vMerge/>
            <w:vAlign w:val="center"/>
          </w:tcPr>
          <w:p w:rsidR="00FE2187" w:rsidRPr="007465AA" w:rsidRDefault="00FE2187" w:rsidP="001521CD">
            <w:pPr>
              <w:rPr>
                <w:sz w:val="18"/>
                <w:szCs w:val="18"/>
              </w:rPr>
            </w:pPr>
          </w:p>
        </w:tc>
        <w:tc>
          <w:tcPr>
            <w:tcW w:w="5528" w:type="dxa"/>
          </w:tcPr>
          <w:p w:rsidR="00FE2187" w:rsidRDefault="00FE2187" w:rsidP="004D6B23">
            <w:pPr>
              <w:rPr>
                <w:sz w:val="18"/>
                <w:szCs w:val="18"/>
              </w:rPr>
            </w:pPr>
            <w:r>
              <w:rPr>
                <w:sz w:val="18"/>
                <w:szCs w:val="18"/>
              </w:rPr>
              <w:t>Grado de cumplimiento y resultados de planes y programas</w:t>
            </w:r>
          </w:p>
        </w:tc>
        <w:tc>
          <w:tcPr>
            <w:tcW w:w="709" w:type="dxa"/>
          </w:tcPr>
          <w:p w:rsidR="00FE2187" w:rsidRPr="00FE2187" w:rsidRDefault="00FE2187" w:rsidP="00FE2187">
            <w:pPr>
              <w:ind w:left="360"/>
              <w:jc w:val="center"/>
              <w:rPr>
                <w:sz w:val="18"/>
                <w:szCs w:val="18"/>
              </w:rPr>
            </w:pPr>
          </w:p>
        </w:tc>
        <w:tc>
          <w:tcPr>
            <w:tcW w:w="2777" w:type="dxa"/>
          </w:tcPr>
          <w:p w:rsidR="00FE2187" w:rsidRDefault="00FE2187" w:rsidP="004D6B23">
            <w:pPr>
              <w:rPr>
                <w:sz w:val="18"/>
                <w:szCs w:val="18"/>
              </w:rPr>
            </w:pPr>
            <w:r>
              <w:rPr>
                <w:sz w:val="18"/>
                <w:szCs w:val="18"/>
              </w:rPr>
              <w:t>No</w:t>
            </w:r>
          </w:p>
        </w:tc>
      </w:tr>
      <w:tr w:rsidR="00FE2187" w:rsidRPr="007465AA" w:rsidTr="007465AA">
        <w:tc>
          <w:tcPr>
            <w:tcW w:w="1668" w:type="dxa"/>
            <w:vMerge/>
            <w:vAlign w:val="center"/>
          </w:tcPr>
          <w:p w:rsidR="00FE2187" w:rsidRPr="007465AA" w:rsidRDefault="00FE2187" w:rsidP="001521CD">
            <w:pPr>
              <w:rPr>
                <w:sz w:val="18"/>
                <w:szCs w:val="18"/>
              </w:rPr>
            </w:pPr>
          </w:p>
        </w:tc>
        <w:tc>
          <w:tcPr>
            <w:tcW w:w="5528" w:type="dxa"/>
          </w:tcPr>
          <w:p w:rsidR="00FE2187" w:rsidRDefault="00FE2187" w:rsidP="004D6B23">
            <w:pPr>
              <w:rPr>
                <w:sz w:val="18"/>
                <w:szCs w:val="18"/>
              </w:rPr>
            </w:pPr>
            <w:r>
              <w:rPr>
                <w:sz w:val="18"/>
                <w:szCs w:val="18"/>
              </w:rPr>
              <w:t>Indicadores de medida y valoración del grado de cumplimiento de planes y programas</w:t>
            </w:r>
          </w:p>
        </w:tc>
        <w:tc>
          <w:tcPr>
            <w:tcW w:w="709" w:type="dxa"/>
          </w:tcPr>
          <w:p w:rsidR="00FE2187" w:rsidRPr="00FE2187" w:rsidRDefault="00FE2187" w:rsidP="00FE2187">
            <w:pPr>
              <w:ind w:left="360"/>
              <w:jc w:val="center"/>
              <w:rPr>
                <w:sz w:val="18"/>
                <w:szCs w:val="18"/>
              </w:rPr>
            </w:pPr>
          </w:p>
        </w:tc>
        <w:tc>
          <w:tcPr>
            <w:tcW w:w="2777" w:type="dxa"/>
          </w:tcPr>
          <w:p w:rsidR="00FE2187" w:rsidRDefault="00FE2187" w:rsidP="004D6B23">
            <w:pPr>
              <w:rPr>
                <w:sz w:val="18"/>
                <w:szCs w:val="18"/>
              </w:rPr>
            </w:pPr>
            <w:r>
              <w:rPr>
                <w:sz w:val="18"/>
                <w:szCs w:val="18"/>
              </w:rPr>
              <w:t>No</w:t>
            </w:r>
          </w:p>
        </w:tc>
      </w:tr>
      <w:tr w:rsidR="00715E7D" w:rsidRPr="007465AA" w:rsidTr="007465AA">
        <w:tc>
          <w:tcPr>
            <w:tcW w:w="1668" w:type="dxa"/>
            <w:vMerge/>
            <w:vAlign w:val="center"/>
          </w:tcPr>
          <w:p w:rsidR="00715E7D" w:rsidRPr="007465AA" w:rsidRDefault="00715E7D" w:rsidP="001521CD">
            <w:pPr>
              <w:rPr>
                <w:sz w:val="18"/>
                <w:szCs w:val="18"/>
              </w:rPr>
            </w:pPr>
          </w:p>
        </w:tc>
        <w:tc>
          <w:tcPr>
            <w:tcW w:w="5528" w:type="dxa"/>
          </w:tcPr>
          <w:p w:rsidR="00715E7D" w:rsidRDefault="004D6B23" w:rsidP="0010061F">
            <w:pPr>
              <w:rPr>
                <w:sz w:val="18"/>
                <w:szCs w:val="18"/>
              </w:rPr>
            </w:pPr>
            <w:r>
              <w:rPr>
                <w:sz w:val="18"/>
                <w:szCs w:val="18"/>
              </w:rPr>
              <w:t>Contratos: para facilitar el acceso, al menos redirig</w:t>
            </w:r>
            <w:r w:rsidR="00C1049E">
              <w:rPr>
                <w:sz w:val="18"/>
                <w:szCs w:val="18"/>
              </w:rPr>
              <w:t>ir al Perfil del Contratante de</w:t>
            </w:r>
            <w:r>
              <w:rPr>
                <w:sz w:val="18"/>
                <w:szCs w:val="18"/>
              </w:rPr>
              <w:t xml:space="preserve">l </w:t>
            </w:r>
            <w:r w:rsidR="0010061F">
              <w:rPr>
                <w:sz w:val="18"/>
                <w:szCs w:val="18"/>
              </w:rPr>
              <w:t>INIA</w:t>
            </w:r>
            <w:r>
              <w:rPr>
                <w:sz w:val="18"/>
                <w:szCs w:val="18"/>
              </w:rPr>
              <w:t xml:space="preserve"> en la Plataforma de Contratación del Sector Público</w:t>
            </w:r>
          </w:p>
        </w:tc>
        <w:tc>
          <w:tcPr>
            <w:tcW w:w="709" w:type="dxa"/>
          </w:tcPr>
          <w:p w:rsidR="00715E7D" w:rsidRPr="00FE2187" w:rsidRDefault="00715E7D" w:rsidP="00FE2187">
            <w:pPr>
              <w:ind w:left="360"/>
              <w:jc w:val="center"/>
              <w:rPr>
                <w:sz w:val="18"/>
                <w:szCs w:val="18"/>
              </w:rPr>
            </w:pPr>
          </w:p>
        </w:tc>
        <w:tc>
          <w:tcPr>
            <w:tcW w:w="2777" w:type="dxa"/>
          </w:tcPr>
          <w:p w:rsidR="00715E7D" w:rsidRDefault="00FE2187" w:rsidP="00FE2187">
            <w:pPr>
              <w:rPr>
                <w:sz w:val="18"/>
                <w:szCs w:val="18"/>
              </w:rPr>
            </w:pPr>
            <w:r>
              <w:rPr>
                <w:sz w:val="18"/>
                <w:szCs w:val="18"/>
              </w:rPr>
              <w:t>No,</w:t>
            </w:r>
            <w:r w:rsidR="004D6B23">
              <w:rPr>
                <w:sz w:val="18"/>
                <w:szCs w:val="18"/>
              </w:rPr>
              <w:t xml:space="preserve"> el enlace  </w:t>
            </w:r>
            <w:r>
              <w:rPr>
                <w:sz w:val="18"/>
                <w:szCs w:val="18"/>
              </w:rPr>
              <w:t>sigue posicionando en la página home de la Plataforma de Contratación del Sector Público</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7465AA" w:rsidRDefault="00E11FBC" w:rsidP="00BA5833">
            <w:pPr>
              <w:rPr>
                <w:sz w:val="18"/>
                <w:szCs w:val="18"/>
              </w:rPr>
            </w:pPr>
            <w:r>
              <w:rPr>
                <w:sz w:val="18"/>
                <w:szCs w:val="18"/>
              </w:rPr>
              <w:t>Modificaciones de Contratos</w:t>
            </w:r>
          </w:p>
        </w:tc>
        <w:tc>
          <w:tcPr>
            <w:tcW w:w="709" w:type="dxa"/>
          </w:tcPr>
          <w:p w:rsidR="001A0BD4" w:rsidRPr="007465AA" w:rsidRDefault="001A0BD4" w:rsidP="001521CD">
            <w:pPr>
              <w:jc w:val="center"/>
              <w:rPr>
                <w:sz w:val="18"/>
                <w:szCs w:val="18"/>
              </w:rPr>
            </w:pPr>
          </w:p>
        </w:tc>
        <w:tc>
          <w:tcPr>
            <w:tcW w:w="2777" w:type="dxa"/>
          </w:tcPr>
          <w:p w:rsidR="001A0BD4" w:rsidRPr="007465AA" w:rsidRDefault="00E11FBC" w:rsidP="00C1049E">
            <w:pPr>
              <w:rPr>
                <w:sz w:val="18"/>
                <w:szCs w:val="18"/>
              </w:rPr>
            </w:pPr>
            <w:r>
              <w:rPr>
                <w:sz w:val="18"/>
                <w:szCs w:val="18"/>
              </w:rPr>
              <w:t xml:space="preserve">No. </w:t>
            </w:r>
            <w:r w:rsidR="00C1049E">
              <w:rPr>
                <w:sz w:val="18"/>
                <w:szCs w:val="18"/>
              </w:rPr>
              <w:t>La Plataforma de Contratación del Sector Público no incluye las modificaciones entre los criterios de búsqueda de licitaciones.</w:t>
            </w:r>
          </w:p>
        </w:tc>
      </w:tr>
      <w:tr w:rsidR="00C1049E" w:rsidRPr="007465AA" w:rsidTr="007465AA">
        <w:tc>
          <w:tcPr>
            <w:tcW w:w="1668" w:type="dxa"/>
            <w:vMerge/>
            <w:vAlign w:val="center"/>
          </w:tcPr>
          <w:p w:rsidR="00C1049E" w:rsidRPr="007465AA" w:rsidRDefault="00C1049E" w:rsidP="001521CD">
            <w:pPr>
              <w:rPr>
                <w:sz w:val="18"/>
                <w:szCs w:val="18"/>
              </w:rPr>
            </w:pPr>
          </w:p>
        </w:tc>
        <w:tc>
          <w:tcPr>
            <w:tcW w:w="5528" w:type="dxa"/>
          </w:tcPr>
          <w:p w:rsidR="00C1049E" w:rsidRDefault="00C1049E" w:rsidP="00BA5833">
            <w:pPr>
              <w:rPr>
                <w:sz w:val="18"/>
                <w:szCs w:val="18"/>
              </w:rPr>
            </w:pPr>
            <w:r>
              <w:rPr>
                <w:sz w:val="18"/>
                <w:szCs w:val="18"/>
              </w:rPr>
              <w:t>Desistimientos y renuncias</w:t>
            </w:r>
          </w:p>
        </w:tc>
        <w:tc>
          <w:tcPr>
            <w:tcW w:w="709" w:type="dxa"/>
          </w:tcPr>
          <w:p w:rsidR="00C1049E" w:rsidRPr="00857C55" w:rsidRDefault="00C1049E" w:rsidP="00857C55">
            <w:pPr>
              <w:ind w:left="360"/>
              <w:jc w:val="center"/>
              <w:rPr>
                <w:sz w:val="18"/>
                <w:szCs w:val="18"/>
              </w:rPr>
            </w:pPr>
          </w:p>
        </w:tc>
        <w:tc>
          <w:tcPr>
            <w:tcW w:w="2777" w:type="dxa"/>
          </w:tcPr>
          <w:p w:rsidR="00C1049E" w:rsidRDefault="00857C55" w:rsidP="00BA5833">
            <w:pPr>
              <w:rPr>
                <w:sz w:val="18"/>
                <w:szCs w:val="18"/>
              </w:rPr>
            </w:pPr>
            <w:r>
              <w:rPr>
                <w:sz w:val="18"/>
                <w:szCs w:val="18"/>
              </w:rPr>
              <w:t>No</w:t>
            </w:r>
          </w:p>
        </w:tc>
      </w:tr>
      <w:tr w:rsidR="00E11FBC" w:rsidRPr="007465AA" w:rsidTr="007465AA">
        <w:tc>
          <w:tcPr>
            <w:tcW w:w="1668" w:type="dxa"/>
            <w:vMerge/>
            <w:vAlign w:val="center"/>
          </w:tcPr>
          <w:p w:rsidR="00E11FBC" w:rsidRPr="007465AA" w:rsidRDefault="00E11FBC" w:rsidP="001521CD">
            <w:pPr>
              <w:rPr>
                <w:sz w:val="18"/>
                <w:szCs w:val="18"/>
              </w:rPr>
            </w:pPr>
          </w:p>
        </w:tc>
        <w:tc>
          <w:tcPr>
            <w:tcW w:w="5528" w:type="dxa"/>
          </w:tcPr>
          <w:p w:rsidR="00E11FBC" w:rsidRPr="007465AA" w:rsidRDefault="00E11FBC" w:rsidP="00857C55">
            <w:pPr>
              <w:rPr>
                <w:sz w:val="18"/>
                <w:szCs w:val="18"/>
              </w:rPr>
            </w:pPr>
            <w:r>
              <w:rPr>
                <w:sz w:val="18"/>
                <w:szCs w:val="18"/>
              </w:rPr>
              <w:t>Estadísticas sobre contratos</w:t>
            </w:r>
          </w:p>
        </w:tc>
        <w:tc>
          <w:tcPr>
            <w:tcW w:w="709" w:type="dxa"/>
          </w:tcPr>
          <w:p w:rsidR="00E11FBC" w:rsidRPr="00E11FBC" w:rsidRDefault="00E11FBC" w:rsidP="00E11FBC">
            <w:pPr>
              <w:ind w:left="360"/>
              <w:jc w:val="center"/>
              <w:rPr>
                <w:sz w:val="18"/>
                <w:szCs w:val="18"/>
              </w:rPr>
            </w:pPr>
          </w:p>
        </w:tc>
        <w:tc>
          <w:tcPr>
            <w:tcW w:w="2777" w:type="dxa"/>
          </w:tcPr>
          <w:p w:rsidR="00E11FBC" w:rsidRDefault="00E11FBC" w:rsidP="00C1049E">
            <w:pPr>
              <w:rPr>
                <w:sz w:val="18"/>
                <w:szCs w:val="18"/>
              </w:rPr>
            </w:pPr>
            <w:r>
              <w:rPr>
                <w:sz w:val="18"/>
                <w:szCs w:val="18"/>
              </w:rPr>
              <w:t>No</w:t>
            </w:r>
          </w:p>
        </w:tc>
      </w:tr>
      <w:tr w:rsidR="00C1049E" w:rsidRPr="007465AA" w:rsidTr="007465AA">
        <w:tc>
          <w:tcPr>
            <w:tcW w:w="1668" w:type="dxa"/>
            <w:vMerge/>
            <w:vAlign w:val="center"/>
          </w:tcPr>
          <w:p w:rsidR="00C1049E" w:rsidRPr="007465AA" w:rsidRDefault="00C1049E" w:rsidP="001521CD">
            <w:pPr>
              <w:rPr>
                <w:sz w:val="18"/>
                <w:szCs w:val="18"/>
              </w:rPr>
            </w:pPr>
          </w:p>
        </w:tc>
        <w:tc>
          <w:tcPr>
            <w:tcW w:w="5528" w:type="dxa"/>
          </w:tcPr>
          <w:p w:rsidR="00C1049E" w:rsidRDefault="00C1049E" w:rsidP="00BA5833">
            <w:pPr>
              <w:rPr>
                <w:sz w:val="18"/>
                <w:szCs w:val="18"/>
              </w:rPr>
            </w:pPr>
            <w:r>
              <w:rPr>
                <w:sz w:val="18"/>
                <w:szCs w:val="18"/>
              </w:rPr>
              <w:t>Contratos menores</w:t>
            </w:r>
          </w:p>
        </w:tc>
        <w:tc>
          <w:tcPr>
            <w:tcW w:w="709" w:type="dxa"/>
          </w:tcPr>
          <w:p w:rsidR="00C1049E" w:rsidRPr="00857C55" w:rsidRDefault="00C1049E" w:rsidP="00857C55">
            <w:pPr>
              <w:ind w:left="360"/>
              <w:jc w:val="center"/>
              <w:rPr>
                <w:sz w:val="18"/>
                <w:szCs w:val="18"/>
              </w:rPr>
            </w:pPr>
          </w:p>
        </w:tc>
        <w:tc>
          <w:tcPr>
            <w:tcW w:w="2777" w:type="dxa"/>
          </w:tcPr>
          <w:p w:rsidR="00C1049E" w:rsidRDefault="00857C55" w:rsidP="00C1049E">
            <w:pPr>
              <w:rPr>
                <w:sz w:val="18"/>
                <w:szCs w:val="18"/>
              </w:rPr>
            </w:pPr>
            <w:r>
              <w:rPr>
                <w:sz w:val="18"/>
                <w:szCs w:val="18"/>
              </w:rPr>
              <w:t>No</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7465AA" w:rsidRDefault="001A0BD4" w:rsidP="00C1049E">
            <w:pPr>
              <w:rPr>
                <w:sz w:val="18"/>
                <w:szCs w:val="18"/>
              </w:rPr>
            </w:pPr>
            <w:r w:rsidRPr="007465AA">
              <w:rPr>
                <w:sz w:val="18"/>
                <w:szCs w:val="18"/>
              </w:rPr>
              <w:t>Convenios</w:t>
            </w:r>
          </w:p>
        </w:tc>
        <w:tc>
          <w:tcPr>
            <w:tcW w:w="709" w:type="dxa"/>
          </w:tcPr>
          <w:p w:rsidR="001A0BD4" w:rsidRPr="00E11FBC" w:rsidRDefault="001A0BD4" w:rsidP="00E11FBC">
            <w:pPr>
              <w:ind w:left="360"/>
              <w:jc w:val="center"/>
              <w:rPr>
                <w:sz w:val="18"/>
                <w:szCs w:val="18"/>
              </w:rPr>
            </w:pPr>
          </w:p>
        </w:tc>
        <w:tc>
          <w:tcPr>
            <w:tcW w:w="2777" w:type="dxa"/>
          </w:tcPr>
          <w:p w:rsidR="001A0BD4" w:rsidRPr="007465AA" w:rsidRDefault="00E11FBC" w:rsidP="00857C55">
            <w:pPr>
              <w:rPr>
                <w:sz w:val="18"/>
                <w:szCs w:val="18"/>
              </w:rPr>
            </w:pPr>
            <w:r>
              <w:rPr>
                <w:sz w:val="18"/>
                <w:szCs w:val="18"/>
              </w:rPr>
              <w:t>No</w:t>
            </w:r>
            <w:r w:rsidR="00EB0916">
              <w:rPr>
                <w:sz w:val="18"/>
                <w:szCs w:val="18"/>
              </w:rPr>
              <w:t xml:space="preserve">. </w:t>
            </w:r>
          </w:p>
        </w:tc>
      </w:tr>
      <w:tr w:rsidR="00857C55" w:rsidRPr="007465AA" w:rsidTr="007465AA">
        <w:tc>
          <w:tcPr>
            <w:tcW w:w="1668" w:type="dxa"/>
            <w:vMerge/>
            <w:vAlign w:val="center"/>
          </w:tcPr>
          <w:p w:rsidR="00857C55" w:rsidRPr="007465AA" w:rsidRDefault="00857C55" w:rsidP="001521CD">
            <w:pPr>
              <w:rPr>
                <w:sz w:val="18"/>
                <w:szCs w:val="18"/>
              </w:rPr>
            </w:pPr>
          </w:p>
        </w:tc>
        <w:tc>
          <w:tcPr>
            <w:tcW w:w="5528" w:type="dxa"/>
          </w:tcPr>
          <w:p w:rsidR="00857C55" w:rsidRDefault="00857C55" w:rsidP="00857C55">
            <w:pPr>
              <w:rPr>
                <w:sz w:val="18"/>
                <w:szCs w:val="18"/>
              </w:rPr>
            </w:pPr>
            <w:r>
              <w:rPr>
                <w:sz w:val="18"/>
                <w:szCs w:val="18"/>
              </w:rPr>
              <w:t>Encomiendas de Gestión</w:t>
            </w:r>
          </w:p>
        </w:tc>
        <w:tc>
          <w:tcPr>
            <w:tcW w:w="709" w:type="dxa"/>
          </w:tcPr>
          <w:p w:rsidR="00857C55" w:rsidRPr="007465AA" w:rsidRDefault="00857C55" w:rsidP="001521CD">
            <w:pPr>
              <w:jc w:val="center"/>
              <w:rPr>
                <w:sz w:val="18"/>
                <w:szCs w:val="18"/>
              </w:rPr>
            </w:pPr>
          </w:p>
        </w:tc>
        <w:tc>
          <w:tcPr>
            <w:tcW w:w="2777" w:type="dxa"/>
          </w:tcPr>
          <w:p w:rsidR="00857C55" w:rsidRDefault="00857C55" w:rsidP="00857C55">
            <w:pPr>
              <w:rPr>
                <w:sz w:val="18"/>
                <w:szCs w:val="18"/>
              </w:rPr>
            </w:pPr>
            <w:r>
              <w:rPr>
                <w:sz w:val="18"/>
                <w:szCs w:val="18"/>
              </w:rPr>
              <w:t>No</w:t>
            </w:r>
          </w:p>
        </w:tc>
      </w:tr>
      <w:tr w:rsidR="00857C55" w:rsidRPr="007465AA" w:rsidTr="007465AA">
        <w:tc>
          <w:tcPr>
            <w:tcW w:w="1668" w:type="dxa"/>
            <w:vMerge/>
            <w:vAlign w:val="center"/>
          </w:tcPr>
          <w:p w:rsidR="00857C55" w:rsidRPr="007465AA" w:rsidRDefault="00857C55" w:rsidP="001521CD">
            <w:pPr>
              <w:rPr>
                <w:sz w:val="18"/>
                <w:szCs w:val="18"/>
              </w:rPr>
            </w:pPr>
          </w:p>
        </w:tc>
        <w:tc>
          <w:tcPr>
            <w:tcW w:w="5528" w:type="dxa"/>
          </w:tcPr>
          <w:p w:rsidR="00857C55" w:rsidRDefault="00857C55" w:rsidP="00857C55">
            <w:pPr>
              <w:rPr>
                <w:sz w:val="18"/>
                <w:szCs w:val="18"/>
              </w:rPr>
            </w:pPr>
            <w:r>
              <w:rPr>
                <w:sz w:val="18"/>
                <w:szCs w:val="18"/>
              </w:rPr>
              <w:t>Subcontrataciones derivadas de las encomiendas de gestión</w:t>
            </w:r>
          </w:p>
        </w:tc>
        <w:tc>
          <w:tcPr>
            <w:tcW w:w="709" w:type="dxa"/>
          </w:tcPr>
          <w:p w:rsidR="00857C55" w:rsidRPr="007465AA" w:rsidRDefault="00857C55" w:rsidP="001521CD">
            <w:pPr>
              <w:jc w:val="center"/>
              <w:rPr>
                <w:sz w:val="18"/>
                <w:szCs w:val="18"/>
              </w:rPr>
            </w:pPr>
          </w:p>
        </w:tc>
        <w:tc>
          <w:tcPr>
            <w:tcW w:w="2777" w:type="dxa"/>
          </w:tcPr>
          <w:p w:rsidR="00857C55" w:rsidRDefault="00857C55" w:rsidP="00857C55">
            <w:pPr>
              <w:rPr>
                <w:sz w:val="18"/>
                <w:szCs w:val="18"/>
              </w:rPr>
            </w:pPr>
            <w:r>
              <w:rPr>
                <w:sz w:val="18"/>
                <w:szCs w:val="18"/>
              </w:rPr>
              <w:t>No</w:t>
            </w:r>
          </w:p>
        </w:tc>
      </w:tr>
      <w:tr w:rsidR="00BA5833" w:rsidRPr="007465AA" w:rsidTr="007465AA">
        <w:tc>
          <w:tcPr>
            <w:tcW w:w="1668" w:type="dxa"/>
            <w:vMerge/>
            <w:vAlign w:val="center"/>
          </w:tcPr>
          <w:p w:rsidR="00BA5833" w:rsidRPr="007465AA" w:rsidRDefault="00BA5833" w:rsidP="001521CD">
            <w:pPr>
              <w:rPr>
                <w:sz w:val="18"/>
                <w:szCs w:val="18"/>
              </w:rPr>
            </w:pPr>
          </w:p>
        </w:tc>
        <w:tc>
          <w:tcPr>
            <w:tcW w:w="5528" w:type="dxa"/>
          </w:tcPr>
          <w:p w:rsidR="00BA5833" w:rsidRDefault="00BA5833" w:rsidP="00857C55">
            <w:pPr>
              <w:rPr>
                <w:sz w:val="18"/>
                <w:szCs w:val="18"/>
              </w:rPr>
            </w:pPr>
            <w:r>
              <w:rPr>
                <w:sz w:val="18"/>
                <w:szCs w:val="18"/>
              </w:rPr>
              <w:t>Subvenciones</w:t>
            </w:r>
          </w:p>
        </w:tc>
        <w:tc>
          <w:tcPr>
            <w:tcW w:w="709" w:type="dxa"/>
          </w:tcPr>
          <w:p w:rsidR="00BA5833" w:rsidRPr="007465AA" w:rsidRDefault="00BA5833" w:rsidP="001521CD">
            <w:pPr>
              <w:jc w:val="center"/>
              <w:rPr>
                <w:sz w:val="18"/>
                <w:szCs w:val="18"/>
              </w:rPr>
            </w:pPr>
          </w:p>
        </w:tc>
        <w:tc>
          <w:tcPr>
            <w:tcW w:w="2777" w:type="dxa"/>
          </w:tcPr>
          <w:p w:rsidR="00BA5833" w:rsidRDefault="00BA5833" w:rsidP="00857C55">
            <w:pPr>
              <w:rPr>
                <w:sz w:val="18"/>
                <w:szCs w:val="18"/>
              </w:rPr>
            </w:pPr>
            <w:r>
              <w:rPr>
                <w:sz w:val="18"/>
                <w:szCs w:val="18"/>
              </w:rPr>
              <w:t xml:space="preserve">No. </w:t>
            </w:r>
          </w:p>
        </w:tc>
      </w:tr>
      <w:tr w:rsidR="00C1049E" w:rsidRPr="007465AA" w:rsidTr="007465AA">
        <w:tc>
          <w:tcPr>
            <w:tcW w:w="1668" w:type="dxa"/>
            <w:vMerge/>
            <w:vAlign w:val="center"/>
          </w:tcPr>
          <w:p w:rsidR="00C1049E" w:rsidRPr="007465AA" w:rsidRDefault="00C1049E" w:rsidP="001521CD">
            <w:pPr>
              <w:rPr>
                <w:sz w:val="18"/>
                <w:szCs w:val="18"/>
              </w:rPr>
            </w:pPr>
          </w:p>
        </w:tc>
        <w:tc>
          <w:tcPr>
            <w:tcW w:w="5528" w:type="dxa"/>
          </w:tcPr>
          <w:p w:rsidR="00C1049E" w:rsidRPr="007465AA" w:rsidRDefault="00C1049E" w:rsidP="001521CD">
            <w:pPr>
              <w:rPr>
                <w:sz w:val="18"/>
                <w:szCs w:val="18"/>
              </w:rPr>
            </w:pPr>
            <w:r>
              <w:rPr>
                <w:sz w:val="18"/>
                <w:szCs w:val="18"/>
              </w:rPr>
              <w:t>Presupuesto</w:t>
            </w:r>
          </w:p>
        </w:tc>
        <w:tc>
          <w:tcPr>
            <w:tcW w:w="709" w:type="dxa"/>
          </w:tcPr>
          <w:p w:rsidR="00C1049E" w:rsidRPr="007465AA" w:rsidRDefault="00C1049E" w:rsidP="001521CD">
            <w:pPr>
              <w:jc w:val="center"/>
              <w:rPr>
                <w:sz w:val="18"/>
                <w:szCs w:val="18"/>
              </w:rPr>
            </w:pPr>
          </w:p>
        </w:tc>
        <w:tc>
          <w:tcPr>
            <w:tcW w:w="2777" w:type="dxa"/>
          </w:tcPr>
          <w:p w:rsidR="00C1049E" w:rsidRDefault="00C1049E" w:rsidP="00035DFF">
            <w:pPr>
              <w:rPr>
                <w:sz w:val="18"/>
                <w:szCs w:val="18"/>
              </w:rPr>
            </w:pPr>
            <w:r>
              <w:rPr>
                <w:sz w:val="18"/>
                <w:szCs w:val="18"/>
              </w:rPr>
              <w:t>No, no se publica el presupuesto.</w:t>
            </w:r>
          </w:p>
        </w:tc>
      </w:tr>
      <w:tr w:rsidR="00857C55" w:rsidRPr="007465AA" w:rsidTr="007465AA">
        <w:tc>
          <w:tcPr>
            <w:tcW w:w="1668" w:type="dxa"/>
            <w:vMerge/>
            <w:vAlign w:val="center"/>
          </w:tcPr>
          <w:p w:rsidR="00857C55" w:rsidRPr="007465AA" w:rsidRDefault="00857C55" w:rsidP="001521CD">
            <w:pPr>
              <w:rPr>
                <w:sz w:val="18"/>
                <w:szCs w:val="18"/>
              </w:rPr>
            </w:pPr>
          </w:p>
        </w:tc>
        <w:tc>
          <w:tcPr>
            <w:tcW w:w="5528" w:type="dxa"/>
          </w:tcPr>
          <w:p w:rsidR="00857C55" w:rsidRDefault="00857C55" w:rsidP="00857C55">
            <w:pPr>
              <w:rPr>
                <w:sz w:val="18"/>
                <w:szCs w:val="18"/>
              </w:rPr>
            </w:pPr>
            <w:r>
              <w:rPr>
                <w:sz w:val="18"/>
                <w:szCs w:val="18"/>
              </w:rPr>
              <w:t>Ejecución Presupuestaria</w:t>
            </w:r>
          </w:p>
        </w:tc>
        <w:tc>
          <w:tcPr>
            <w:tcW w:w="709" w:type="dxa"/>
          </w:tcPr>
          <w:p w:rsidR="00857C55" w:rsidRPr="007465AA" w:rsidRDefault="00857C55" w:rsidP="001521CD">
            <w:pPr>
              <w:jc w:val="center"/>
              <w:rPr>
                <w:sz w:val="18"/>
                <w:szCs w:val="18"/>
              </w:rPr>
            </w:pPr>
          </w:p>
        </w:tc>
        <w:tc>
          <w:tcPr>
            <w:tcW w:w="2777" w:type="dxa"/>
          </w:tcPr>
          <w:p w:rsidR="00857C55" w:rsidRDefault="00857C55" w:rsidP="00035DFF">
            <w:pPr>
              <w:rPr>
                <w:sz w:val="18"/>
                <w:szCs w:val="18"/>
              </w:rPr>
            </w:pPr>
            <w:r>
              <w:rPr>
                <w:sz w:val="18"/>
                <w:szCs w:val="18"/>
              </w:rPr>
              <w:t>No</w:t>
            </w:r>
          </w:p>
        </w:tc>
      </w:tr>
      <w:tr w:rsidR="00C1049E" w:rsidRPr="007465AA" w:rsidTr="007465AA">
        <w:tc>
          <w:tcPr>
            <w:tcW w:w="1668" w:type="dxa"/>
            <w:vMerge/>
            <w:vAlign w:val="center"/>
          </w:tcPr>
          <w:p w:rsidR="00C1049E" w:rsidRPr="007465AA" w:rsidRDefault="00C1049E" w:rsidP="001521CD">
            <w:pPr>
              <w:rPr>
                <w:sz w:val="18"/>
                <w:szCs w:val="18"/>
              </w:rPr>
            </w:pPr>
          </w:p>
        </w:tc>
        <w:tc>
          <w:tcPr>
            <w:tcW w:w="5528" w:type="dxa"/>
          </w:tcPr>
          <w:p w:rsidR="00C1049E" w:rsidRPr="007465AA" w:rsidRDefault="00C1049E" w:rsidP="001521CD">
            <w:pPr>
              <w:rPr>
                <w:sz w:val="18"/>
                <w:szCs w:val="18"/>
              </w:rPr>
            </w:pPr>
            <w:r>
              <w:rPr>
                <w:sz w:val="18"/>
                <w:szCs w:val="18"/>
              </w:rPr>
              <w:t>Cuentas anuales</w:t>
            </w:r>
            <w:r w:rsidR="00857C55">
              <w:rPr>
                <w:sz w:val="18"/>
                <w:szCs w:val="18"/>
              </w:rPr>
              <w:t>: actualización</w:t>
            </w:r>
          </w:p>
        </w:tc>
        <w:tc>
          <w:tcPr>
            <w:tcW w:w="709" w:type="dxa"/>
          </w:tcPr>
          <w:p w:rsidR="00C1049E" w:rsidRPr="00857C55" w:rsidRDefault="00C1049E" w:rsidP="00857C55">
            <w:pPr>
              <w:pStyle w:val="Prrafodelista"/>
              <w:numPr>
                <w:ilvl w:val="0"/>
                <w:numId w:val="25"/>
              </w:numPr>
              <w:jc w:val="center"/>
              <w:rPr>
                <w:sz w:val="18"/>
                <w:szCs w:val="18"/>
              </w:rPr>
            </w:pPr>
          </w:p>
        </w:tc>
        <w:tc>
          <w:tcPr>
            <w:tcW w:w="2777" w:type="dxa"/>
          </w:tcPr>
          <w:p w:rsidR="00C1049E" w:rsidRDefault="00857C55" w:rsidP="00857C55">
            <w:pPr>
              <w:rPr>
                <w:sz w:val="18"/>
                <w:szCs w:val="18"/>
              </w:rPr>
            </w:pPr>
            <w:proofErr w:type="spellStart"/>
            <w:r>
              <w:rPr>
                <w:sz w:val="18"/>
                <w:szCs w:val="18"/>
              </w:rPr>
              <w:t>Si</w:t>
            </w:r>
            <w:proofErr w:type="spellEnd"/>
            <w:r>
              <w:rPr>
                <w:sz w:val="18"/>
                <w:szCs w:val="18"/>
              </w:rPr>
              <w:t>. Aunque se ha actualizado la información a 2020</w:t>
            </w:r>
            <w:r w:rsidR="00C1049E">
              <w:rPr>
                <w:sz w:val="18"/>
                <w:szCs w:val="18"/>
              </w:rPr>
              <w:t xml:space="preserve">, </w:t>
            </w:r>
            <w:r>
              <w:rPr>
                <w:sz w:val="18"/>
                <w:szCs w:val="18"/>
              </w:rPr>
              <w:t>deberían de estar publicadas las correspondientes al ejercicio 2021</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7465AA" w:rsidRDefault="001A0BD4" w:rsidP="001521CD">
            <w:pPr>
              <w:rPr>
                <w:sz w:val="18"/>
                <w:szCs w:val="18"/>
              </w:rPr>
            </w:pPr>
            <w:r w:rsidRPr="007465AA">
              <w:rPr>
                <w:sz w:val="18"/>
                <w:szCs w:val="18"/>
              </w:rPr>
              <w:t xml:space="preserve">Informes de auditoría  </w:t>
            </w:r>
          </w:p>
        </w:tc>
        <w:tc>
          <w:tcPr>
            <w:tcW w:w="709" w:type="dxa"/>
          </w:tcPr>
          <w:p w:rsidR="001A0BD4" w:rsidRPr="007465AA" w:rsidRDefault="001A0BD4" w:rsidP="001521CD">
            <w:pPr>
              <w:jc w:val="center"/>
              <w:rPr>
                <w:sz w:val="18"/>
                <w:szCs w:val="18"/>
              </w:rPr>
            </w:pPr>
          </w:p>
        </w:tc>
        <w:tc>
          <w:tcPr>
            <w:tcW w:w="2777" w:type="dxa"/>
          </w:tcPr>
          <w:p w:rsidR="001A0BD4" w:rsidRPr="007465AA" w:rsidRDefault="00825202" w:rsidP="00857C55">
            <w:pPr>
              <w:rPr>
                <w:sz w:val="18"/>
                <w:szCs w:val="18"/>
              </w:rPr>
            </w:pPr>
            <w:r>
              <w:rPr>
                <w:sz w:val="18"/>
                <w:szCs w:val="18"/>
              </w:rPr>
              <w:t>No</w:t>
            </w:r>
            <w:r w:rsidR="00035DFF">
              <w:rPr>
                <w:sz w:val="18"/>
                <w:szCs w:val="18"/>
              </w:rPr>
              <w:t xml:space="preserve">. </w:t>
            </w:r>
            <w:r w:rsidR="00C1049E">
              <w:rPr>
                <w:sz w:val="18"/>
                <w:szCs w:val="18"/>
              </w:rPr>
              <w:t>S</w:t>
            </w:r>
            <w:r w:rsidR="00035DFF">
              <w:rPr>
                <w:sz w:val="18"/>
                <w:szCs w:val="18"/>
              </w:rPr>
              <w:t xml:space="preserve">e publican los informes de auditoría </w:t>
            </w:r>
            <w:r w:rsidR="00C1049E">
              <w:rPr>
                <w:sz w:val="18"/>
                <w:szCs w:val="18"/>
              </w:rPr>
              <w:t>de la IGAE, el más reciente corresponde al ejercicio 20</w:t>
            </w:r>
            <w:r w:rsidR="00857C55">
              <w:rPr>
                <w:sz w:val="18"/>
                <w:szCs w:val="18"/>
              </w:rPr>
              <w:t>20</w:t>
            </w:r>
            <w:r w:rsidR="00C1049E">
              <w:rPr>
                <w:sz w:val="18"/>
                <w:szCs w:val="18"/>
              </w:rPr>
              <w:t>, pero no se publican los informes elaborados por el Tribunal de Cuentas, que es a lo que se refiere el contenido material de esta obligación.</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7465AA" w:rsidRDefault="001A0BD4" w:rsidP="00857C55">
            <w:pPr>
              <w:rPr>
                <w:sz w:val="18"/>
                <w:szCs w:val="18"/>
              </w:rPr>
            </w:pPr>
            <w:r w:rsidRPr="007465AA">
              <w:rPr>
                <w:sz w:val="18"/>
                <w:szCs w:val="18"/>
              </w:rPr>
              <w:t>Retribuciones de los máximos responsables</w:t>
            </w:r>
            <w:r w:rsidR="00880290">
              <w:rPr>
                <w:sz w:val="18"/>
                <w:szCs w:val="18"/>
              </w:rPr>
              <w:t xml:space="preserve">: </w:t>
            </w:r>
          </w:p>
        </w:tc>
        <w:tc>
          <w:tcPr>
            <w:tcW w:w="709" w:type="dxa"/>
          </w:tcPr>
          <w:p w:rsidR="001A0BD4" w:rsidRPr="007465AA" w:rsidRDefault="001A0BD4" w:rsidP="001521CD">
            <w:pPr>
              <w:jc w:val="center"/>
              <w:rPr>
                <w:sz w:val="18"/>
                <w:szCs w:val="18"/>
              </w:rPr>
            </w:pPr>
          </w:p>
        </w:tc>
        <w:tc>
          <w:tcPr>
            <w:tcW w:w="2777" w:type="dxa"/>
          </w:tcPr>
          <w:p w:rsidR="001A0BD4" w:rsidRPr="007465AA" w:rsidRDefault="00825202" w:rsidP="00857C55">
            <w:pPr>
              <w:rPr>
                <w:sz w:val="18"/>
                <w:szCs w:val="18"/>
              </w:rPr>
            </w:pPr>
            <w:r>
              <w:rPr>
                <w:sz w:val="18"/>
                <w:szCs w:val="18"/>
              </w:rPr>
              <w:t>No</w:t>
            </w:r>
            <w:r w:rsidR="00C1049E">
              <w:rPr>
                <w:sz w:val="18"/>
                <w:szCs w:val="18"/>
              </w:rPr>
              <w:t xml:space="preserve">. </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7465AA" w:rsidRDefault="001A0BD4" w:rsidP="001521CD">
            <w:pPr>
              <w:rPr>
                <w:sz w:val="18"/>
                <w:szCs w:val="18"/>
              </w:rPr>
            </w:pPr>
            <w:r w:rsidRPr="007465AA">
              <w:rPr>
                <w:sz w:val="18"/>
                <w:szCs w:val="18"/>
              </w:rPr>
              <w:t>Indemnizaciones percibidas por Altos Cargos con ocasión del abandono del cargo</w:t>
            </w:r>
          </w:p>
        </w:tc>
        <w:tc>
          <w:tcPr>
            <w:tcW w:w="709" w:type="dxa"/>
          </w:tcPr>
          <w:p w:rsidR="001A0BD4" w:rsidRPr="007465AA" w:rsidRDefault="001A0BD4" w:rsidP="001521CD">
            <w:pPr>
              <w:jc w:val="center"/>
              <w:rPr>
                <w:sz w:val="18"/>
                <w:szCs w:val="18"/>
              </w:rPr>
            </w:pPr>
          </w:p>
        </w:tc>
        <w:tc>
          <w:tcPr>
            <w:tcW w:w="2777" w:type="dxa"/>
          </w:tcPr>
          <w:p w:rsidR="001A0BD4" w:rsidRPr="007465AA" w:rsidRDefault="00825202" w:rsidP="001521CD">
            <w:pPr>
              <w:rPr>
                <w:sz w:val="18"/>
                <w:szCs w:val="18"/>
              </w:rPr>
            </w:pPr>
            <w:r>
              <w:rPr>
                <w:sz w:val="18"/>
                <w:szCs w:val="18"/>
              </w:rPr>
              <w:t>No</w:t>
            </w:r>
          </w:p>
        </w:tc>
      </w:tr>
      <w:tr w:rsidR="008B6789" w:rsidRPr="007465AA" w:rsidTr="007465AA">
        <w:tc>
          <w:tcPr>
            <w:tcW w:w="1668" w:type="dxa"/>
            <w:vMerge/>
            <w:vAlign w:val="center"/>
          </w:tcPr>
          <w:p w:rsidR="008B6789" w:rsidRPr="007465AA" w:rsidRDefault="008B6789" w:rsidP="001521CD">
            <w:pPr>
              <w:rPr>
                <w:sz w:val="18"/>
                <w:szCs w:val="18"/>
              </w:rPr>
            </w:pPr>
          </w:p>
        </w:tc>
        <w:tc>
          <w:tcPr>
            <w:tcW w:w="5528" w:type="dxa"/>
          </w:tcPr>
          <w:p w:rsidR="008B6789" w:rsidRPr="001A0BD4" w:rsidRDefault="008B6789" w:rsidP="001521CD">
            <w:pPr>
              <w:rPr>
                <w:sz w:val="18"/>
                <w:szCs w:val="18"/>
              </w:rPr>
            </w:pPr>
            <w:r>
              <w:rPr>
                <w:sz w:val="18"/>
                <w:szCs w:val="18"/>
              </w:rPr>
              <w:t>Autorizaciones de compatibilidad concedidas a empleados: publicación en el Portal de Transparencia de la entidad</w:t>
            </w:r>
          </w:p>
        </w:tc>
        <w:tc>
          <w:tcPr>
            <w:tcW w:w="709" w:type="dxa"/>
          </w:tcPr>
          <w:p w:rsidR="008B6789" w:rsidRPr="007465AA" w:rsidRDefault="008B6789" w:rsidP="001521CD">
            <w:pPr>
              <w:jc w:val="center"/>
              <w:rPr>
                <w:sz w:val="18"/>
                <w:szCs w:val="18"/>
              </w:rPr>
            </w:pPr>
          </w:p>
        </w:tc>
        <w:tc>
          <w:tcPr>
            <w:tcW w:w="2777" w:type="dxa"/>
          </w:tcPr>
          <w:p w:rsidR="008B6789" w:rsidRDefault="008B6789" w:rsidP="00035DFF">
            <w:pPr>
              <w:rPr>
                <w:sz w:val="18"/>
                <w:szCs w:val="18"/>
              </w:rPr>
            </w:pPr>
            <w:r>
              <w:rPr>
                <w:sz w:val="18"/>
                <w:szCs w:val="18"/>
              </w:rPr>
              <w:t>No</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337C82" w:rsidRDefault="001A0BD4" w:rsidP="001521CD">
            <w:pPr>
              <w:rPr>
                <w:sz w:val="18"/>
                <w:szCs w:val="18"/>
              </w:rPr>
            </w:pPr>
            <w:r w:rsidRPr="001A0BD4">
              <w:rPr>
                <w:sz w:val="18"/>
                <w:szCs w:val="18"/>
              </w:rPr>
              <w:t>Autorización para actividad privada al cese de altos cargos en la AGE, CCAA o EELL</w:t>
            </w:r>
          </w:p>
        </w:tc>
        <w:tc>
          <w:tcPr>
            <w:tcW w:w="709" w:type="dxa"/>
          </w:tcPr>
          <w:p w:rsidR="001A0BD4" w:rsidRPr="007465AA" w:rsidRDefault="001A0BD4" w:rsidP="001521CD">
            <w:pPr>
              <w:jc w:val="center"/>
              <w:rPr>
                <w:sz w:val="18"/>
                <w:szCs w:val="18"/>
              </w:rPr>
            </w:pPr>
          </w:p>
        </w:tc>
        <w:tc>
          <w:tcPr>
            <w:tcW w:w="2777" w:type="dxa"/>
          </w:tcPr>
          <w:p w:rsidR="001A0BD4" w:rsidRPr="007465AA" w:rsidRDefault="00825202" w:rsidP="001521CD">
            <w:pPr>
              <w:rPr>
                <w:sz w:val="18"/>
                <w:szCs w:val="18"/>
              </w:rPr>
            </w:pPr>
            <w:r>
              <w:rPr>
                <w:sz w:val="18"/>
                <w:szCs w:val="18"/>
              </w:rPr>
              <w:t>No</w:t>
            </w:r>
          </w:p>
        </w:tc>
      </w:tr>
      <w:tr w:rsidR="00857C55" w:rsidRPr="007465AA" w:rsidTr="007465AA">
        <w:tc>
          <w:tcPr>
            <w:tcW w:w="1668" w:type="dxa"/>
            <w:vMerge/>
            <w:vAlign w:val="center"/>
          </w:tcPr>
          <w:p w:rsidR="00857C55" w:rsidRPr="007465AA" w:rsidRDefault="00857C55" w:rsidP="001521CD">
            <w:pPr>
              <w:rPr>
                <w:sz w:val="18"/>
                <w:szCs w:val="18"/>
              </w:rPr>
            </w:pPr>
          </w:p>
        </w:tc>
        <w:tc>
          <w:tcPr>
            <w:tcW w:w="5528" w:type="dxa"/>
          </w:tcPr>
          <w:p w:rsidR="00857C55" w:rsidRPr="00337C82" w:rsidRDefault="00857C55" w:rsidP="001521CD">
            <w:pPr>
              <w:rPr>
                <w:sz w:val="18"/>
                <w:szCs w:val="18"/>
              </w:rPr>
            </w:pPr>
            <w:r>
              <w:rPr>
                <w:sz w:val="18"/>
                <w:szCs w:val="18"/>
              </w:rPr>
              <w:t>Información Estadística sobre cumplimiento y calidad de los servicios: actualizar</w:t>
            </w:r>
          </w:p>
        </w:tc>
        <w:tc>
          <w:tcPr>
            <w:tcW w:w="709" w:type="dxa"/>
          </w:tcPr>
          <w:p w:rsidR="00857C55" w:rsidRPr="007465AA" w:rsidRDefault="00857C55" w:rsidP="001521CD">
            <w:pPr>
              <w:jc w:val="center"/>
              <w:rPr>
                <w:sz w:val="18"/>
                <w:szCs w:val="18"/>
              </w:rPr>
            </w:pPr>
          </w:p>
        </w:tc>
        <w:tc>
          <w:tcPr>
            <w:tcW w:w="2777" w:type="dxa"/>
          </w:tcPr>
          <w:p w:rsidR="00857C55" w:rsidRDefault="00857C55" w:rsidP="00857C55">
            <w:pPr>
              <w:rPr>
                <w:sz w:val="18"/>
                <w:szCs w:val="18"/>
              </w:rPr>
            </w:pPr>
            <w:r>
              <w:rPr>
                <w:sz w:val="18"/>
                <w:szCs w:val="18"/>
              </w:rPr>
              <w:t>No, la última memoria publicada sigue correspondiendo a 2018</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337C82" w:rsidRDefault="001A0BD4" w:rsidP="001521CD">
            <w:pPr>
              <w:rPr>
                <w:sz w:val="18"/>
                <w:szCs w:val="18"/>
              </w:rPr>
            </w:pPr>
            <w:r w:rsidRPr="00337C82">
              <w:rPr>
                <w:sz w:val="18"/>
                <w:szCs w:val="18"/>
              </w:rPr>
              <w:t>Relación de los bienes inmuebles que sean de su propiedad o sobre los que ostenten algún derecho real.</w:t>
            </w:r>
          </w:p>
        </w:tc>
        <w:tc>
          <w:tcPr>
            <w:tcW w:w="709" w:type="dxa"/>
          </w:tcPr>
          <w:p w:rsidR="001A0BD4" w:rsidRPr="007465AA" w:rsidRDefault="001A0BD4" w:rsidP="001521CD">
            <w:pPr>
              <w:jc w:val="center"/>
              <w:rPr>
                <w:sz w:val="18"/>
                <w:szCs w:val="18"/>
              </w:rPr>
            </w:pPr>
          </w:p>
        </w:tc>
        <w:tc>
          <w:tcPr>
            <w:tcW w:w="2777" w:type="dxa"/>
          </w:tcPr>
          <w:p w:rsidR="001A0BD4" w:rsidRPr="007465AA" w:rsidRDefault="00825202" w:rsidP="001521CD">
            <w:pPr>
              <w:rPr>
                <w:sz w:val="18"/>
                <w:szCs w:val="18"/>
              </w:rPr>
            </w:pPr>
            <w:r>
              <w:rPr>
                <w:sz w:val="18"/>
                <w:szCs w:val="18"/>
              </w:rPr>
              <w:t>No</w:t>
            </w:r>
          </w:p>
        </w:tc>
      </w:tr>
      <w:tr w:rsidR="00A249BB" w:rsidRPr="007465AA" w:rsidTr="007465AA">
        <w:trPr>
          <w:trHeight w:val="265"/>
        </w:trPr>
        <w:tc>
          <w:tcPr>
            <w:tcW w:w="1668" w:type="dxa"/>
            <w:vMerge w:val="restart"/>
            <w:vAlign w:val="center"/>
          </w:tcPr>
          <w:p w:rsidR="00A249BB" w:rsidRPr="007465AA" w:rsidRDefault="00A249BB" w:rsidP="001521CD">
            <w:pPr>
              <w:rPr>
                <w:sz w:val="18"/>
                <w:szCs w:val="18"/>
              </w:rPr>
            </w:pPr>
            <w:r w:rsidRPr="007465AA">
              <w:rPr>
                <w:sz w:val="18"/>
                <w:szCs w:val="18"/>
              </w:rPr>
              <w:t xml:space="preserve">Calidad de la Información </w:t>
            </w:r>
          </w:p>
        </w:tc>
        <w:tc>
          <w:tcPr>
            <w:tcW w:w="5528" w:type="dxa"/>
          </w:tcPr>
          <w:p w:rsidR="00A249BB" w:rsidRPr="007465AA" w:rsidRDefault="00A249BB" w:rsidP="001521CD">
            <w:pPr>
              <w:rPr>
                <w:sz w:val="18"/>
                <w:szCs w:val="18"/>
              </w:rPr>
            </w:pPr>
            <w:r w:rsidRPr="007465AA">
              <w:rPr>
                <w:sz w:val="18"/>
                <w:szCs w:val="18"/>
              </w:rPr>
              <w:t>Estructuración</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Accesibilidad </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Claridad</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Reutilización </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Datación y Actualización </w:t>
            </w:r>
          </w:p>
        </w:tc>
        <w:tc>
          <w:tcPr>
            <w:tcW w:w="709" w:type="dxa"/>
            <w:vAlign w:val="center"/>
          </w:tcPr>
          <w:p w:rsidR="00A249BB" w:rsidRPr="00715E7D" w:rsidRDefault="00A249BB" w:rsidP="00100121">
            <w:pPr>
              <w:pStyle w:val="Prrafodelista"/>
              <w:rPr>
                <w:sz w:val="18"/>
                <w:szCs w:val="18"/>
              </w:rPr>
            </w:pPr>
          </w:p>
        </w:tc>
        <w:tc>
          <w:tcPr>
            <w:tcW w:w="2777" w:type="dxa"/>
          </w:tcPr>
          <w:p w:rsidR="00A249BB" w:rsidRPr="007465AA" w:rsidRDefault="00100121" w:rsidP="001521CD">
            <w:pPr>
              <w:rPr>
                <w:sz w:val="18"/>
                <w:szCs w:val="18"/>
              </w:rPr>
            </w:pPr>
            <w:r>
              <w:rPr>
                <w:sz w:val="18"/>
                <w:szCs w:val="18"/>
              </w:rPr>
              <w:t>No</w:t>
            </w:r>
          </w:p>
        </w:tc>
      </w:tr>
      <w:tr w:rsidR="00A249BB" w:rsidRPr="007465AA" w:rsidTr="007465AA">
        <w:tc>
          <w:tcPr>
            <w:tcW w:w="7196" w:type="dxa"/>
            <w:gridSpan w:val="2"/>
          </w:tcPr>
          <w:p w:rsidR="00A249BB" w:rsidRPr="007465AA" w:rsidRDefault="00A249BB" w:rsidP="001521CD">
            <w:pPr>
              <w:jc w:val="right"/>
              <w:rPr>
                <w:b/>
                <w:sz w:val="18"/>
                <w:szCs w:val="18"/>
              </w:rPr>
            </w:pPr>
            <w:r w:rsidRPr="007465AA">
              <w:rPr>
                <w:b/>
                <w:sz w:val="18"/>
                <w:szCs w:val="18"/>
              </w:rPr>
              <w:t>Total Recomendaciones</w:t>
            </w:r>
          </w:p>
        </w:tc>
        <w:tc>
          <w:tcPr>
            <w:tcW w:w="709" w:type="dxa"/>
            <w:vAlign w:val="center"/>
          </w:tcPr>
          <w:p w:rsidR="00A249BB" w:rsidRPr="007465AA" w:rsidRDefault="00100121" w:rsidP="00D95052">
            <w:pPr>
              <w:jc w:val="center"/>
              <w:rPr>
                <w:b/>
                <w:sz w:val="18"/>
                <w:szCs w:val="18"/>
              </w:rPr>
            </w:pPr>
            <w:r>
              <w:rPr>
                <w:b/>
                <w:sz w:val="18"/>
                <w:szCs w:val="18"/>
              </w:rPr>
              <w:t>2</w:t>
            </w:r>
            <w:r w:rsidR="00D95052">
              <w:rPr>
                <w:b/>
                <w:sz w:val="18"/>
                <w:szCs w:val="18"/>
              </w:rPr>
              <w:t>8</w:t>
            </w:r>
          </w:p>
        </w:tc>
        <w:tc>
          <w:tcPr>
            <w:tcW w:w="2777" w:type="dxa"/>
          </w:tcPr>
          <w:p w:rsidR="00A249BB" w:rsidRPr="007465AA" w:rsidRDefault="00A249BB" w:rsidP="001521CD">
            <w:pPr>
              <w:rPr>
                <w:b/>
                <w:sz w:val="18"/>
                <w:szCs w:val="18"/>
              </w:rPr>
            </w:pPr>
          </w:p>
        </w:tc>
      </w:tr>
    </w:tbl>
    <w:p w:rsidR="003A1694" w:rsidRDefault="003A1694" w:rsidP="00AC4A6F"/>
    <w:p w:rsidR="00BA4354" w:rsidRDefault="00F825F0" w:rsidP="00DF56A7">
      <w:pPr>
        <w:jc w:val="both"/>
      </w:pPr>
      <w:r>
        <w:t>El INIA</w:t>
      </w:r>
      <w:r w:rsidR="00035DFF">
        <w:t xml:space="preserve"> </w:t>
      </w:r>
      <w:r w:rsidR="008B6789">
        <w:t xml:space="preserve">ha aplicado </w:t>
      </w:r>
      <w:r w:rsidR="00D95052">
        <w:t>1</w:t>
      </w:r>
      <w:r w:rsidR="008B6789">
        <w:t xml:space="preserve"> de las </w:t>
      </w:r>
      <w:r w:rsidR="00100121">
        <w:t>2</w:t>
      </w:r>
      <w:r w:rsidR="00D95052">
        <w:t>8</w:t>
      </w:r>
      <w:r w:rsidR="00035DFF">
        <w:t xml:space="preserve"> </w:t>
      </w:r>
      <w:r w:rsidR="008B6789">
        <w:t>recomendaciones derivadas de la evaluación 2022.</w:t>
      </w:r>
    </w:p>
    <w:p w:rsidR="00FA5AFD" w:rsidRDefault="00FA5AFD" w:rsidP="00AC4A6F"/>
    <w:p w:rsidR="00857C55" w:rsidRDefault="00857C55" w:rsidP="00AC4A6F"/>
    <w:p w:rsidR="00857C55" w:rsidRDefault="00857C55" w:rsidP="00AC4A6F"/>
    <w:p w:rsidR="00857C55" w:rsidRDefault="00857C55" w:rsidP="00AC4A6F"/>
    <w:p w:rsidR="00857C55" w:rsidRDefault="00857C55" w:rsidP="00AC4A6F"/>
    <w:p w:rsidR="00857C55" w:rsidRDefault="00857C55" w:rsidP="00AC4A6F"/>
    <w:p w:rsidR="00857C55" w:rsidRDefault="00857C55" w:rsidP="00AC4A6F"/>
    <w:p w:rsidR="00857C55" w:rsidRDefault="00857C55" w:rsidP="00AC4A6F"/>
    <w:p w:rsidR="00857C55" w:rsidRDefault="00857C55" w:rsidP="00AC4A6F"/>
    <w:p w:rsidR="00857C55" w:rsidRDefault="00857C55" w:rsidP="00AC4A6F"/>
    <w:p w:rsidR="00857C55" w:rsidRDefault="00857C55" w:rsidP="00AC4A6F"/>
    <w:p w:rsidR="00857C55" w:rsidRDefault="00857C55" w:rsidP="00AC4A6F"/>
    <w:p w:rsidR="00857C55" w:rsidRDefault="00857C55" w:rsidP="00AC4A6F"/>
    <w:p w:rsidR="00035DFF" w:rsidRDefault="00035DFF" w:rsidP="00AC4A6F"/>
    <w:p w:rsidR="003F6EDC" w:rsidRPr="002D27E4" w:rsidRDefault="002D27E4" w:rsidP="00035DFF">
      <w:pPr>
        <w:rPr>
          <w:b/>
          <w:color w:val="50866C"/>
          <w:sz w:val="30"/>
          <w:szCs w:val="30"/>
        </w:rPr>
      </w:pP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95052" w:rsidRPr="00F31BC3" w:rsidRDefault="00D95052"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D95052" w:rsidRPr="00F31BC3" w:rsidRDefault="00D95052"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5"/>
        <w:tblW w:w="11123" w:type="dxa"/>
        <w:tblInd w:w="108" w:type="dxa"/>
        <w:tblLook w:val="04A0" w:firstRow="1" w:lastRow="0" w:firstColumn="1" w:lastColumn="0" w:noHBand="0" w:noVBand="1"/>
      </w:tblPr>
      <w:tblGrid>
        <w:gridCol w:w="5001"/>
        <w:gridCol w:w="1007"/>
        <w:gridCol w:w="731"/>
        <w:gridCol w:w="731"/>
        <w:gridCol w:w="731"/>
        <w:gridCol w:w="731"/>
        <w:gridCol w:w="731"/>
        <w:gridCol w:w="731"/>
        <w:gridCol w:w="731"/>
      </w:tblGrid>
      <w:tr w:rsidR="00857C55" w:rsidRPr="00857C55" w:rsidTr="00857C55">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857C55" w:rsidRPr="00857C55" w:rsidRDefault="00857C55" w:rsidP="00857C55">
            <w:pPr>
              <w:spacing w:before="120" w:after="120" w:line="312" w:lineRule="auto"/>
              <w:ind w:left="113" w:right="113"/>
              <w:jc w:val="both"/>
              <w:rPr>
                <w:rFonts w:eastAsia="Calibri" w:cs="Calibri"/>
                <w:sz w:val="16"/>
                <w:szCs w:val="16"/>
              </w:rPr>
            </w:pPr>
          </w:p>
        </w:tc>
        <w:tc>
          <w:tcPr>
            <w:tcW w:w="998" w:type="dxa"/>
            <w:tcBorders>
              <w:top w:val="single" w:sz="18" w:space="0" w:color="FFFFFF" w:themeColor="background1"/>
            </w:tcBorders>
            <w:shd w:val="clear" w:color="auto" w:fill="00642D"/>
            <w:noWrap/>
            <w:textDirection w:val="btLr"/>
            <w:hideMark/>
          </w:tcPr>
          <w:p w:rsidR="00857C55" w:rsidRPr="00857C55" w:rsidRDefault="00857C55" w:rsidP="00857C5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57C55">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857C55" w:rsidRPr="00857C55" w:rsidRDefault="00857C55" w:rsidP="00857C5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57C55">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857C55" w:rsidRPr="00857C55" w:rsidRDefault="00857C55" w:rsidP="00857C5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57C55">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857C55" w:rsidRPr="00857C55" w:rsidRDefault="00857C55" w:rsidP="00857C5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57C55">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857C55" w:rsidRPr="00857C55" w:rsidRDefault="00857C55" w:rsidP="00857C5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57C55">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857C55" w:rsidRPr="00857C55" w:rsidRDefault="00857C55" w:rsidP="00857C5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57C55">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857C55" w:rsidRPr="00857C55" w:rsidRDefault="00857C55" w:rsidP="00857C5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57C55">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857C55" w:rsidRPr="00857C55" w:rsidRDefault="00857C55" w:rsidP="00857C5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57C55">
              <w:rPr>
                <w:rFonts w:eastAsia="Calibri" w:cs="Calibri"/>
                <w:sz w:val="16"/>
                <w:szCs w:val="16"/>
              </w:rPr>
              <w:t>Total</w:t>
            </w:r>
          </w:p>
        </w:tc>
      </w:tr>
      <w:tr w:rsidR="00857C55" w:rsidRPr="00857C55" w:rsidTr="00857C5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57C55" w:rsidRPr="00857C55" w:rsidRDefault="00857C55" w:rsidP="00857C55">
            <w:pPr>
              <w:spacing w:before="120" w:after="120" w:line="312" w:lineRule="auto"/>
              <w:rPr>
                <w:rFonts w:eastAsia="Calibri" w:cs="Calibri"/>
                <w:sz w:val="16"/>
                <w:szCs w:val="16"/>
              </w:rPr>
            </w:pPr>
            <w:r w:rsidRPr="00857C55">
              <w:rPr>
                <w:rFonts w:eastAsia="Calibri" w:cs="Calibri"/>
                <w:sz w:val="16"/>
                <w:szCs w:val="16"/>
              </w:rPr>
              <w:t>Institucional, Organizativa y de Planificación</w:t>
            </w:r>
          </w:p>
        </w:tc>
        <w:tc>
          <w:tcPr>
            <w:tcW w:w="998" w:type="dxa"/>
            <w:tcBorders>
              <w:left w:val="single" w:sz="18" w:space="0" w:color="FFFFFF" w:themeColor="background1"/>
            </w:tcBorders>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40,0</w:t>
            </w:r>
          </w:p>
        </w:tc>
        <w:tc>
          <w:tcPr>
            <w:tcW w:w="0" w:type="auto"/>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40,0</w:t>
            </w:r>
          </w:p>
        </w:tc>
        <w:tc>
          <w:tcPr>
            <w:tcW w:w="0" w:type="auto"/>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40,0</w:t>
            </w:r>
          </w:p>
        </w:tc>
        <w:tc>
          <w:tcPr>
            <w:tcW w:w="0" w:type="auto"/>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40,0</w:t>
            </w:r>
          </w:p>
        </w:tc>
        <w:tc>
          <w:tcPr>
            <w:tcW w:w="0" w:type="auto"/>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40,0</w:t>
            </w:r>
          </w:p>
        </w:tc>
        <w:tc>
          <w:tcPr>
            <w:tcW w:w="0" w:type="auto"/>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40,0</w:t>
            </w:r>
          </w:p>
        </w:tc>
        <w:tc>
          <w:tcPr>
            <w:tcW w:w="0" w:type="auto"/>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5,0</w:t>
            </w:r>
          </w:p>
        </w:tc>
        <w:tc>
          <w:tcPr>
            <w:tcW w:w="0" w:type="auto"/>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35,0</w:t>
            </w:r>
          </w:p>
        </w:tc>
      </w:tr>
      <w:tr w:rsidR="00857C55" w:rsidRPr="00857C55" w:rsidTr="00857C55">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857C55" w:rsidRPr="00857C55" w:rsidRDefault="00857C55" w:rsidP="00857C55">
            <w:pPr>
              <w:spacing w:before="120" w:after="120" w:line="312" w:lineRule="auto"/>
              <w:jc w:val="both"/>
              <w:rPr>
                <w:rFonts w:eastAsia="Calibri" w:cs="Calibri"/>
                <w:sz w:val="16"/>
                <w:szCs w:val="16"/>
              </w:rPr>
            </w:pPr>
            <w:r w:rsidRPr="00857C55">
              <w:rPr>
                <w:rFonts w:eastAsia="Calibri" w:cs="Calibri"/>
                <w:sz w:val="16"/>
                <w:szCs w:val="16"/>
              </w:rPr>
              <w:t xml:space="preserve">De relevancia jurídica </w:t>
            </w:r>
          </w:p>
        </w:tc>
        <w:tc>
          <w:tcPr>
            <w:tcW w:w="6122" w:type="dxa"/>
            <w:gridSpan w:val="8"/>
            <w:tcBorders>
              <w:left w:val="single" w:sz="18" w:space="0" w:color="FFFFFF" w:themeColor="background1"/>
            </w:tcBorders>
            <w:noWrap/>
            <w:vAlign w:val="center"/>
          </w:tcPr>
          <w:p w:rsidR="00857C55" w:rsidRPr="00857C55" w:rsidRDefault="00857C55" w:rsidP="00857C55">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No aplicable</w:t>
            </w:r>
          </w:p>
        </w:tc>
      </w:tr>
      <w:tr w:rsidR="00857C55" w:rsidRPr="00857C55" w:rsidTr="00857C5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57C55" w:rsidRPr="00857C55" w:rsidRDefault="00857C55" w:rsidP="00857C55">
            <w:pPr>
              <w:spacing w:before="120" w:after="120" w:line="312" w:lineRule="auto"/>
              <w:rPr>
                <w:rFonts w:eastAsia="Calibri" w:cs="Calibri"/>
                <w:sz w:val="16"/>
                <w:szCs w:val="16"/>
              </w:rPr>
            </w:pPr>
            <w:r w:rsidRPr="00857C55">
              <w:rPr>
                <w:rFonts w:eastAsia="Calibri" w:cs="Calibri"/>
                <w:sz w:val="16"/>
                <w:szCs w:val="16"/>
              </w:rPr>
              <w:t>Económica , Presupuestaria y Estadística</w:t>
            </w:r>
          </w:p>
        </w:tc>
        <w:tc>
          <w:tcPr>
            <w:tcW w:w="998" w:type="dxa"/>
            <w:tcBorders>
              <w:left w:val="single" w:sz="18" w:space="0" w:color="FFFFFF" w:themeColor="background1"/>
            </w:tcBorders>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0,0</w:t>
            </w:r>
          </w:p>
        </w:tc>
        <w:tc>
          <w:tcPr>
            <w:tcW w:w="0" w:type="auto"/>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0,0</w:t>
            </w:r>
          </w:p>
        </w:tc>
        <w:tc>
          <w:tcPr>
            <w:tcW w:w="0" w:type="auto"/>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0,0</w:t>
            </w:r>
          </w:p>
        </w:tc>
        <w:tc>
          <w:tcPr>
            <w:tcW w:w="0" w:type="auto"/>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0,0</w:t>
            </w:r>
          </w:p>
        </w:tc>
        <w:tc>
          <w:tcPr>
            <w:tcW w:w="0" w:type="auto"/>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0,0</w:t>
            </w:r>
          </w:p>
        </w:tc>
        <w:tc>
          <w:tcPr>
            <w:tcW w:w="0" w:type="auto"/>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0,0</w:t>
            </w:r>
          </w:p>
        </w:tc>
        <w:tc>
          <w:tcPr>
            <w:tcW w:w="0" w:type="auto"/>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0,0</w:t>
            </w:r>
          </w:p>
        </w:tc>
        <w:tc>
          <w:tcPr>
            <w:tcW w:w="0" w:type="auto"/>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0,0</w:t>
            </w:r>
          </w:p>
        </w:tc>
      </w:tr>
      <w:tr w:rsidR="00857C55" w:rsidRPr="00857C55" w:rsidTr="00857C55">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857C55" w:rsidRPr="00857C55" w:rsidRDefault="00857C55" w:rsidP="00857C55">
            <w:pPr>
              <w:spacing w:before="120" w:after="120" w:line="312" w:lineRule="auto"/>
              <w:rPr>
                <w:rFonts w:eastAsia="Calibri" w:cs="Calibri"/>
                <w:sz w:val="16"/>
                <w:szCs w:val="16"/>
              </w:rPr>
            </w:pPr>
            <w:r w:rsidRPr="00857C55">
              <w:rPr>
                <w:rFonts w:eastAsia="Calibri" w:cs="Calibri"/>
                <w:sz w:val="16"/>
                <w:szCs w:val="16"/>
              </w:rPr>
              <w:t>Información patrimonial</w:t>
            </w:r>
          </w:p>
        </w:tc>
        <w:tc>
          <w:tcPr>
            <w:tcW w:w="998" w:type="dxa"/>
            <w:tcBorders>
              <w:left w:val="single" w:sz="18" w:space="0" w:color="FFFFFF" w:themeColor="background1"/>
            </w:tcBorders>
            <w:noWrap/>
            <w:vAlign w:val="center"/>
          </w:tcPr>
          <w:p w:rsidR="00857C55" w:rsidRPr="00857C55" w:rsidRDefault="00857C55" w:rsidP="00857C55">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0,0</w:t>
            </w:r>
          </w:p>
        </w:tc>
        <w:tc>
          <w:tcPr>
            <w:tcW w:w="0" w:type="auto"/>
            <w:noWrap/>
            <w:vAlign w:val="center"/>
          </w:tcPr>
          <w:p w:rsidR="00857C55" w:rsidRPr="00857C55" w:rsidRDefault="00857C55" w:rsidP="00857C55">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0,0</w:t>
            </w:r>
          </w:p>
        </w:tc>
        <w:tc>
          <w:tcPr>
            <w:tcW w:w="0" w:type="auto"/>
            <w:noWrap/>
            <w:vAlign w:val="center"/>
          </w:tcPr>
          <w:p w:rsidR="00857C55" w:rsidRPr="00857C55" w:rsidRDefault="00857C55" w:rsidP="00857C55">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0,0</w:t>
            </w:r>
          </w:p>
        </w:tc>
        <w:tc>
          <w:tcPr>
            <w:tcW w:w="0" w:type="auto"/>
            <w:noWrap/>
            <w:vAlign w:val="center"/>
          </w:tcPr>
          <w:p w:rsidR="00857C55" w:rsidRPr="00857C55" w:rsidRDefault="00857C55" w:rsidP="00857C55">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0,0</w:t>
            </w:r>
          </w:p>
        </w:tc>
        <w:tc>
          <w:tcPr>
            <w:tcW w:w="0" w:type="auto"/>
            <w:noWrap/>
            <w:vAlign w:val="center"/>
          </w:tcPr>
          <w:p w:rsidR="00857C55" w:rsidRPr="00857C55" w:rsidRDefault="00857C55" w:rsidP="00857C55">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0,0</w:t>
            </w:r>
          </w:p>
        </w:tc>
        <w:tc>
          <w:tcPr>
            <w:tcW w:w="0" w:type="auto"/>
            <w:noWrap/>
            <w:vAlign w:val="center"/>
          </w:tcPr>
          <w:p w:rsidR="00857C55" w:rsidRPr="00857C55" w:rsidRDefault="00857C55" w:rsidP="00857C55">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0,0</w:t>
            </w:r>
          </w:p>
        </w:tc>
        <w:tc>
          <w:tcPr>
            <w:tcW w:w="0" w:type="auto"/>
            <w:noWrap/>
            <w:vAlign w:val="center"/>
          </w:tcPr>
          <w:p w:rsidR="00857C55" w:rsidRPr="00857C55" w:rsidRDefault="00857C55" w:rsidP="00857C55">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0,0</w:t>
            </w:r>
          </w:p>
        </w:tc>
        <w:tc>
          <w:tcPr>
            <w:tcW w:w="0" w:type="auto"/>
            <w:noWrap/>
            <w:vAlign w:val="center"/>
          </w:tcPr>
          <w:p w:rsidR="00857C55" w:rsidRPr="00857C55" w:rsidRDefault="00857C55" w:rsidP="00857C55">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857C55">
              <w:rPr>
                <w:rFonts w:eastAsia="Calibri" w:cs="Times New Roman"/>
                <w:sz w:val="16"/>
                <w:szCs w:val="16"/>
              </w:rPr>
              <w:t>0,0</w:t>
            </w:r>
          </w:p>
        </w:tc>
      </w:tr>
      <w:tr w:rsidR="00857C55" w:rsidRPr="00857C55" w:rsidTr="00857C5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57C55" w:rsidRPr="00857C55" w:rsidRDefault="00857C55" w:rsidP="00857C55">
            <w:pPr>
              <w:spacing w:before="120" w:after="120" w:line="312" w:lineRule="auto"/>
              <w:jc w:val="center"/>
              <w:rPr>
                <w:rFonts w:eastAsia="Calibri" w:cs="Calibri"/>
                <w:i/>
                <w:sz w:val="16"/>
                <w:szCs w:val="16"/>
              </w:rPr>
            </w:pPr>
            <w:r w:rsidRPr="00857C55">
              <w:rPr>
                <w:rFonts w:eastAsia="Calibri" w:cs="Calibri"/>
                <w:i/>
                <w:sz w:val="16"/>
                <w:szCs w:val="16"/>
              </w:rPr>
              <w:t>Índice de Cumplimiento de la Información Obligatoria</w:t>
            </w:r>
          </w:p>
        </w:tc>
        <w:tc>
          <w:tcPr>
            <w:tcW w:w="998" w:type="dxa"/>
            <w:tcBorders>
              <w:left w:val="single" w:sz="18" w:space="0" w:color="FFFFFF" w:themeColor="background1"/>
            </w:tcBorders>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16"/>
                <w:szCs w:val="16"/>
              </w:rPr>
            </w:pPr>
            <w:r w:rsidRPr="00857C55">
              <w:rPr>
                <w:rFonts w:eastAsia="Calibri" w:cs="Times New Roman"/>
                <w:b/>
                <w:i/>
                <w:sz w:val="16"/>
                <w:szCs w:val="16"/>
              </w:rPr>
              <w:t>13,3</w:t>
            </w:r>
          </w:p>
        </w:tc>
        <w:tc>
          <w:tcPr>
            <w:tcW w:w="0" w:type="auto"/>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16"/>
                <w:szCs w:val="16"/>
              </w:rPr>
            </w:pPr>
            <w:r w:rsidRPr="00857C55">
              <w:rPr>
                <w:rFonts w:eastAsia="Calibri" w:cs="Times New Roman"/>
                <w:b/>
                <w:i/>
                <w:sz w:val="16"/>
                <w:szCs w:val="16"/>
              </w:rPr>
              <w:t>13,3</w:t>
            </w:r>
          </w:p>
        </w:tc>
        <w:tc>
          <w:tcPr>
            <w:tcW w:w="0" w:type="auto"/>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16"/>
                <w:szCs w:val="16"/>
              </w:rPr>
            </w:pPr>
            <w:r w:rsidRPr="00857C55">
              <w:rPr>
                <w:rFonts w:eastAsia="Calibri" w:cs="Times New Roman"/>
                <w:b/>
                <w:i/>
                <w:sz w:val="16"/>
                <w:szCs w:val="16"/>
              </w:rPr>
              <w:t>13,3</w:t>
            </w:r>
          </w:p>
        </w:tc>
        <w:tc>
          <w:tcPr>
            <w:tcW w:w="0" w:type="auto"/>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16"/>
                <w:szCs w:val="16"/>
              </w:rPr>
            </w:pPr>
            <w:r w:rsidRPr="00857C55">
              <w:rPr>
                <w:rFonts w:eastAsia="Calibri" w:cs="Times New Roman"/>
                <w:b/>
                <w:i/>
                <w:sz w:val="16"/>
                <w:szCs w:val="16"/>
              </w:rPr>
              <w:t>13,3</w:t>
            </w:r>
          </w:p>
        </w:tc>
        <w:tc>
          <w:tcPr>
            <w:tcW w:w="0" w:type="auto"/>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16"/>
                <w:szCs w:val="16"/>
              </w:rPr>
            </w:pPr>
            <w:r w:rsidRPr="00857C55">
              <w:rPr>
                <w:rFonts w:eastAsia="Calibri" w:cs="Times New Roman"/>
                <w:b/>
                <w:i/>
                <w:sz w:val="16"/>
                <w:szCs w:val="16"/>
              </w:rPr>
              <w:t>13,3</w:t>
            </w:r>
          </w:p>
        </w:tc>
        <w:tc>
          <w:tcPr>
            <w:tcW w:w="0" w:type="auto"/>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16"/>
                <w:szCs w:val="16"/>
              </w:rPr>
            </w:pPr>
            <w:r w:rsidRPr="00857C55">
              <w:rPr>
                <w:rFonts w:eastAsia="Calibri" w:cs="Times New Roman"/>
                <w:b/>
                <w:i/>
                <w:sz w:val="16"/>
                <w:szCs w:val="16"/>
              </w:rPr>
              <w:t>13,3</w:t>
            </w:r>
          </w:p>
        </w:tc>
        <w:tc>
          <w:tcPr>
            <w:tcW w:w="0" w:type="auto"/>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16"/>
                <w:szCs w:val="16"/>
              </w:rPr>
            </w:pPr>
            <w:r w:rsidRPr="00857C55">
              <w:rPr>
                <w:rFonts w:eastAsia="Calibri" w:cs="Times New Roman"/>
                <w:b/>
                <w:i/>
                <w:sz w:val="16"/>
                <w:szCs w:val="16"/>
              </w:rPr>
              <w:t>1,7</w:t>
            </w:r>
          </w:p>
        </w:tc>
        <w:tc>
          <w:tcPr>
            <w:tcW w:w="0" w:type="auto"/>
            <w:noWrap/>
            <w:vAlign w:val="center"/>
          </w:tcPr>
          <w:p w:rsidR="00857C55" w:rsidRPr="00857C55" w:rsidRDefault="00857C55" w:rsidP="00857C55">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16"/>
                <w:szCs w:val="16"/>
              </w:rPr>
            </w:pPr>
            <w:r w:rsidRPr="00857C55">
              <w:rPr>
                <w:rFonts w:eastAsia="Calibri" w:cs="Times New Roman"/>
                <w:b/>
                <w:i/>
                <w:sz w:val="16"/>
                <w:szCs w:val="16"/>
              </w:rPr>
              <w:t>11,7</w:t>
            </w:r>
          </w:p>
        </w:tc>
      </w:tr>
    </w:tbl>
    <w:p w:rsidR="00100121" w:rsidRDefault="00100121" w:rsidP="00F05E2C">
      <w:pPr>
        <w:pStyle w:val="Cuerpodelboletn"/>
        <w:rPr>
          <w:lang w:bidi="es-ES"/>
        </w:rPr>
      </w:pPr>
    </w:p>
    <w:p w:rsidR="00A670E9" w:rsidRDefault="004061BC" w:rsidP="00F05E2C">
      <w:pPr>
        <w:pStyle w:val="Cuerpodelboletn"/>
      </w:pPr>
      <w:r>
        <w:rPr>
          <w:lang w:bidi="es-ES"/>
        </w:rPr>
        <w:t xml:space="preserve">El Índice de Cumplimiento de la Información Obligatoria (ICIO) se sitúa en el </w:t>
      </w:r>
      <w:r w:rsidR="00D95052">
        <w:rPr>
          <w:lang w:bidi="es-ES"/>
        </w:rPr>
        <w:t>11</w:t>
      </w:r>
      <w:r w:rsidR="00880290">
        <w:rPr>
          <w:lang w:bidi="es-ES"/>
        </w:rPr>
        <w:t>,7</w:t>
      </w:r>
      <w:r>
        <w:rPr>
          <w:lang w:bidi="es-ES"/>
        </w:rPr>
        <w:t>%.</w:t>
      </w:r>
      <w:r w:rsidR="00BB3652">
        <w:rPr>
          <w:lang w:bidi="es-ES"/>
        </w:rPr>
        <w:t xml:space="preserve"> Respecto de 202</w:t>
      </w:r>
      <w:r w:rsidR="004413FC">
        <w:rPr>
          <w:lang w:bidi="es-ES"/>
        </w:rPr>
        <w:t>2</w:t>
      </w:r>
      <w:r w:rsidR="00BB3652">
        <w:rPr>
          <w:lang w:bidi="es-ES"/>
        </w:rPr>
        <w:t xml:space="preserve"> </w:t>
      </w:r>
      <w:r w:rsidR="00D95052">
        <w:rPr>
          <w:lang w:bidi="es-ES"/>
        </w:rPr>
        <w:t>este nivel de cumplimiento ha permanecido estable</w:t>
      </w:r>
      <w:r w:rsidR="00880290">
        <w:rPr>
          <w:lang w:bidi="es-ES"/>
        </w:rPr>
        <w:t xml:space="preserve">, </w:t>
      </w:r>
      <w:r w:rsidR="00D95052">
        <w:rPr>
          <w:lang w:bidi="es-ES"/>
        </w:rPr>
        <w:t>ya que la única recomendación aplicada – actualización de las cuentas anuales – no incluye las cuentas correspondientes al ejercicio 2021</w:t>
      </w:r>
      <w:r w:rsidR="00035DFF">
        <w:rPr>
          <w:lang w:bidi="es-ES"/>
        </w:rPr>
        <w:t>.</w:t>
      </w:r>
      <w:r w:rsidR="0076567C">
        <w:t xml:space="preserve"> </w:t>
      </w: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4413FC" w:rsidRDefault="00D95052" w:rsidP="004413FC">
      <w:pPr>
        <w:pStyle w:val="Cuerpodelboletn"/>
      </w:pPr>
      <w:r>
        <w:t>E</w:t>
      </w:r>
      <w:r w:rsidR="004413FC">
        <w:t xml:space="preserve">ste CTBG no puede menos que </w:t>
      </w:r>
      <w:r w:rsidR="004413FC" w:rsidRPr="00BB3652">
        <w:rPr>
          <w:b/>
        </w:rPr>
        <w:t xml:space="preserve">valorar </w:t>
      </w:r>
      <w:r>
        <w:rPr>
          <w:b/>
        </w:rPr>
        <w:t xml:space="preserve">muy </w:t>
      </w:r>
      <w:r w:rsidR="004413FC" w:rsidRPr="00BB3652">
        <w:rPr>
          <w:b/>
        </w:rPr>
        <w:t>negativamente</w:t>
      </w:r>
      <w:r w:rsidR="004413FC">
        <w:t xml:space="preserve"> </w:t>
      </w:r>
      <w:r w:rsidR="00880290">
        <w:t xml:space="preserve">el </w:t>
      </w:r>
      <w:r w:rsidR="004413FC">
        <w:t>cumplimiento de las obligaciones de publicidad activa por parte de</w:t>
      </w:r>
      <w:r>
        <w:t>l</w:t>
      </w:r>
      <w:r w:rsidR="004413FC">
        <w:t xml:space="preserve"> </w:t>
      </w:r>
      <w:r>
        <w:t>INIA</w:t>
      </w:r>
      <w:r w:rsidR="00035DFF">
        <w:t>.</w:t>
      </w:r>
      <w:r w:rsidR="004413FC">
        <w:t xml:space="preserve"> </w:t>
      </w:r>
      <w:r>
        <w:t>El Índice de cumplimiento permanece en los mismos valores que en 2022, s</w:t>
      </w:r>
      <w:r w:rsidR="00035DFF">
        <w:t>ólo</w:t>
      </w:r>
      <w:r w:rsidR="009E1DDF">
        <w:t xml:space="preserve"> se ha aplicado </w:t>
      </w:r>
      <w:r>
        <w:t xml:space="preserve">una </w:t>
      </w:r>
      <w:r w:rsidR="004413FC">
        <w:t>de las recomendaciones derivadas de la evaluación realizada en 202</w:t>
      </w:r>
      <w:r w:rsidR="00117FA9">
        <w:t>2</w:t>
      </w:r>
      <w:r w:rsidR="00880290">
        <w:t xml:space="preserve"> y, c</w:t>
      </w:r>
      <w:r w:rsidR="004413FC">
        <w:t>omo consecuencia de esto</w:t>
      </w:r>
      <w:r w:rsidR="00880290">
        <w:t>,</w:t>
      </w:r>
      <w:r w:rsidR="004413FC">
        <w:t xml:space="preserve"> persisten</w:t>
      </w:r>
      <w:r w:rsidR="00880290">
        <w:t xml:space="preserve"> la mayoría de</w:t>
      </w:r>
      <w:r w:rsidR="004413FC">
        <w:t xml:space="preserve"> los déficits evidenciados en dicha evaluación: </w:t>
      </w:r>
    </w:p>
    <w:p w:rsidR="004413FC" w:rsidRDefault="004413FC" w:rsidP="004413F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555E9F7A" wp14:editId="2A18EC0E">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95052" w:rsidRPr="00F31BC3" w:rsidRDefault="00D95052" w:rsidP="004413FC">
                            <w:r w:rsidRPr="00965C69">
                              <w:rPr>
                                <w:noProof/>
                                <w:lang w:eastAsia="es-ES"/>
                              </w:rPr>
                              <w:drawing>
                                <wp:inline distT="0" distB="0" distL="0" distR="0" wp14:anchorId="76484A1D" wp14:editId="4E50435B">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D95052" w:rsidRPr="00F31BC3" w:rsidRDefault="00D95052" w:rsidP="004413FC">
                      <w:r w:rsidRPr="00965C69">
                        <w:rPr>
                          <w:noProof/>
                          <w:lang w:eastAsia="es-ES"/>
                        </w:rPr>
                        <w:drawing>
                          <wp:inline distT="0" distB="0" distL="0" distR="0" wp14:anchorId="76484A1D" wp14:editId="4E50435B">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19249BAC" wp14:editId="2C74CD02">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035DFF" w:rsidRDefault="004D1FFB" w:rsidP="00035DFF">
      <w:pPr>
        <w:pStyle w:val="Sinespaciado"/>
        <w:numPr>
          <w:ilvl w:val="0"/>
          <w:numId w:val="18"/>
        </w:numPr>
        <w:spacing w:line="276" w:lineRule="auto"/>
        <w:jc w:val="both"/>
        <w:rPr>
          <w:rFonts w:ascii="Century Gothic" w:hAnsi="Century Gothic"/>
        </w:rPr>
      </w:pPr>
      <w:r>
        <w:rPr>
          <w:rFonts w:ascii="Century Gothic" w:hAnsi="Century Gothic"/>
        </w:rPr>
        <w:t>S</w:t>
      </w:r>
      <w:r w:rsidRPr="004D1FFB">
        <w:rPr>
          <w:rFonts w:ascii="Century Gothic" w:hAnsi="Century Gothic"/>
        </w:rPr>
        <w:t xml:space="preserve">igue sin </w:t>
      </w:r>
      <w:r>
        <w:rPr>
          <w:rFonts w:ascii="Century Gothic" w:hAnsi="Century Gothic"/>
        </w:rPr>
        <w:t>o</w:t>
      </w:r>
      <w:r w:rsidR="00035DFF" w:rsidRPr="004D1FFB">
        <w:rPr>
          <w:rFonts w:ascii="Century Gothic" w:hAnsi="Century Gothic"/>
        </w:rPr>
        <w:t>rganizarse la información conforme al patrón de bloques que establece la LTAIBG: Información Institucional, Organizativa y de Planificación</w:t>
      </w:r>
      <w:r w:rsidR="00D95052">
        <w:rPr>
          <w:rFonts w:ascii="Century Gothic" w:hAnsi="Century Gothic"/>
        </w:rPr>
        <w:t>; Información  de Relevancia Jurídica;</w:t>
      </w:r>
      <w:r>
        <w:rPr>
          <w:rFonts w:ascii="Century Gothic" w:hAnsi="Century Gothic"/>
        </w:rPr>
        <w:t xml:space="preserve"> </w:t>
      </w:r>
      <w:r w:rsidR="00035DFF" w:rsidRPr="004D1FFB">
        <w:rPr>
          <w:rFonts w:ascii="Century Gothic" w:hAnsi="Century Gothic"/>
        </w:rPr>
        <w:t>Información Económic</w:t>
      </w:r>
      <w:r w:rsidR="00D95052">
        <w:rPr>
          <w:rFonts w:ascii="Century Gothic" w:hAnsi="Century Gothic"/>
        </w:rPr>
        <w:t>a, Presupuestaria y Estadística; Información Patrimonial</w:t>
      </w:r>
    </w:p>
    <w:p w:rsidR="004D1FFB" w:rsidRPr="004D1FFB" w:rsidRDefault="004D1FFB" w:rsidP="00035DFF">
      <w:pPr>
        <w:pStyle w:val="Sinespaciado"/>
        <w:numPr>
          <w:ilvl w:val="0"/>
          <w:numId w:val="18"/>
        </w:numPr>
        <w:spacing w:line="276" w:lineRule="auto"/>
        <w:jc w:val="both"/>
        <w:rPr>
          <w:rFonts w:ascii="Century Gothic" w:hAnsi="Century Gothic"/>
        </w:rPr>
      </w:pPr>
      <w:r>
        <w:rPr>
          <w:rFonts w:ascii="Century Gothic" w:hAnsi="Century Gothic"/>
        </w:rPr>
        <w:t>También sigue localizándose información obligatoria fuera del Portal de Transparencia</w:t>
      </w:r>
    </w:p>
    <w:p w:rsidR="004413FC" w:rsidRDefault="004413FC" w:rsidP="004413FC">
      <w:pPr>
        <w:pStyle w:val="Sinespaciado"/>
        <w:spacing w:line="276" w:lineRule="auto"/>
        <w:ind w:left="720"/>
        <w:jc w:val="both"/>
        <w:rPr>
          <w:rFonts w:ascii="Century Gothic" w:hAnsi="Century Gothic"/>
        </w:rPr>
      </w:pPr>
    </w:p>
    <w:p w:rsidR="004413FC" w:rsidRDefault="004413FC" w:rsidP="004413FC">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Pr>
          <w:rFonts w:ascii="Century Gothic" w:hAnsi="Century Gothic"/>
        </w:rPr>
        <w:t>sigue sin publicarse:</w:t>
      </w:r>
    </w:p>
    <w:p w:rsidR="004413FC" w:rsidRDefault="004413FC" w:rsidP="004413FC">
      <w:pPr>
        <w:pStyle w:val="Prrafodelista"/>
      </w:pPr>
    </w:p>
    <w:p w:rsidR="004413FC" w:rsidRDefault="004413FC" w:rsidP="004413FC">
      <w:pPr>
        <w:pStyle w:val="Sinespaciado"/>
        <w:numPr>
          <w:ilvl w:val="0"/>
          <w:numId w:val="20"/>
        </w:numPr>
        <w:spacing w:line="276" w:lineRule="auto"/>
        <w:jc w:val="both"/>
        <w:rPr>
          <w:rFonts w:ascii="Century Gothic" w:hAnsi="Century Gothic"/>
        </w:rPr>
      </w:pPr>
      <w:r>
        <w:rPr>
          <w:rFonts w:ascii="Century Gothic" w:hAnsi="Century Gothic"/>
        </w:rPr>
        <w:lastRenderedPageBreak/>
        <w:t xml:space="preserve">Dentro del bloque de información Institucional y Organizativa: </w:t>
      </w:r>
    </w:p>
    <w:p w:rsidR="00035DFF" w:rsidRPr="00035DFF" w:rsidRDefault="00035DFF" w:rsidP="00035DFF">
      <w:pPr>
        <w:pStyle w:val="Prrafodelista"/>
        <w:numPr>
          <w:ilvl w:val="1"/>
          <w:numId w:val="20"/>
        </w:numPr>
        <w:rPr>
          <w:szCs w:val="22"/>
        </w:rPr>
      </w:pPr>
      <w:r>
        <w:t xml:space="preserve">El organigrama, entendido como la representación gráfica </w:t>
      </w:r>
      <w:r w:rsidRPr="00035DFF">
        <w:rPr>
          <w:szCs w:val="22"/>
        </w:rPr>
        <w:t>de la estructura de la entidad y de las relaciones entre los diversos niveles de dicha estructura.</w:t>
      </w:r>
    </w:p>
    <w:p w:rsidR="004413FC" w:rsidRPr="00D95052" w:rsidRDefault="004D1FFB" w:rsidP="00035DFF">
      <w:pPr>
        <w:pStyle w:val="Prrafodelista"/>
        <w:numPr>
          <w:ilvl w:val="1"/>
          <w:numId w:val="20"/>
        </w:numPr>
        <w:spacing w:line="276" w:lineRule="auto"/>
        <w:ind w:left="2127"/>
        <w:jc w:val="both"/>
      </w:pPr>
      <w:r>
        <w:rPr>
          <w:szCs w:val="22"/>
        </w:rPr>
        <w:t>El Registro de Actividades de Tratamiento</w:t>
      </w:r>
    </w:p>
    <w:p w:rsidR="00D95052" w:rsidRPr="00D95052" w:rsidRDefault="00D95052" w:rsidP="00035DFF">
      <w:pPr>
        <w:pStyle w:val="Prrafodelista"/>
        <w:numPr>
          <w:ilvl w:val="1"/>
          <w:numId w:val="20"/>
        </w:numPr>
        <w:spacing w:line="276" w:lineRule="auto"/>
        <w:ind w:left="2127"/>
        <w:jc w:val="both"/>
      </w:pPr>
      <w:r>
        <w:rPr>
          <w:szCs w:val="22"/>
        </w:rPr>
        <w:t>El perfil y  trayectoria profesional de los máximos responsables</w:t>
      </w:r>
    </w:p>
    <w:p w:rsidR="00D95052" w:rsidRPr="00D95052" w:rsidRDefault="00D95052" w:rsidP="00035DFF">
      <w:pPr>
        <w:pStyle w:val="Prrafodelista"/>
        <w:numPr>
          <w:ilvl w:val="1"/>
          <w:numId w:val="20"/>
        </w:numPr>
        <w:spacing w:line="276" w:lineRule="auto"/>
        <w:ind w:left="2127"/>
        <w:jc w:val="both"/>
      </w:pPr>
      <w:r>
        <w:rPr>
          <w:szCs w:val="22"/>
        </w:rPr>
        <w:t>Los planes y programas</w:t>
      </w:r>
    </w:p>
    <w:p w:rsidR="00D95052" w:rsidRPr="00D95052" w:rsidRDefault="00D95052" w:rsidP="00035DFF">
      <w:pPr>
        <w:pStyle w:val="Prrafodelista"/>
        <w:numPr>
          <w:ilvl w:val="1"/>
          <w:numId w:val="20"/>
        </w:numPr>
        <w:spacing w:line="276" w:lineRule="auto"/>
        <w:ind w:left="2127"/>
        <w:jc w:val="both"/>
      </w:pPr>
      <w:r>
        <w:rPr>
          <w:szCs w:val="22"/>
        </w:rPr>
        <w:t>Los informes sobre el grado de cumplimiento y resultados de planes y programas</w:t>
      </w:r>
    </w:p>
    <w:p w:rsidR="00D95052" w:rsidRPr="00035DFF" w:rsidRDefault="00D95052" w:rsidP="00035DFF">
      <w:pPr>
        <w:pStyle w:val="Prrafodelista"/>
        <w:numPr>
          <w:ilvl w:val="1"/>
          <w:numId w:val="20"/>
        </w:numPr>
        <w:spacing w:line="276" w:lineRule="auto"/>
        <w:ind w:left="2127"/>
        <w:jc w:val="both"/>
      </w:pPr>
      <w:r>
        <w:rPr>
          <w:szCs w:val="22"/>
        </w:rPr>
        <w:t>Los indicadores de medida y valoración del cumplimiento de planes y programas</w:t>
      </w:r>
    </w:p>
    <w:p w:rsidR="004413FC" w:rsidRDefault="004413FC" w:rsidP="004413FC">
      <w:pPr>
        <w:pStyle w:val="Sinespaciado"/>
        <w:spacing w:line="276" w:lineRule="auto"/>
        <w:ind w:left="2160"/>
        <w:jc w:val="both"/>
        <w:rPr>
          <w:rFonts w:ascii="Century Gothic" w:hAnsi="Century Gothic"/>
        </w:rPr>
      </w:pPr>
    </w:p>
    <w:p w:rsidR="004413FC" w:rsidRDefault="004413FC" w:rsidP="004413FC">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p>
    <w:p w:rsidR="00E15EC7" w:rsidRDefault="00E15EC7" w:rsidP="00E15EC7">
      <w:pPr>
        <w:pStyle w:val="Sinespaciado"/>
        <w:spacing w:line="276" w:lineRule="auto"/>
        <w:ind w:left="1440"/>
        <w:jc w:val="both"/>
        <w:rPr>
          <w:rFonts w:ascii="Century Gothic" w:hAnsi="Century Gothic"/>
        </w:rPr>
      </w:pPr>
    </w:p>
    <w:p w:rsidR="00D95052" w:rsidRDefault="00D95052" w:rsidP="004413FC">
      <w:pPr>
        <w:pStyle w:val="Sinespaciado"/>
        <w:numPr>
          <w:ilvl w:val="1"/>
          <w:numId w:val="20"/>
        </w:numPr>
        <w:spacing w:line="276" w:lineRule="auto"/>
        <w:jc w:val="both"/>
        <w:rPr>
          <w:rFonts w:ascii="Century Gothic" w:hAnsi="Century Gothic"/>
        </w:rPr>
      </w:pPr>
      <w:r>
        <w:rPr>
          <w:rFonts w:ascii="Century Gothic" w:hAnsi="Century Gothic"/>
        </w:rPr>
        <w:t>Sigue sin modificarse el acceso a la información de contratación.</w:t>
      </w:r>
    </w:p>
    <w:p w:rsidR="004413FC" w:rsidRDefault="004413FC" w:rsidP="004413FC">
      <w:pPr>
        <w:pStyle w:val="Sinespaciado"/>
        <w:numPr>
          <w:ilvl w:val="1"/>
          <w:numId w:val="20"/>
        </w:numPr>
        <w:spacing w:line="276" w:lineRule="auto"/>
        <w:jc w:val="both"/>
        <w:rPr>
          <w:rFonts w:ascii="Century Gothic" w:hAnsi="Century Gothic"/>
        </w:rPr>
      </w:pPr>
      <w:r>
        <w:rPr>
          <w:rFonts w:ascii="Century Gothic" w:hAnsi="Century Gothic"/>
        </w:rPr>
        <w:t>Las modificaciones de contratos.</w:t>
      </w:r>
    </w:p>
    <w:p w:rsidR="00D95052" w:rsidRDefault="00D95052" w:rsidP="004413FC">
      <w:pPr>
        <w:pStyle w:val="Sinespaciado"/>
        <w:numPr>
          <w:ilvl w:val="1"/>
          <w:numId w:val="20"/>
        </w:numPr>
        <w:spacing w:line="276" w:lineRule="auto"/>
        <w:jc w:val="both"/>
        <w:rPr>
          <w:rFonts w:ascii="Century Gothic" w:hAnsi="Century Gothic"/>
        </w:rPr>
      </w:pPr>
      <w:r>
        <w:rPr>
          <w:rFonts w:ascii="Century Gothic" w:hAnsi="Century Gothic"/>
        </w:rPr>
        <w:t>Los desistimientos y renuncias a contratos adjudicados</w:t>
      </w:r>
    </w:p>
    <w:p w:rsidR="004413FC" w:rsidRDefault="00035DFF" w:rsidP="004413FC">
      <w:pPr>
        <w:pStyle w:val="Sinespaciado"/>
        <w:numPr>
          <w:ilvl w:val="1"/>
          <w:numId w:val="20"/>
        </w:numPr>
        <w:spacing w:line="276" w:lineRule="auto"/>
        <w:jc w:val="both"/>
        <w:rPr>
          <w:rFonts w:ascii="Century Gothic" w:hAnsi="Century Gothic"/>
        </w:rPr>
      </w:pPr>
      <w:r>
        <w:rPr>
          <w:rFonts w:ascii="Century Gothic" w:hAnsi="Century Gothic"/>
        </w:rPr>
        <w:t>L</w:t>
      </w:r>
      <w:r w:rsidR="004413FC">
        <w:rPr>
          <w:rFonts w:ascii="Century Gothic" w:hAnsi="Century Gothic"/>
        </w:rPr>
        <w:t>a información estadística sobre contratación</w:t>
      </w:r>
      <w:r w:rsidR="00E15EC7">
        <w:rPr>
          <w:rFonts w:ascii="Century Gothic" w:hAnsi="Century Gothic"/>
        </w:rPr>
        <w:t xml:space="preserve"> </w:t>
      </w:r>
    </w:p>
    <w:p w:rsidR="00D95052" w:rsidRDefault="00D95052" w:rsidP="004413FC">
      <w:pPr>
        <w:pStyle w:val="Sinespaciado"/>
        <w:numPr>
          <w:ilvl w:val="1"/>
          <w:numId w:val="20"/>
        </w:numPr>
        <w:spacing w:line="276" w:lineRule="auto"/>
        <w:jc w:val="both"/>
        <w:rPr>
          <w:rFonts w:ascii="Century Gothic" w:hAnsi="Century Gothic"/>
        </w:rPr>
      </w:pPr>
      <w:r>
        <w:rPr>
          <w:rFonts w:ascii="Century Gothic" w:hAnsi="Century Gothic"/>
        </w:rPr>
        <w:t>Los contratos menores</w:t>
      </w:r>
    </w:p>
    <w:p w:rsidR="004D1FFB" w:rsidRDefault="00E15EC7" w:rsidP="004413FC">
      <w:pPr>
        <w:pStyle w:val="Sinespaciado"/>
        <w:numPr>
          <w:ilvl w:val="1"/>
          <w:numId w:val="20"/>
        </w:numPr>
        <w:spacing w:line="276" w:lineRule="auto"/>
        <w:jc w:val="both"/>
        <w:rPr>
          <w:rFonts w:ascii="Century Gothic" w:hAnsi="Century Gothic"/>
        </w:rPr>
      </w:pPr>
      <w:r w:rsidRPr="004D1FFB">
        <w:rPr>
          <w:rFonts w:ascii="Century Gothic" w:hAnsi="Century Gothic"/>
        </w:rPr>
        <w:t>La información sobre convenios</w:t>
      </w:r>
      <w:r w:rsidR="00035DFF" w:rsidRPr="004D1FFB">
        <w:rPr>
          <w:rFonts w:ascii="Century Gothic" w:hAnsi="Century Gothic"/>
        </w:rPr>
        <w:t xml:space="preserve"> </w:t>
      </w:r>
    </w:p>
    <w:p w:rsidR="00D95052" w:rsidRDefault="00D95052" w:rsidP="004413FC">
      <w:pPr>
        <w:pStyle w:val="Sinespaciado"/>
        <w:numPr>
          <w:ilvl w:val="1"/>
          <w:numId w:val="20"/>
        </w:numPr>
        <w:spacing w:line="276" w:lineRule="auto"/>
        <w:jc w:val="both"/>
        <w:rPr>
          <w:rFonts w:ascii="Century Gothic" w:hAnsi="Century Gothic"/>
        </w:rPr>
      </w:pPr>
      <w:r>
        <w:rPr>
          <w:rFonts w:ascii="Century Gothic" w:hAnsi="Century Gothic"/>
        </w:rPr>
        <w:t>Las Encomiendas de Gestión</w:t>
      </w:r>
    </w:p>
    <w:p w:rsidR="00D95052" w:rsidRDefault="00D95052" w:rsidP="004413FC">
      <w:pPr>
        <w:pStyle w:val="Sinespaciado"/>
        <w:numPr>
          <w:ilvl w:val="1"/>
          <w:numId w:val="20"/>
        </w:numPr>
        <w:spacing w:line="276" w:lineRule="auto"/>
        <w:jc w:val="both"/>
        <w:rPr>
          <w:rFonts w:ascii="Century Gothic" w:hAnsi="Century Gothic"/>
        </w:rPr>
      </w:pPr>
      <w:r>
        <w:rPr>
          <w:rFonts w:ascii="Century Gothic" w:hAnsi="Century Gothic"/>
        </w:rPr>
        <w:t>Las subcontrataciones derivadas de encomiendas de gestión</w:t>
      </w:r>
    </w:p>
    <w:p w:rsidR="004413FC" w:rsidRDefault="00117FA9" w:rsidP="004413FC">
      <w:pPr>
        <w:pStyle w:val="Sinespaciado"/>
        <w:numPr>
          <w:ilvl w:val="1"/>
          <w:numId w:val="20"/>
        </w:numPr>
        <w:spacing w:line="276" w:lineRule="auto"/>
        <w:jc w:val="both"/>
        <w:rPr>
          <w:rFonts w:ascii="Century Gothic" w:hAnsi="Century Gothic"/>
        </w:rPr>
      </w:pPr>
      <w:r>
        <w:rPr>
          <w:rFonts w:ascii="Century Gothic" w:hAnsi="Century Gothic"/>
        </w:rPr>
        <w:t xml:space="preserve">La </w:t>
      </w:r>
      <w:r w:rsidR="00035DFF">
        <w:rPr>
          <w:rFonts w:ascii="Century Gothic" w:hAnsi="Century Gothic"/>
        </w:rPr>
        <w:t xml:space="preserve">información sobre subvenciones y ayudas públicas concedidas. </w:t>
      </w:r>
    </w:p>
    <w:p w:rsidR="004D1FFB" w:rsidRDefault="004D1FFB" w:rsidP="004413FC">
      <w:pPr>
        <w:pStyle w:val="Sinespaciado"/>
        <w:numPr>
          <w:ilvl w:val="1"/>
          <w:numId w:val="20"/>
        </w:numPr>
        <w:spacing w:line="276" w:lineRule="auto"/>
        <w:jc w:val="both"/>
        <w:rPr>
          <w:rFonts w:ascii="Century Gothic" w:hAnsi="Century Gothic"/>
        </w:rPr>
      </w:pPr>
      <w:r>
        <w:rPr>
          <w:rFonts w:ascii="Century Gothic" w:hAnsi="Century Gothic"/>
        </w:rPr>
        <w:t>Los presupuestos</w:t>
      </w:r>
    </w:p>
    <w:p w:rsidR="00D95052" w:rsidRDefault="00D95052" w:rsidP="004413FC">
      <w:pPr>
        <w:pStyle w:val="Sinespaciado"/>
        <w:numPr>
          <w:ilvl w:val="1"/>
          <w:numId w:val="20"/>
        </w:numPr>
        <w:spacing w:line="276" w:lineRule="auto"/>
        <w:jc w:val="both"/>
        <w:rPr>
          <w:rFonts w:ascii="Century Gothic" w:hAnsi="Century Gothic"/>
        </w:rPr>
      </w:pPr>
      <w:r>
        <w:rPr>
          <w:rFonts w:ascii="Century Gothic" w:hAnsi="Century Gothic"/>
        </w:rPr>
        <w:t>La ejecución presupuestaria</w:t>
      </w:r>
    </w:p>
    <w:p w:rsidR="004D1FFB" w:rsidRDefault="00D95052" w:rsidP="004413FC">
      <w:pPr>
        <w:pStyle w:val="Sinespaciado"/>
        <w:numPr>
          <w:ilvl w:val="1"/>
          <w:numId w:val="20"/>
        </w:numPr>
        <w:spacing w:line="276" w:lineRule="auto"/>
        <w:jc w:val="both"/>
        <w:rPr>
          <w:rFonts w:ascii="Century Gothic" w:hAnsi="Century Gothic"/>
        </w:rPr>
      </w:pPr>
      <w:r>
        <w:rPr>
          <w:rFonts w:ascii="Century Gothic" w:hAnsi="Century Gothic"/>
        </w:rPr>
        <w:t xml:space="preserve">Aunque se ha actualizado la información sobre </w:t>
      </w:r>
      <w:r w:rsidR="004D1FFB">
        <w:rPr>
          <w:rFonts w:ascii="Century Gothic" w:hAnsi="Century Gothic"/>
        </w:rPr>
        <w:t>Cuentas Anuales</w:t>
      </w:r>
      <w:r>
        <w:rPr>
          <w:rFonts w:ascii="Century Gothic" w:hAnsi="Century Gothic"/>
        </w:rPr>
        <w:t>, las últimas publicadas corresponden al ejercicio 2020, cuando desde mediados de 2022 deberían estar publicadas las del ejercicio 2021.</w:t>
      </w:r>
    </w:p>
    <w:p w:rsidR="004413FC" w:rsidRDefault="00E15EC7" w:rsidP="004413FC">
      <w:pPr>
        <w:pStyle w:val="Sinespaciado"/>
        <w:numPr>
          <w:ilvl w:val="1"/>
          <w:numId w:val="20"/>
        </w:numPr>
        <w:spacing w:line="276" w:lineRule="auto"/>
        <w:ind w:left="2127"/>
        <w:jc w:val="both"/>
        <w:rPr>
          <w:rFonts w:ascii="Century Gothic" w:hAnsi="Century Gothic"/>
        </w:rPr>
      </w:pPr>
      <w:r>
        <w:rPr>
          <w:rFonts w:ascii="Century Gothic" w:hAnsi="Century Gothic"/>
        </w:rPr>
        <w:t>No se publican l</w:t>
      </w:r>
      <w:r w:rsidR="004413FC" w:rsidRPr="00EE1B9B">
        <w:rPr>
          <w:rFonts w:ascii="Century Gothic" w:hAnsi="Century Gothic"/>
        </w:rPr>
        <w:t xml:space="preserve">os informes de auditoría y fiscalización elaborados por </w:t>
      </w:r>
      <w:r w:rsidR="004413FC">
        <w:rPr>
          <w:rFonts w:ascii="Century Gothic" w:hAnsi="Century Gothic"/>
        </w:rPr>
        <w:t>el Tribunal de Cuentas.</w:t>
      </w:r>
      <w:r w:rsidR="004413FC" w:rsidRPr="00EE1B9B">
        <w:rPr>
          <w:rFonts w:ascii="Century Gothic" w:hAnsi="Century Gothic"/>
        </w:rPr>
        <w:t xml:space="preserve"> </w:t>
      </w:r>
    </w:p>
    <w:p w:rsidR="00D95052" w:rsidRDefault="00D95052" w:rsidP="004413FC">
      <w:pPr>
        <w:pStyle w:val="Sinespaciado"/>
        <w:numPr>
          <w:ilvl w:val="1"/>
          <w:numId w:val="20"/>
        </w:numPr>
        <w:spacing w:line="276" w:lineRule="auto"/>
        <w:ind w:left="2127"/>
        <w:jc w:val="both"/>
        <w:rPr>
          <w:rFonts w:ascii="Century Gothic" w:hAnsi="Century Gothic"/>
        </w:rPr>
      </w:pPr>
      <w:r>
        <w:rPr>
          <w:rFonts w:ascii="Century Gothic" w:hAnsi="Century Gothic"/>
        </w:rPr>
        <w:t>Las retribuciones de los máximos responsables</w:t>
      </w:r>
    </w:p>
    <w:p w:rsidR="004413FC" w:rsidRPr="00EE1B9B" w:rsidRDefault="00707ECD" w:rsidP="004413FC">
      <w:pPr>
        <w:pStyle w:val="Sinespaciado"/>
        <w:numPr>
          <w:ilvl w:val="1"/>
          <w:numId w:val="20"/>
        </w:numPr>
        <w:spacing w:line="276" w:lineRule="auto"/>
        <w:jc w:val="both"/>
        <w:rPr>
          <w:rFonts w:ascii="Century Gothic" w:hAnsi="Century Gothic"/>
        </w:rPr>
      </w:pPr>
      <w:r>
        <w:rPr>
          <w:rFonts w:ascii="Century Gothic" w:hAnsi="Century Gothic"/>
        </w:rPr>
        <w:t>L</w:t>
      </w:r>
      <w:r w:rsidR="004413FC" w:rsidRPr="00EE1B9B">
        <w:rPr>
          <w:rFonts w:ascii="Century Gothic" w:hAnsi="Century Gothic"/>
        </w:rPr>
        <w:t>as indemnizaciones percibidas por altos cargos y máximos responsables tras el abandono del cargo</w:t>
      </w:r>
    </w:p>
    <w:p w:rsidR="00E15EC7" w:rsidRDefault="00707ECD" w:rsidP="004413FC">
      <w:pPr>
        <w:pStyle w:val="Sinespaciado"/>
        <w:numPr>
          <w:ilvl w:val="1"/>
          <w:numId w:val="20"/>
        </w:numPr>
        <w:spacing w:line="276" w:lineRule="auto"/>
        <w:jc w:val="both"/>
        <w:rPr>
          <w:rFonts w:ascii="Century Gothic" w:hAnsi="Century Gothic"/>
        </w:rPr>
      </w:pPr>
      <w:r>
        <w:rPr>
          <w:rFonts w:ascii="Century Gothic" w:hAnsi="Century Gothic"/>
        </w:rPr>
        <w:t>L</w:t>
      </w:r>
      <w:r w:rsidR="00E15EC7">
        <w:rPr>
          <w:rFonts w:ascii="Century Gothic" w:hAnsi="Century Gothic"/>
        </w:rPr>
        <w:t xml:space="preserve">as autorizaciones de compatibilidad concedidas a empleados </w:t>
      </w:r>
    </w:p>
    <w:p w:rsidR="004413FC" w:rsidRDefault="00707ECD" w:rsidP="004413FC">
      <w:pPr>
        <w:pStyle w:val="Sinespaciado"/>
        <w:numPr>
          <w:ilvl w:val="1"/>
          <w:numId w:val="20"/>
        </w:numPr>
        <w:spacing w:line="276" w:lineRule="auto"/>
        <w:jc w:val="both"/>
        <w:rPr>
          <w:rFonts w:ascii="Century Gothic" w:hAnsi="Century Gothic"/>
        </w:rPr>
      </w:pPr>
      <w:r>
        <w:rPr>
          <w:rFonts w:ascii="Century Gothic" w:hAnsi="Century Gothic"/>
        </w:rPr>
        <w:t>L</w:t>
      </w:r>
      <w:r w:rsidR="004413FC" w:rsidRPr="00EE1B9B">
        <w:rPr>
          <w:rFonts w:ascii="Century Gothic" w:hAnsi="Century Gothic"/>
        </w:rPr>
        <w:t>as autorizaciones para el ejercicio de actividades privadas al ceso de altos Cargos.</w:t>
      </w:r>
    </w:p>
    <w:p w:rsidR="00D95052" w:rsidRDefault="00D95052" w:rsidP="004413FC">
      <w:pPr>
        <w:pStyle w:val="Sinespaciado"/>
        <w:numPr>
          <w:ilvl w:val="1"/>
          <w:numId w:val="20"/>
        </w:numPr>
        <w:spacing w:line="276" w:lineRule="auto"/>
        <w:jc w:val="both"/>
        <w:rPr>
          <w:rFonts w:ascii="Century Gothic" w:hAnsi="Century Gothic"/>
        </w:rPr>
      </w:pPr>
      <w:r>
        <w:rPr>
          <w:rFonts w:ascii="Century Gothic" w:hAnsi="Century Gothic"/>
        </w:rPr>
        <w:t xml:space="preserve">La última información publicada sobre cumplimiento y calidad de los servicios corresponde a 2018. </w:t>
      </w:r>
    </w:p>
    <w:p w:rsidR="00117FA9" w:rsidRDefault="00117FA9" w:rsidP="00117FA9">
      <w:pPr>
        <w:pStyle w:val="Sinespaciado"/>
        <w:numPr>
          <w:ilvl w:val="1"/>
          <w:numId w:val="20"/>
        </w:numPr>
        <w:spacing w:line="276" w:lineRule="auto"/>
        <w:jc w:val="both"/>
        <w:rPr>
          <w:rFonts w:ascii="Century Gothic" w:hAnsi="Century Gothic"/>
        </w:rPr>
      </w:pPr>
      <w:r w:rsidRPr="00117FA9">
        <w:rPr>
          <w:rFonts w:ascii="Century Gothic" w:hAnsi="Century Gothic"/>
        </w:rPr>
        <w:t>Una cuestión adicional respecto de la información sobre contratos, es que la Ley 14/2022, de modificación de la Ley 19/2013, impone una nueva información obligatoria en esta materia. A partir de julio de 2023, será obligatorio publicar semestralmente “</w:t>
      </w:r>
      <w:r w:rsidRPr="00117FA9">
        <w:rPr>
          <w:rFonts w:ascii="Century Gothic" w:hAnsi="Century Gothic"/>
          <w:i/>
        </w:rPr>
        <w:t xml:space="preserve">información estadística sobre el porcentaje de participación en contratos adjudicados, tanto en relación con su número como en relación con su valor, de la categoría de microempresas, pequeñas y medianas empresas (pymes), entendidas como </w:t>
      </w:r>
      <w:r w:rsidRPr="00117FA9">
        <w:rPr>
          <w:rFonts w:ascii="Century Gothic" w:hAnsi="Century Gothic"/>
          <w:i/>
        </w:rPr>
        <w:lastRenderedPageBreak/>
        <w:t>tal según el anexo I del Reglamento (UE) n.º 651/2014 de la Comisión, de 17 de junio de 2014, para cada uno de los procedimientos y tipologías previstas en la legislación de contratos del sector público</w:t>
      </w:r>
      <w:r w:rsidRPr="00117FA9">
        <w:rPr>
          <w:rFonts w:ascii="Century Gothic" w:hAnsi="Century Gothic"/>
        </w:rPr>
        <w:t>”.</w:t>
      </w:r>
    </w:p>
    <w:p w:rsidR="00117FA9" w:rsidRDefault="00117FA9" w:rsidP="00117FA9">
      <w:pPr>
        <w:pStyle w:val="Sinespaciado"/>
        <w:spacing w:line="276" w:lineRule="auto"/>
        <w:ind w:left="1800"/>
        <w:jc w:val="both"/>
        <w:rPr>
          <w:rFonts w:ascii="Century Gothic" w:hAnsi="Century Gothic"/>
        </w:rPr>
      </w:pPr>
    </w:p>
    <w:p w:rsidR="004413FC" w:rsidRDefault="00D95052" w:rsidP="00D95052">
      <w:pPr>
        <w:pStyle w:val="Sinespaciado"/>
        <w:numPr>
          <w:ilvl w:val="1"/>
          <w:numId w:val="20"/>
        </w:numPr>
        <w:spacing w:line="276" w:lineRule="auto"/>
        <w:ind w:left="1418"/>
        <w:jc w:val="both"/>
        <w:rPr>
          <w:rFonts w:ascii="Century Gothic" w:hAnsi="Century Gothic"/>
        </w:rPr>
      </w:pPr>
      <w:r>
        <w:rPr>
          <w:rFonts w:ascii="Century Gothic" w:hAnsi="Century Gothic"/>
        </w:rPr>
        <w:t>Respecto de la Información patrimonial sigue sin publicarse el inventario de bienes inmuebles propiedad del INIA o sobre los que ejerza algún derecho real.</w:t>
      </w:r>
    </w:p>
    <w:p w:rsidR="00D95052" w:rsidRDefault="00D95052" w:rsidP="00D95052">
      <w:pPr>
        <w:pStyle w:val="Prrafodelista"/>
      </w:pPr>
    </w:p>
    <w:p w:rsidR="00D95052" w:rsidRDefault="00D95052" w:rsidP="00D95052">
      <w:pPr>
        <w:pStyle w:val="Sinespaciado"/>
        <w:spacing w:line="276" w:lineRule="auto"/>
        <w:ind w:left="1058"/>
        <w:jc w:val="both"/>
        <w:rPr>
          <w:rFonts w:ascii="Century Gothic" w:hAnsi="Century Gothic"/>
        </w:rPr>
      </w:pPr>
    </w:p>
    <w:p w:rsidR="004413FC" w:rsidRDefault="004413FC" w:rsidP="004413FC">
      <w:pPr>
        <w:pStyle w:val="Sinespaciado"/>
        <w:numPr>
          <w:ilvl w:val="0"/>
          <w:numId w:val="18"/>
        </w:numPr>
        <w:spacing w:line="276" w:lineRule="auto"/>
        <w:jc w:val="both"/>
        <w:rPr>
          <w:rFonts w:ascii="Century Gothic" w:hAnsi="Century Gothic"/>
        </w:rPr>
      </w:pPr>
      <w:r>
        <w:rPr>
          <w:rFonts w:ascii="Century Gothic" w:hAnsi="Century Gothic"/>
        </w:rPr>
        <w:t xml:space="preserve">Respecto del cumplimiento de los criterios de calidad en la publicación de la información, </w:t>
      </w:r>
    </w:p>
    <w:p w:rsidR="00117FA9" w:rsidRDefault="00117FA9" w:rsidP="00117FA9">
      <w:pPr>
        <w:pStyle w:val="Sinespaciado"/>
        <w:spacing w:line="276" w:lineRule="auto"/>
        <w:ind w:left="720"/>
        <w:jc w:val="both"/>
        <w:rPr>
          <w:rFonts w:ascii="Century Gothic" w:hAnsi="Century Gothic"/>
        </w:rPr>
      </w:pPr>
    </w:p>
    <w:p w:rsidR="004D1FFB" w:rsidRPr="004D1FFB" w:rsidRDefault="004D1FFB" w:rsidP="0010061F">
      <w:pPr>
        <w:pStyle w:val="Prrafodelista"/>
        <w:numPr>
          <w:ilvl w:val="1"/>
          <w:numId w:val="18"/>
        </w:numPr>
        <w:spacing w:line="276" w:lineRule="auto"/>
        <w:rPr>
          <w:szCs w:val="22"/>
        </w:rPr>
      </w:pPr>
      <w:r w:rsidRPr="004D1FFB">
        <w:rPr>
          <w:szCs w:val="22"/>
        </w:rPr>
        <w:t>Sigue sin publicarse la fecha de la última revisión o actualización de la información. Para ello bastaría con que esta fecha se publique en la página home del Portal de Transparencia</w:t>
      </w:r>
    </w:p>
    <w:p w:rsidR="004413FC" w:rsidRDefault="004413FC" w:rsidP="004413FC">
      <w:pPr>
        <w:pStyle w:val="Sinespaciado"/>
        <w:numPr>
          <w:ilvl w:val="1"/>
          <w:numId w:val="18"/>
        </w:numPr>
        <w:spacing w:line="276" w:lineRule="auto"/>
        <w:jc w:val="both"/>
        <w:rPr>
          <w:rFonts w:ascii="Century Gothic" w:hAnsi="Century Gothic"/>
        </w:rPr>
      </w:pPr>
      <w:r w:rsidRPr="00EE1B9B">
        <w:rPr>
          <w:rFonts w:ascii="Century Gothic" w:hAnsi="Century Gothic"/>
        </w:rPr>
        <w:t xml:space="preserve">La información debe publicarse en la web </w:t>
      </w:r>
      <w:r w:rsidR="008B032F">
        <w:rPr>
          <w:rFonts w:ascii="Century Gothic" w:hAnsi="Century Gothic"/>
        </w:rPr>
        <w:t>del INIA</w:t>
      </w:r>
      <w:r w:rsidRPr="00EE1B9B">
        <w:rPr>
          <w:rFonts w:ascii="Century Gothic" w:hAnsi="Century Gothic"/>
        </w:rPr>
        <w:t>,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esta forma de publicación exige la realización de nuevas búsqueda</w:t>
      </w:r>
      <w:r>
        <w:rPr>
          <w:rFonts w:ascii="Century Gothic" w:hAnsi="Century Gothic"/>
        </w:rPr>
        <w:t>s para localizar la información y además, en el Portal de Transparencia de la AGE no se publican todas las informaciones obligatorias aplicables a cada uno de los  organismos dependientes.</w:t>
      </w:r>
    </w:p>
    <w:p w:rsidR="004D1FFB" w:rsidRPr="004D1FFB" w:rsidRDefault="004D1FFB" w:rsidP="0010061F">
      <w:pPr>
        <w:pStyle w:val="Prrafodelista"/>
        <w:numPr>
          <w:ilvl w:val="1"/>
          <w:numId w:val="18"/>
        </w:numPr>
        <w:spacing w:line="276" w:lineRule="auto"/>
        <w:jc w:val="both"/>
        <w:rPr>
          <w:szCs w:val="22"/>
        </w:rPr>
      </w:pPr>
      <w:r w:rsidRPr="004D1FFB">
        <w:rPr>
          <w:szCs w:val="22"/>
        </w:rPr>
        <w:t xml:space="preserve">En cuanto a la información a la que se accede mediante fuentes centralizadas –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 </w:t>
      </w:r>
      <w:r>
        <w:rPr>
          <w:szCs w:val="22"/>
        </w:rPr>
        <w:t>E</w:t>
      </w:r>
      <w:r w:rsidRPr="004D1FFB">
        <w:rPr>
          <w:szCs w:val="22"/>
        </w:rPr>
        <w:t xml:space="preserve">ste Consejo </w:t>
      </w:r>
      <w:r>
        <w:rPr>
          <w:szCs w:val="22"/>
        </w:rPr>
        <w:t xml:space="preserve">reitera la </w:t>
      </w:r>
      <w:r w:rsidRPr="004D1FFB">
        <w:rPr>
          <w:szCs w:val="22"/>
        </w:rPr>
        <w:t>recom</w:t>
      </w:r>
      <w:r>
        <w:rPr>
          <w:szCs w:val="22"/>
        </w:rPr>
        <w:t>endación de</w:t>
      </w:r>
      <w:r w:rsidRPr="004D1FFB">
        <w:rPr>
          <w:szCs w:val="22"/>
        </w:rPr>
        <w:t xml:space="preserve"> publicación de esta información obligatoria de forma directa en la web mediante cuadros-resumen con los contenidos de información que establece la LTAIBG.</w:t>
      </w:r>
    </w:p>
    <w:p w:rsidR="00E15EC7" w:rsidRPr="00E15EC7" w:rsidRDefault="00E15EC7" w:rsidP="0010061F">
      <w:pPr>
        <w:pStyle w:val="Prrafodelista"/>
        <w:numPr>
          <w:ilvl w:val="1"/>
          <w:numId w:val="18"/>
        </w:numPr>
        <w:spacing w:line="276" w:lineRule="auto"/>
        <w:rPr>
          <w:szCs w:val="22"/>
        </w:rPr>
      </w:pPr>
      <w:r w:rsidRPr="00E15EC7">
        <w:rPr>
          <w:szCs w:val="22"/>
        </w:rPr>
        <w:t>Se reitera la recomendación de que en el caso de que no hubiera información que publicar, se señale expresamente esta circunstancia.</w:t>
      </w:r>
    </w:p>
    <w:p w:rsidR="00E15EC7" w:rsidRDefault="00E15EC7" w:rsidP="00E15EC7">
      <w:pPr>
        <w:pStyle w:val="Sinespaciado"/>
        <w:spacing w:line="276" w:lineRule="auto"/>
        <w:ind w:left="1440"/>
        <w:jc w:val="both"/>
        <w:rPr>
          <w:rFonts w:ascii="Century Gothic" w:hAnsi="Century Gothic"/>
        </w:rPr>
      </w:pPr>
    </w:p>
    <w:p w:rsidR="004413FC" w:rsidRDefault="004413FC" w:rsidP="004413FC">
      <w:pPr>
        <w:pStyle w:val="Sinespaciado"/>
        <w:spacing w:line="276" w:lineRule="auto"/>
        <w:ind w:left="720"/>
        <w:jc w:val="both"/>
        <w:rPr>
          <w:rFonts w:ascii="Century Gothic" w:hAnsi="Century Gothic"/>
        </w:rPr>
      </w:pPr>
    </w:p>
    <w:p w:rsidR="004413FC" w:rsidRDefault="004413FC" w:rsidP="004413FC">
      <w:pPr>
        <w:pStyle w:val="Sinespaciado"/>
        <w:spacing w:line="276" w:lineRule="auto"/>
        <w:jc w:val="both"/>
        <w:rPr>
          <w:rFonts w:ascii="Century Gothic" w:hAnsi="Century Gothic"/>
        </w:rPr>
      </w:pPr>
      <w:r>
        <w:rPr>
          <w:rFonts w:ascii="Century Gothic" w:hAnsi="Century Gothic"/>
        </w:rPr>
        <w:t xml:space="preserve">Madrid, </w:t>
      </w:r>
      <w:r w:rsidR="0010061F">
        <w:rPr>
          <w:rFonts w:ascii="Century Gothic" w:hAnsi="Century Gothic"/>
        </w:rPr>
        <w:t>mayo</w:t>
      </w:r>
      <w:r>
        <w:rPr>
          <w:rFonts w:ascii="Century Gothic" w:hAnsi="Century Gothic"/>
        </w:rPr>
        <w:t xml:space="preserve">  de 2023</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95052" w:rsidRPr="00F31BC3" w:rsidRDefault="00D95052"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D95052" w:rsidRPr="00F31BC3" w:rsidRDefault="00D95052"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556C0088" wp14:editId="2B5D521A">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36236A1D" wp14:editId="07AABCFF">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95052" w:rsidRPr="00F31BC3" w:rsidRDefault="00D95052"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D95052" w:rsidRPr="00F31BC3" w:rsidRDefault="00D95052"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052" w:rsidRDefault="00D95052" w:rsidP="00F31BC3">
      <w:r>
        <w:separator/>
      </w:r>
    </w:p>
  </w:endnote>
  <w:endnote w:type="continuationSeparator" w:id="0">
    <w:p w:rsidR="00D95052" w:rsidRDefault="00D95052"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052" w:rsidRDefault="00D95052" w:rsidP="00F31BC3">
      <w:r>
        <w:separator/>
      </w:r>
    </w:p>
  </w:footnote>
  <w:footnote w:type="continuationSeparator" w:id="0">
    <w:p w:rsidR="00D95052" w:rsidRDefault="00D95052"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976425"/>
    <w:multiLevelType w:val="hybridMultilevel"/>
    <w:tmpl w:val="72E65BA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064CDE"/>
    <w:multiLevelType w:val="hybridMultilevel"/>
    <w:tmpl w:val="3552D4BE"/>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3958145F"/>
    <w:multiLevelType w:val="hybridMultilevel"/>
    <w:tmpl w:val="A49C90A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B654575"/>
    <w:multiLevelType w:val="hybridMultilevel"/>
    <w:tmpl w:val="AD8EB2C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0187A05"/>
    <w:multiLevelType w:val="hybridMultilevel"/>
    <w:tmpl w:val="B7F4B474"/>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66C22FA"/>
    <w:multiLevelType w:val="hybridMultilevel"/>
    <w:tmpl w:val="837A472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21"/>
  </w:num>
  <w:num w:numId="3">
    <w:abstractNumId w:val="11"/>
  </w:num>
  <w:num w:numId="4">
    <w:abstractNumId w:val="0"/>
  </w:num>
  <w:num w:numId="5">
    <w:abstractNumId w:val="18"/>
  </w:num>
  <w:num w:numId="6">
    <w:abstractNumId w:val="20"/>
  </w:num>
  <w:num w:numId="7">
    <w:abstractNumId w:val="16"/>
  </w:num>
  <w:num w:numId="8">
    <w:abstractNumId w:val="1"/>
  </w:num>
  <w:num w:numId="9">
    <w:abstractNumId w:val="4"/>
  </w:num>
  <w:num w:numId="10">
    <w:abstractNumId w:val="3"/>
  </w:num>
  <w:num w:numId="11">
    <w:abstractNumId w:val="22"/>
  </w:num>
  <w:num w:numId="12">
    <w:abstractNumId w:val="15"/>
  </w:num>
  <w:num w:numId="13">
    <w:abstractNumId w:val="9"/>
  </w:num>
  <w:num w:numId="14">
    <w:abstractNumId w:val="23"/>
  </w:num>
  <w:num w:numId="15">
    <w:abstractNumId w:val="2"/>
  </w:num>
  <w:num w:numId="16">
    <w:abstractNumId w:val="24"/>
  </w:num>
  <w:num w:numId="17">
    <w:abstractNumId w:val="13"/>
  </w:num>
  <w:num w:numId="18">
    <w:abstractNumId w:val="8"/>
  </w:num>
  <w:num w:numId="19">
    <w:abstractNumId w:val="7"/>
  </w:num>
  <w:num w:numId="20">
    <w:abstractNumId w:val="19"/>
  </w:num>
  <w:num w:numId="21">
    <w:abstractNumId w:val="5"/>
  </w:num>
  <w:num w:numId="22">
    <w:abstractNumId w:val="6"/>
  </w:num>
  <w:num w:numId="23">
    <w:abstractNumId w:val="14"/>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35DFF"/>
    <w:rsid w:val="00040AF4"/>
    <w:rsid w:val="00053A0E"/>
    <w:rsid w:val="0005642F"/>
    <w:rsid w:val="00072B7E"/>
    <w:rsid w:val="000775A5"/>
    <w:rsid w:val="00085C93"/>
    <w:rsid w:val="000A77F5"/>
    <w:rsid w:val="000D3907"/>
    <w:rsid w:val="000D5417"/>
    <w:rsid w:val="000E0A9E"/>
    <w:rsid w:val="000F0DA5"/>
    <w:rsid w:val="00100121"/>
    <w:rsid w:val="0010061F"/>
    <w:rsid w:val="00104DE9"/>
    <w:rsid w:val="00104E94"/>
    <w:rsid w:val="001149B1"/>
    <w:rsid w:val="00117FA9"/>
    <w:rsid w:val="00132732"/>
    <w:rsid w:val="00146C3C"/>
    <w:rsid w:val="001521CD"/>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1F3AE5"/>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1769F"/>
    <w:rsid w:val="00337C82"/>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413FC"/>
    <w:rsid w:val="004720A5"/>
    <w:rsid w:val="004724E2"/>
    <w:rsid w:val="0047735C"/>
    <w:rsid w:val="004859CC"/>
    <w:rsid w:val="004A1663"/>
    <w:rsid w:val="004C6440"/>
    <w:rsid w:val="004D1FFB"/>
    <w:rsid w:val="004D4B3E"/>
    <w:rsid w:val="004D50CC"/>
    <w:rsid w:val="004D6B23"/>
    <w:rsid w:val="004D7037"/>
    <w:rsid w:val="004E09F9"/>
    <w:rsid w:val="004E7B33"/>
    <w:rsid w:val="00506864"/>
    <w:rsid w:val="00521C69"/>
    <w:rsid w:val="005301DF"/>
    <w:rsid w:val="00536832"/>
    <w:rsid w:val="00540929"/>
    <w:rsid w:val="00563295"/>
    <w:rsid w:val="00564E23"/>
    <w:rsid w:val="00582A8C"/>
    <w:rsid w:val="005B1544"/>
    <w:rsid w:val="005C4778"/>
    <w:rsid w:val="005E2505"/>
    <w:rsid w:val="005E6704"/>
    <w:rsid w:val="005F580F"/>
    <w:rsid w:val="00603DFC"/>
    <w:rsid w:val="00607613"/>
    <w:rsid w:val="006253FA"/>
    <w:rsid w:val="006266A5"/>
    <w:rsid w:val="00633EAA"/>
    <w:rsid w:val="00650F07"/>
    <w:rsid w:val="0069673B"/>
    <w:rsid w:val="006B2C2E"/>
    <w:rsid w:val="006B75D8"/>
    <w:rsid w:val="006C0CDD"/>
    <w:rsid w:val="006D49E7"/>
    <w:rsid w:val="006D4C90"/>
    <w:rsid w:val="006E75DE"/>
    <w:rsid w:val="00702A3B"/>
    <w:rsid w:val="007071A8"/>
    <w:rsid w:val="00707515"/>
    <w:rsid w:val="00707C14"/>
    <w:rsid w:val="00707ECD"/>
    <w:rsid w:val="00714C54"/>
    <w:rsid w:val="00715E7D"/>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E083A"/>
    <w:rsid w:val="007F1D56"/>
    <w:rsid w:val="007F5F9D"/>
    <w:rsid w:val="00800B69"/>
    <w:rsid w:val="00803D20"/>
    <w:rsid w:val="00805A8D"/>
    <w:rsid w:val="00807495"/>
    <w:rsid w:val="00821526"/>
    <w:rsid w:val="0082470D"/>
    <w:rsid w:val="00825202"/>
    <w:rsid w:val="00825ACB"/>
    <w:rsid w:val="00826275"/>
    <w:rsid w:val="00836976"/>
    <w:rsid w:val="008514EC"/>
    <w:rsid w:val="00853CB9"/>
    <w:rsid w:val="00857C55"/>
    <w:rsid w:val="00865E5A"/>
    <w:rsid w:val="00880290"/>
    <w:rsid w:val="00882A5B"/>
    <w:rsid w:val="00891E6F"/>
    <w:rsid w:val="00894358"/>
    <w:rsid w:val="0089455A"/>
    <w:rsid w:val="00897D04"/>
    <w:rsid w:val="008A5AAE"/>
    <w:rsid w:val="008B032F"/>
    <w:rsid w:val="008B6789"/>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1DDF"/>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084E"/>
    <w:rsid w:val="00B77C12"/>
    <w:rsid w:val="00B85EA1"/>
    <w:rsid w:val="00B87734"/>
    <w:rsid w:val="00BA03C4"/>
    <w:rsid w:val="00BA14E6"/>
    <w:rsid w:val="00BA3611"/>
    <w:rsid w:val="00BA4354"/>
    <w:rsid w:val="00BA5833"/>
    <w:rsid w:val="00BB2529"/>
    <w:rsid w:val="00BB3652"/>
    <w:rsid w:val="00BC61D1"/>
    <w:rsid w:val="00BC748E"/>
    <w:rsid w:val="00BD17A4"/>
    <w:rsid w:val="00BD18E4"/>
    <w:rsid w:val="00BD1E44"/>
    <w:rsid w:val="00BD2172"/>
    <w:rsid w:val="00BD2842"/>
    <w:rsid w:val="00C02953"/>
    <w:rsid w:val="00C1049E"/>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F21EB"/>
    <w:rsid w:val="00CF5B92"/>
    <w:rsid w:val="00D014E1"/>
    <w:rsid w:val="00D01CA1"/>
    <w:rsid w:val="00D1453D"/>
    <w:rsid w:val="00D41F4C"/>
    <w:rsid w:val="00D44BCF"/>
    <w:rsid w:val="00D45F5C"/>
    <w:rsid w:val="00D520C8"/>
    <w:rsid w:val="00D70570"/>
    <w:rsid w:val="00D9090A"/>
    <w:rsid w:val="00D95052"/>
    <w:rsid w:val="00D96084"/>
    <w:rsid w:val="00DA6660"/>
    <w:rsid w:val="00DB7D0F"/>
    <w:rsid w:val="00DC5B52"/>
    <w:rsid w:val="00DD515F"/>
    <w:rsid w:val="00DF25D7"/>
    <w:rsid w:val="00DF54AF"/>
    <w:rsid w:val="00DF555F"/>
    <w:rsid w:val="00DF56A7"/>
    <w:rsid w:val="00E023B5"/>
    <w:rsid w:val="00E07201"/>
    <w:rsid w:val="00E11FBC"/>
    <w:rsid w:val="00E15EC7"/>
    <w:rsid w:val="00E17DF6"/>
    <w:rsid w:val="00E33169"/>
    <w:rsid w:val="00E4458C"/>
    <w:rsid w:val="00E51AC4"/>
    <w:rsid w:val="00E6528C"/>
    <w:rsid w:val="00E73F4D"/>
    <w:rsid w:val="00E83650"/>
    <w:rsid w:val="00EB0916"/>
    <w:rsid w:val="00EB68A3"/>
    <w:rsid w:val="00EC6A3E"/>
    <w:rsid w:val="00ED30F1"/>
    <w:rsid w:val="00ED3318"/>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614CD"/>
    <w:rsid w:val="00F7274D"/>
    <w:rsid w:val="00F825F0"/>
    <w:rsid w:val="00F95333"/>
    <w:rsid w:val="00FA0C58"/>
    <w:rsid w:val="00FA11BE"/>
    <w:rsid w:val="00FA1911"/>
    <w:rsid w:val="00FA5997"/>
    <w:rsid w:val="00FA5AFD"/>
    <w:rsid w:val="00FB5F9E"/>
    <w:rsid w:val="00FC4E74"/>
    <w:rsid w:val="00FD4E10"/>
    <w:rsid w:val="00FE2187"/>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857C5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
    <w:name w:val="Tabla con cuadrícula1"/>
    <w:basedOn w:val="Tablanormal"/>
    <w:next w:val="Tablaconcuadrcula"/>
    <w:uiPriority w:val="59"/>
    <w:rsid w:val="00DB7D0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857C5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
    <w:name w:val="Tabla con cuadrícula1"/>
    <w:basedOn w:val="Tablanormal"/>
    <w:next w:val="Tablaconcuadrcula"/>
    <w:uiPriority w:val="59"/>
    <w:rsid w:val="00DB7D0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940985737">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015CB"/>
    <w:rsid w:val="0015011A"/>
    <w:rsid w:val="00202DDA"/>
    <w:rsid w:val="00443EA4"/>
    <w:rsid w:val="0051307B"/>
    <w:rsid w:val="00583D19"/>
    <w:rsid w:val="00722728"/>
    <w:rsid w:val="00787EBD"/>
    <w:rsid w:val="007C3485"/>
    <w:rsid w:val="008E118A"/>
    <w:rsid w:val="00A104A7"/>
    <w:rsid w:val="00AB484A"/>
    <w:rsid w:val="00C32372"/>
    <w:rsid w:val="00DA008C"/>
    <w:rsid w:val="00DC78EE"/>
    <w:rsid w:val="00DE3DE6"/>
    <w:rsid w:val="00EA0738"/>
    <w:rsid w:val="00EB2177"/>
    <w:rsid w:val="00EC3F90"/>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DB4E3BE4-7A14-42A4-BA57-4222B84E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78</TotalTime>
  <Pages>7</Pages>
  <Words>1699</Words>
  <Characters>9350</Characters>
  <Application>Microsoft Office Word</Application>
  <DocSecurity>0</DocSecurity>
  <Lines>77</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6</cp:revision>
  <cp:lastPrinted>2008-09-26T23:14:00Z</cp:lastPrinted>
  <dcterms:created xsi:type="dcterms:W3CDTF">2023-04-18T09:18:00Z</dcterms:created>
  <dcterms:modified xsi:type="dcterms:W3CDTF">2023-05-16T08:27:00Z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