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645" w:rsidRDefault="003D5ED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8264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08264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08264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la Fundación Lázaro Galdiano</w:t>
                                </w:r>
                                <w:r w:rsidR="0008264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082645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082645" w:rsidRDefault="003D5ED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08264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082645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08264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la Fundación Lázaro Galdiano</w:t>
                          </w:r>
                          <w:r w:rsidR="00082645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082645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82645" w:rsidRDefault="0008264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82645" w:rsidRDefault="0008264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Default="00415DBD" w:rsidP="00415DBD"/>
    <w:p w:rsidR="00C72559" w:rsidRDefault="00C72559" w:rsidP="00415D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8"/>
        <w:gridCol w:w="5348"/>
      </w:tblGrid>
      <w:tr w:rsidR="00C72559" w:rsidTr="00C72559">
        <w:tc>
          <w:tcPr>
            <w:tcW w:w="5348" w:type="dxa"/>
          </w:tcPr>
          <w:p w:rsidR="00C72559" w:rsidRDefault="00C72559" w:rsidP="00C72559">
            <w:r w:rsidRPr="004E3C77">
              <w:rPr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</w:tcPr>
          <w:p w:rsidR="00C72559" w:rsidRDefault="00C72559" w:rsidP="00C72559">
            <w:r>
              <w:t>20/04/2023</w:t>
            </w:r>
          </w:p>
          <w:p w:rsidR="00C72559" w:rsidRDefault="00C72559" w:rsidP="00C72559">
            <w:r>
              <w:t>Segunda revisión: 16/05/2023</w:t>
            </w:r>
          </w:p>
        </w:tc>
      </w:tr>
    </w:tbl>
    <w:p w:rsidR="00C72559" w:rsidRDefault="00C72559" w:rsidP="00415DBD"/>
    <w:p w:rsidR="00C72559" w:rsidRDefault="00C72559" w:rsidP="00415DBD"/>
    <w:p w:rsidR="00C72559" w:rsidRPr="00B1184C" w:rsidRDefault="00C72559" w:rsidP="00415DBD"/>
    <w:p w:rsidR="0082470D" w:rsidRPr="002D27E4" w:rsidRDefault="003D5ED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850"/>
        <w:gridCol w:w="2636"/>
      </w:tblGrid>
      <w:tr w:rsidR="00A249BB" w:rsidRPr="007465AA" w:rsidTr="00C72559">
        <w:trPr>
          <w:cantSplit/>
          <w:tblHeader/>
        </w:trPr>
        <w:tc>
          <w:tcPr>
            <w:tcW w:w="1668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378" w:type="dxa"/>
            <w:gridSpan w:val="2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636" w:type="dxa"/>
            <w:shd w:val="clear" w:color="auto" w:fill="008A3E"/>
          </w:tcPr>
          <w:p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C72559"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4D6B2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  <w:r w:rsidR="00715E7D">
              <w:rPr>
                <w:sz w:val="18"/>
                <w:szCs w:val="18"/>
              </w:rPr>
              <w:t xml:space="preserve">: </w:t>
            </w:r>
            <w:r w:rsidR="004D6B23">
              <w:rPr>
                <w:sz w:val="18"/>
                <w:szCs w:val="18"/>
              </w:rPr>
              <w:t>Ubicación del enlace al Portal en un apartado más visible de la web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4D6B23">
            <w:pPr>
              <w:rPr>
                <w:sz w:val="18"/>
                <w:szCs w:val="18"/>
              </w:rPr>
            </w:pP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850" w:type="dxa"/>
            <w:vAlign w:val="center"/>
          </w:tcPr>
          <w:p w:rsidR="00A249BB" w:rsidRPr="00C66FF0" w:rsidRDefault="00A249BB" w:rsidP="00C66FF0">
            <w:pPr>
              <w:pStyle w:val="Prrafodelista"/>
              <w:numPr>
                <w:ilvl w:val="0"/>
                <w:numId w:val="2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C66FF0" w:rsidP="00C6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715E7D">
              <w:rPr>
                <w:sz w:val="18"/>
                <w:szCs w:val="18"/>
              </w:rPr>
              <w:t xml:space="preserve">, </w:t>
            </w: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50" w:type="dxa"/>
            <w:vAlign w:val="center"/>
          </w:tcPr>
          <w:p w:rsidR="00A249BB" w:rsidRPr="005D146E" w:rsidRDefault="00A249BB" w:rsidP="005D146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082645" w:rsidRPr="007465AA" w:rsidTr="00C72559">
        <w:tc>
          <w:tcPr>
            <w:tcW w:w="1668" w:type="dxa"/>
            <w:vMerge w:val="restart"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:rsidR="00082645" w:rsidRPr="007465AA" w:rsidRDefault="00082645" w:rsidP="0071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850" w:type="dxa"/>
          </w:tcPr>
          <w:p w:rsidR="00082645" w:rsidRPr="00C72559" w:rsidRDefault="00082645" w:rsidP="00C72559">
            <w:pPr>
              <w:pStyle w:val="Prrafode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7465AA" w:rsidRDefault="00082645" w:rsidP="00C66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C72559" w:rsidRDefault="00082645" w:rsidP="00C72559">
            <w:pPr>
              <w:rPr>
                <w:sz w:val="18"/>
                <w:szCs w:val="18"/>
              </w:rPr>
            </w:pPr>
            <w:r w:rsidRPr="00C72559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850" w:type="dxa"/>
          </w:tcPr>
          <w:p w:rsidR="00082645" w:rsidRPr="00C72559" w:rsidRDefault="00082645" w:rsidP="00C72559">
            <w:p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C72559" w:rsidRDefault="00082645" w:rsidP="00082645">
            <w:pPr>
              <w:rPr>
                <w:sz w:val="18"/>
                <w:szCs w:val="18"/>
              </w:rPr>
            </w:pPr>
            <w:r w:rsidRPr="00C72559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. Existe un enlace a la información que, en el momento de la evaluación, no estaba operativo.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Default="00082645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trayectoria profesional de los máximos responsables.</w:t>
            </w:r>
          </w:p>
        </w:tc>
        <w:tc>
          <w:tcPr>
            <w:tcW w:w="850" w:type="dxa"/>
          </w:tcPr>
          <w:p w:rsidR="00082645" w:rsidRPr="004D6B23" w:rsidRDefault="00082645" w:rsidP="004D6B23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332631" w:rsidRDefault="00082645" w:rsidP="004D6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Default="00082645" w:rsidP="00BA5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Modificaciones de contratos</w:t>
            </w:r>
          </w:p>
        </w:tc>
        <w:tc>
          <w:tcPr>
            <w:tcW w:w="850" w:type="dxa"/>
          </w:tcPr>
          <w:p w:rsidR="00082645" w:rsidRPr="00C72559" w:rsidRDefault="00082645" w:rsidP="00C72559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Default="00082645" w:rsidP="00C1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7465AA" w:rsidRDefault="00082645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sobre contratación</w:t>
            </w:r>
          </w:p>
        </w:tc>
        <w:tc>
          <w:tcPr>
            <w:tcW w:w="850" w:type="dxa"/>
          </w:tcPr>
          <w:p w:rsidR="00082645" w:rsidRPr="00332631" w:rsidRDefault="00082645" w:rsidP="00332631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7465AA" w:rsidRDefault="00082645" w:rsidP="00082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Sí, pero la última información publicada corresponde a 2021, por lo que esta recomendación no puede ser computada para  el cálculo del Índice de Cumplimiento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7465AA" w:rsidRDefault="00082645" w:rsidP="005D146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>
              <w:rPr>
                <w:sz w:val="18"/>
                <w:szCs w:val="18"/>
              </w:rPr>
              <w:t>: completar información</w:t>
            </w:r>
          </w:p>
        </w:tc>
        <w:tc>
          <w:tcPr>
            <w:tcW w:w="850" w:type="dxa"/>
          </w:tcPr>
          <w:p w:rsidR="00082645" w:rsidRPr="00332631" w:rsidRDefault="00082645" w:rsidP="00332631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7465AA" w:rsidRDefault="00082645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Sí, pero la última información publicada corresponde a 2021 por lo que no puede ser tenida en cuenta a efectos del cálculo del Índice de Cumplimiento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850" w:type="dxa"/>
          </w:tcPr>
          <w:p w:rsidR="00082645" w:rsidRPr="00B27119" w:rsidRDefault="00082645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7465AA" w:rsidRDefault="00082645" w:rsidP="00E3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Retribuciones: completar información</w:t>
            </w:r>
          </w:p>
        </w:tc>
        <w:tc>
          <w:tcPr>
            <w:tcW w:w="850" w:type="dxa"/>
          </w:tcPr>
          <w:p w:rsidR="00082645" w:rsidRPr="00082645" w:rsidRDefault="00082645" w:rsidP="00082645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Default="00082645" w:rsidP="00B2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50" w:type="dxa"/>
          </w:tcPr>
          <w:p w:rsidR="00082645" w:rsidRPr="00B27119" w:rsidRDefault="00082645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Pr="007465AA" w:rsidRDefault="00082645" w:rsidP="00B2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en la página que abre el enlace r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etribuciones se ha incluido un texto en el que se informa de que no se </w:t>
            </w:r>
            <w:r>
              <w:rPr>
                <w:sz w:val="18"/>
                <w:szCs w:val="18"/>
              </w:rPr>
              <w:lastRenderedPageBreak/>
              <w:t>han concedido indemnizaciones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de compatibilidad concedidas a empleados</w:t>
            </w:r>
          </w:p>
        </w:tc>
        <w:tc>
          <w:tcPr>
            <w:tcW w:w="850" w:type="dxa"/>
          </w:tcPr>
          <w:p w:rsidR="00082645" w:rsidRPr="00B27119" w:rsidRDefault="00082645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Default="00082645" w:rsidP="00B27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concedido</w:t>
            </w:r>
          </w:p>
        </w:tc>
      </w:tr>
      <w:tr w:rsidR="00082645" w:rsidRPr="007465AA" w:rsidTr="00C72559">
        <w:tc>
          <w:tcPr>
            <w:tcW w:w="1668" w:type="dxa"/>
            <w:vMerge/>
            <w:vAlign w:val="center"/>
          </w:tcPr>
          <w:p w:rsidR="00082645" w:rsidRPr="007465AA" w:rsidRDefault="00082645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82645" w:rsidRDefault="00082645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para el ejercicio de actividades privadas al cese de altos cargos</w:t>
            </w:r>
          </w:p>
        </w:tc>
        <w:tc>
          <w:tcPr>
            <w:tcW w:w="850" w:type="dxa"/>
          </w:tcPr>
          <w:p w:rsidR="00082645" w:rsidRPr="00B27119" w:rsidRDefault="00082645" w:rsidP="00B27119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082645" w:rsidRDefault="00082645" w:rsidP="00082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existen</w:t>
            </w:r>
          </w:p>
        </w:tc>
      </w:tr>
      <w:tr w:rsidR="00A249BB" w:rsidRPr="007465AA" w:rsidTr="00C72559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850" w:type="dxa"/>
            <w:vAlign w:val="center"/>
          </w:tcPr>
          <w:p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  <w:r w:rsidR="00332631">
              <w:rPr>
                <w:sz w:val="18"/>
                <w:szCs w:val="18"/>
              </w:rPr>
              <w:t>: Organigrama</w:t>
            </w:r>
          </w:p>
        </w:tc>
        <w:tc>
          <w:tcPr>
            <w:tcW w:w="850" w:type="dxa"/>
            <w:vAlign w:val="center"/>
          </w:tcPr>
          <w:p w:rsidR="00A249BB" w:rsidRPr="00E346B0" w:rsidRDefault="00A249BB" w:rsidP="00E346B0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:rsidTr="00C72559">
        <w:tc>
          <w:tcPr>
            <w:tcW w:w="1668" w:type="dxa"/>
            <w:vMerge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50" w:type="dxa"/>
            <w:vAlign w:val="center"/>
          </w:tcPr>
          <w:p w:rsidR="00A249BB" w:rsidRPr="00715E7D" w:rsidRDefault="00A249BB" w:rsidP="00332631">
            <w:pPr>
              <w:pStyle w:val="Prrafodelista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2636" w:type="dxa"/>
          </w:tcPr>
          <w:p w:rsidR="00A249BB" w:rsidRPr="007465AA" w:rsidRDefault="00332631" w:rsidP="005D1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publica la fecha de actualización para cada </w:t>
            </w:r>
            <w:r w:rsidR="005D146E">
              <w:rPr>
                <w:sz w:val="18"/>
                <w:szCs w:val="18"/>
              </w:rPr>
              <w:t>una</w:t>
            </w:r>
            <w:r>
              <w:rPr>
                <w:sz w:val="18"/>
                <w:szCs w:val="18"/>
              </w:rPr>
              <w:t xml:space="preserve"> de </w:t>
            </w:r>
            <w:r w:rsidR="005D146E">
              <w:rPr>
                <w:sz w:val="18"/>
                <w:szCs w:val="18"/>
              </w:rPr>
              <w:t xml:space="preserve">las </w:t>
            </w:r>
            <w:r>
              <w:rPr>
                <w:sz w:val="18"/>
                <w:szCs w:val="18"/>
              </w:rPr>
              <w:t>obligaciones</w:t>
            </w:r>
          </w:p>
        </w:tc>
      </w:tr>
      <w:tr w:rsidR="00A249BB" w:rsidRPr="007465AA" w:rsidTr="00C72559">
        <w:tc>
          <w:tcPr>
            <w:tcW w:w="7196" w:type="dxa"/>
            <w:gridSpan w:val="2"/>
          </w:tcPr>
          <w:p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850" w:type="dxa"/>
            <w:vAlign w:val="center"/>
          </w:tcPr>
          <w:p w:rsidR="00A249BB" w:rsidRPr="007465AA" w:rsidRDefault="00082645" w:rsidP="00E346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36" w:type="dxa"/>
          </w:tcPr>
          <w:p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082645" w:rsidP="00DF56A7">
      <w:pPr>
        <w:jc w:val="both"/>
      </w:pPr>
      <w:r>
        <w:t>La Fundación Lázaro Galdiano</w:t>
      </w:r>
      <w:r w:rsidR="00A254A9">
        <w:t xml:space="preserve"> ha aplicado </w:t>
      </w:r>
      <w:r w:rsidR="00E346B0">
        <w:t>10</w:t>
      </w:r>
      <w:r w:rsidR="008B6789">
        <w:t xml:space="preserve"> de las </w:t>
      </w:r>
      <w:r>
        <w:t xml:space="preserve">13 </w:t>
      </w:r>
      <w:r w:rsidR="008B6789">
        <w:t>recomendaciones derivadas de la evaluación 2022.</w:t>
      </w:r>
    </w:p>
    <w:p w:rsidR="00FA5AFD" w:rsidRDefault="00FA5AFD" w:rsidP="00AC4A6F"/>
    <w:p w:rsidR="003F6EDC" w:rsidRPr="002D27E4" w:rsidRDefault="002D27E4" w:rsidP="00035DFF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82645" w:rsidRPr="00F31BC3" w:rsidRDefault="0008264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082645" w:rsidRPr="00F31BC3" w:rsidRDefault="0008264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4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00121" w:rsidRPr="00100121" w:rsidTr="00A2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0121" w:rsidRPr="00100121" w:rsidRDefault="00100121" w:rsidP="00100121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254A9" w:rsidRPr="00100121" w:rsidTr="00A2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254A9" w:rsidRPr="00100121" w:rsidRDefault="00A254A9" w:rsidP="00100121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80,6</w:t>
            </w:r>
          </w:p>
        </w:tc>
      </w:tr>
      <w:tr w:rsidR="00A254A9" w:rsidRPr="00100121" w:rsidTr="00A254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254A9" w:rsidRPr="00100121" w:rsidRDefault="00A254A9" w:rsidP="00100121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00121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31,8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36,4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254A9">
              <w:rPr>
                <w:sz w:val="16"/>
              </w:rPr>
              <w:t>35,7</w:t>
            </w:r>
          </w:p>
        </w:tc>
      </w:tr>
      <w:tr w:rsidR="00A254A9" w:rsidRPr="00100121" w:rsidTr="00A2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254A9" w:rsidRPr="00100121" w:rsidRDefault="00A254A9" w:rsidP="00100121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00121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52,8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47,2</w:t>
            </w:r>
          </w:p>
        </w:tc>
        <w:tc>
          <w:tcPr>
            <w:tcW w:w="0" w:type="auto"/>
            <w:noWrap/>
            <w:vAlign w:val="center"/>
          </w:tcPr>
          <w:p w:rsidR="00A254A9" w:rsidRPr="00A254A9" w:rsidRDefault="00A254A9" w:rsidP="00A25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254A9">
              <w:rPr>
                <w:b/>
                <w:i/>
                <w:sz w:val="16"/>
              </w:rPr>
              <w:t>53,6</w:t>
            </w:r>
          </w:p>
        </w:tc>
      </w:tr>
    </w:tbl>
    <w:p w:rsidR="00100121" w:rsidRDefault="00100121" w:rsidP="00F05E2C">
      <w:pPr>
        <w:pStyle w:val="Cuerpodelboletn"/>
        <w:rPr>
          <w:lang w:bidi="es-ES"/>
        </w:rPr>
      </w:pPr>
    </w:p>
    <w:p w:rsidR="00A670E9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A254A9">
        <w:rPr>
          <w:lang w:bidi="es-ES"/>
        </w:rPr>
        <w:t>53,6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</w:t>
      </w:r>
      <w:r w:rsidR="00880290">
        <w:rPr>
          <w:lang w:bidi="es-ES"/>
        </w:rPr>
        <w:t xml:space="preserve">se ha incrementado en </w:t>
      </w:r>
      <w:r w:rsidR="00A254A9">
        <w:rPr>
          <w:lang w:bidi="es-ES"/>
        </w:rPr>
        <w:t>3,3</w:t>
      </w:r>
      <w:r w:rsidR="00880290">
        <w:rPr>
          <w:lang w:bidi="es-ES"/>
        </w:rPr>
        <w:t xml:space="preserve"> puntos porcentuales, </w:t>
      </w:r>
      <w:r w:rsidR="00A254A9" w:rsidRPr="00A254A9">
        <w:rPr>
          <w:lang w:bidi="es-ES"/>
        </w:rPr>
        <w:t xml:space="preserve">atribuibles a que la aplicación de </w:t>
      </w:r>
      <w:r w:rsidR="00A254A9">
        <w:rPr>
          <w:lang w:bidi="es-ES"/>
        </w:rPr>
        <w:t xml:space="preserve">la práctica totalidad </w:t>
      </w:r>
      <w:r w:rsidR="00A254A9" w:rsidRPr="00A254A9">
        <w:rPr>
          <w:lang w:bidi="es-ES"/>
        </w:rPr>
        <w:t>de las recomendaciones efectuadas en 2022</w:t>
      </w:r>
      <w:r w:rsidR="00D65BC0">
        <w:rPr>
          <w:lang w:bidi="es-ES"/>
        </w:rPr>
        <w:t>,</w:t>
      </w:r>
      <w:r w:rsidR="00A254A9" w:rsidRPr="00A254A9">
        <w:rPr>
          <w:lang w:bidi="es-ES"/>
        </w:rPr>
        <w:t xml:space="preserve">  se ha visto contrarrestada por la revisión a la baja del cumplimiento de </w:t>
      </w:r>
      <w:r w:rsidR="00A254A9">
        <w:rPr>
          <w:lang w:bidi="es-ES"/>
        </w:rPr>
        <w:t xml:space="preserve">todas </w:t>
      </w:r>
      <w:r w:rsidR="00A254A9" w:rsidRPr="00A254A9">
        <w:rPr>
          <w:lang w:bidi="es-ES"/>
        </w:rPr>
        <w:t>la</w:t>
      </w:r>
      <w:r w:rsidR="00A254A9">
        <w:rPr>
          <w:lang w:bidi="es-ES"/>
        </w:rPr>
        <w:t>s</w:t>
      </w:r>
      <w:r w:rsidR="00A254A9" w:rsidRPr="00A254A9">
        <w:rPr>
          <w:lang w:bidi="es-ES"/>
        </w:rPr>
        <w:t xml:space="preserve"> obligacion</w:t>
      </w:r>
      <w:r w:rsidR="00A254A9">
        <w:rPr>
          <w:lang w:bidi="es-ES"/>
        </w:rPr>
        <w:t xml:space="preserve">es del grupo contratación y también </w:t>
      </w:r>
      <w:r w:rsidR="00A254A9" w:rsidRPr="00A254A9">
        <w:rPr>
          <w:lang w:bidi="es-ES"/>
        </w:rPr>
        <w:t xml:space="preserve"> </w:t>
      </w:r>
      <w:r w:rsidR="00A254A9">
        <w:rPr>
          <w:lang w:bidi="es-ES"/>
        </w:rPr>
        <w:t>de la obligación Convenios, ya que en ambos casos la última información publicada corresponde al ejercicio 2021.</w:t>
      </w:r>
    </w:p>
    <w:p w:rsidR="00EB68A3" w:rsidRDefault="00EB68A3" w:rsidP="00F05E2C">
      <w:pPr>
        <w:pStyle w:val="Cuerpodelboletn"/>
      </w:pPr>
    </w:p>
    <w:p w:rsidR="00BF5801" w:rsidRDefault="00BF5801" w:rsidP="00F05E2C">
      <w:pPr>
        <w:pStyle w:val="Cuerpodelboletn"/>
      </w:pPr>
    </w:p>
    <w:p w:rsidR="00D65BC0" w:rsidRDefault="00D65BC0" w:rsidP="00F05E2C">
      <w:pPr>
        <w:pStyle w:val="Cuerpodelboletn"/>
      </w:pPr>
    </w:p>
    <w:p w:rsidR="00D65BC0" w:rsidRDefault="00D65BC0" w:rsidP="00F05E2C">
      <w:pPr>
        <w:pStyle w:val="Cuerpodelboletn"/>
      </w:pPr>
    </w:p>
    <w:p w:rsidR="00D65BC0" w:rsidRDefault="00D65BC0" w:rsidP="00F05E2C">
      <w:pPr>
        <w:pStyle w:val="Cuerpodelboletn"/>
        <w:sectPr w:rsidR="00D65BC0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413FC" w:rsidRDefault="00880290" w:rsidP="00A254A9">
      <w:pPr>
        <w:pStyle w:val="Cuerpodelboletn"/>
        <w:spacing w:line="276" w:lineRule="auto"/>
      </w:pPr>
      <w:r>
        <w:t>Aunque el Índice de cumplimiento de la Información Obligatoria mejora respecto de 2022 -,</w:t>
      </w:r>
      <w:r w:rsidR="00A254A9">
        <w:t xml:space="preserve"> y </w:t>
      </w:r>
      <w:r>
        <w:t xml:space="preserve"> e</w:t>
      </w:r>
      <w:r w:rsidR="004413FC">
        <w:t xml:space="preserve">ste CTBG </w:t>
      </w:r>
      <w:r w:rsidR="00A254A9">
        <w:t xml:space="preserve">valora </w:t>
      </w:r>
      <w:r w:rsidR="00EF6BF1">
        <w:t xml:space="preserve">muy </w:t>
      </w:r>
      <w:r w:rsidR="00A254A9">
        <w:t>positivamente que la Fundación Láz</w:t>
      </w:r>
      <w:r w:rsidR="009A35AF">
        <w:t xml:space="preserve">aro Galdiano haya aplicado el </w:t>
      </w:r>
      <w:r w:rsidR="00D65BC0">
        <w:t>77</w:t>
      </w:r>
      <w:r w:rsidR="00A254A9">
        <w:t>% de las recomendaciones derivadas de la evaluación 2022, este buen desempeño no se ha visto reflejado en un mayor crecimiento del Índice de Cumplimiento</w:t>
      </w:r>
      <w:r w:rsidR="00EF6BF1">
        <w:t>,</w:t>
      </w:r>
      <w:r w:rsidR="00A254A9">
        <w:t xml:space="preserve"> por el desfase temporal que presenta la información relativa a todas las obligaciones del grupo contratación y también de la obligación Convenios.  Ello ha obligado a efectuar una revisión a la baja del cumplimiento de </w:t>
      </w:r>
      <w:r w:rsidR="009A35AF">
        <w:t>estas</w:t>
      </w:r>
      <w:r w:rsidR="00A254A9">
        <w:t xml:space="preserve"> obligaciones. </w:t>
      </w:r>
      <w:r w:rsidR="00EF6BF1">
        <w:t xml:space="preserve">Si </w:t>
      </w:r>
      <w:r w:rsidR="009A35AF">
        <w:t>esta</w:t>
      </w:r>
      <w:r w:rsidR="00EF6BF1">
        <w:t xml:space="preserve"> información estuviese actualizada, al menos a 2022, el ICIO de la Fundación se situaría en el 86%.</w:t>
      </w: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82645" w:rsidRPr="00F31BC3" w:rsidRDefault="00082645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082645" w:rsidRPr="00F31BC3" w:rsidRDefault="00082645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4413FC" w:rsidRDefault="004413FC" w:rsidP="004413FC">
      <w:pPr>
        <w:pStyle w:val="Prrafodelista"/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4413FC" w:rsidRPr="00035DFF" w:rsidRDefault="004D1FFB" w:rsidP="00035DFF">
      <w:pPr>
        <w:pStyle w:val="Prrafodelista"/>
        <w:numPr>
          <w:ilvl w:val="1"/>
          <w:numId w:val="20"/>
        </w:numPr>
        <w:spacing w:line="276" w:lineRule="auto"/>
        <w:ind w:left="2127"/>
        <w:jc w:val="both"/>
      </w:pPr>
      <w:r>
        <w:rPr>
          <w:szCs w:val="22"/>
        </w:rPr>
        <w:t>El Registro de Actividades de Tratamiento</w:t>
      </w:r>
    </w:p>
    <w:p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E15EC7" w:rsidRDefault="00E15EC7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EF6BF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correspondiente a todas las obligaciones del grupo contratación está muy desfasada al corresponder al ejercicio 2021</w:t>
      </w:r>
    </w:p>
    <w:p w:rsidR="004D1FFB" w:rsidRDefault="00EF6BF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 mismo ocurre con la </w:t>
      </w:r>
      <w:r w:rsidR="00E15EC7" w:rsidRPr="004D1FFB">
        <w:rPr>
          <w:rFonts w:ascii="Century Gothic" w:hAnsi="Century Gothic"/>
        </w:rPr>
        <w:t>información sobre convenios</w:t>
      </w:r>
      <w:r w:rsidR="00035DFF" w:rsidRPr="004D1FFB">
        <w:rPr>
          <w:rFonts w:ascii="Century Gothic" w:hAnsi="Century Gothic"/>
        </w:rPr>
        <w:t xml:space="preserve"> </w:t>
      </w:r>
    </w:p>
    <w:p w:rsidR="004413FC" w:rsidRPr="00EE1B9B" w:rsidRDefault="00EF6BF1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información sobre las retribuciones de la Directora</w:t>
      </w:r>
    </w:p>
    <w:p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15EC7" w:rsidRDefault="00EF6BF1" w:rsidP="00E15EC7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 las informaciones desactualizadas (contratos y convenios)</w:t>
      </w:r>
      <w:r w:rsidRPr="00EF6BF1">
        <w:rPr>
          <w:rFonts w:ascii="Century Gothic" w:hAnsi="Century Gothic"/>
        </w:rPr>
        <w:t xml:space="preserve"> este Consejo </w:t>
      </w:r>
      <w:r>
        <w:rPr>
          <w:rFonts w:ascii="Century Gothic" w:hAnsi="Century Gothic"/>
        </w:rPr>
        <w:t>recomienda</w:t>
      </w:r>
      <w:r w:rsidRPr="00EF6BF1">
        <w:rPr>
          <w:rFonts w:ascii="Century Gothic" w:hAnsi="Century Gothic"/>
        </w:rPr>
        <w:t xml:space="preserve"> que aquellas informaciones que son conocidas a inicio del año – por ejemplo, las retribuciones de altos cargos y máximos responsables – o que se refieren a actividades que pueden producirse en cualquier momento del año – por ejemplo, las indemnizaciones al cese de altos cargos – o que se desarrollan de </w:t>
      </w:r>
      <w:r w:rsidRPr="00EF6BF1">
        <w:rPr>
          <w:rFonts w:ascii="Century Gothic" w:hAnsi="Century Gothic"/>
        </w:rPr>
        <w:lastRenderedPageBreak/>
        <w:t xml:space="preserve">manera continua – por ejemplo, </w:t>
      </w:r>
      <w:r w:rsidR="0038511B">
        <w:rPr>
          <w:rFonts w:ascii="Century Gothic" w:hAnsi="Century Gothic"/>
        </w:rPr>
        <w:t xml:space="preserve">los contratos, </w:t>
      </w:r>
      <w:r w:rsidRPr="00EF6BF1">
        <w:rPr>
          <w:rFonts w:ascii="Century Gothic" w:hAnsi="Century Gothic"/>
        </w:rPr>
        <w:t xml:space="preserve">la información estadística sobre contratación o </w:t>
      </w:r>
      <w:r w:rsidR="0038511B">
        <w:rPr>
          <w:rFonts w:ascii="Century Gothic" w:hAnsi="Century Gothic"/>
        </w:rPr>
        <w:t>los convenios</w:t>
      </w:r>
      <w:r w:rsidRPr="00EF6BF1">
        <w:rPr>
          <w:rFonts w:ascii="Century Gothic" w:hAnsi="Century Gothic"/>
        </w:rPr>
        <w:t xml:space="preserve"> – se publiquen con una p</w:t>
      </w:r>
      <w:r w:rsidR="0038511B">
        <w:rPr>
          <w:rFonts w:ascii="Century Gothic" w:hAnsi="Century Gothic"/>
        </w:rPr>
        <w:t>eriodicidad inferior a la anual</w:t>
      </w:r>
      <w:r w:rsidRPr="00EF6BF1">
        <w:rPr>
          <w:rFonts w:ascii="Century Gothic" w:hAnsi="Century Gothic"/>
        </w:rPr>
        <w:t>.</w:t>
      </w:r>
    </w:p>
    <w:p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65BC0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65BC0" w:rsidRDefault="00D65B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5EC7" w:rsidRDefault="00E15EC7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82645" w:rsidRPr="00F31BC3" w:rsidRDefault="0008264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082645" w:rsidRPr="00F31BC3" w:rsidRDefault="0008264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82645" w:rsidRPr="00F31BC3" w:rsidRDefault="0008264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82645" w:rsidRPr="00F31BC3" w:rsidRDefault="0008264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45" w:rsidRDefault="00082645" w:rsidP="00F31BC3">
      <w:r>
        <w:separator/>
      </w:r>
    </w:p>
  </w:endnote>
  <w:endnote w:type="continuationSeparator" w:id="0">
    <w:p w:rsidR="00082645" w:rsidRDefault="0008264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45" w:rsidRDefault="00082645" w:rsidP="00F31BC3">
      <w:r>
        <w:separator/>
      </w:r>
    </w:p>
  </w:footnote>
  <w:footnote w:type="continuationSeparator" w:id="0">
    <w:p w:rsidR="00082645" w:rsidRDefault="0008264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166A2"/>
    <w:multiLevelType w:val="hybridMultilevel"/>
    <w:tmpl w:val="584CB1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>
    <w:nsid w:val="3958145F"/>
    <w:multiLevelType w:val="hybridMultilevel"/>
    <w:tmpl w:val="CE841F5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E2387"/>
    <w:multiLevelType w:val="hybridMultilevel"/>
    <w:tmpl w:val="B70CE20C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7"/>
  </w:num>
  <w:num w:numId="13">
    <w:abstractNumId w:val="9"/>
  </w:num>
  <w:num w:numId="14">
    <w:abstractNumId w:val="24"/>
  </w:num>
  <w:num w:numId="15">
    <w:abstractNumId w:val="2"/>
  </w:num>
  <w:num w:numId="16">
    <w:abstractNumId w:val="25"/>
  </w:num>
  <w:num w:numId="17">
    <w:abstractNumId w:val="14"/>
  </w:num>
  <w:num w:numId="18">
    <w:abstractNumId w:val="8"/>
  </w:num>
  <w:num w:numId="19">
    <w:abstractNumId w:val="7"/>
  </w:num>
  <w:num w:numId="20">
    <w:abstractNumId w:val="20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72B7E"/>
    <w:rsid w:val="000775A5"/>
    <w:rsid w:val="00082645"/>
    <w:rsid w:val="00085C93"/>
    <w:rsid w:val="000A77F5"/>
    <w:rsid w:val="000D3907"/>
    <w:rsid w:val="000D5417"/>
    <w:rsid w:val="000E0A9E"/>
    <w:rsid w:val="000F0DA5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18C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2631"/>
    <w:rsid w:val="00337C82"/>
    <w:rsid w:val="00347877"/>
    <w:rsid w:val="00352994"/>
    <w:rsid w:val="00355DC0"/>
    <w:rsid w:val="0038511B"/>
    <w:rsid w:val="00393F48"/>
    <w:rsid w:val="003A1694"/>
    <w:rsid w:val="003A390C"/>
    <w:rsid w:val="003B399C"/>
    <w:rsid w:val="003B57E6"/>
    <w:rsid w:val="003B6B96"/>
    <w:rsid w:val="003D2C4A"/>
    <w:rsid w:val="003D5ED4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52800"/>
    <w:rsid w:val="00563295"/>
    <w:rsid w:val="00564E23"/>
    <w:rsid w:val="00582A8C"/>
    <w:rsid w:val="005B1544"/>
    <w:rsid w:val="005C4778"/>
    <w:rsid w:val="005D146E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35AF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4A9"/>
    <w:rsid w:val="00A51AAD"/>
    <w:rsid w:val="00A57EC0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27119"/>
    <w:rsid w:val="00B5314A"/>
    <w:rsid w:val="00B56A3A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BF5801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72559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53D"/>
    <w:rsid w:val="00D41F4C"/>
    <w:rsid w:val="00D44BCF"/>
    <w:rsid w:val="00D45F5C"/>
    <w:rsid w:val="00D520C8"/>
    <w:rsid w:val="00D65BC0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346B0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15CB"/>
    <w:rsid w:val="00015E04"/>
    <w:rsid w:val="0015011A"/>
    <w:rsid w:val="00202DDA"/>
    <w:rsid w:val="00443EA4"/>
    <w:rsid w:val="0051307B"/>
    <w:rsid w:val="00583D19"/>
    <w:rsid w:val="00722728"/>
    <w:rsid w:val="00787EBD"/>
    <w:rsid w:val="007C3485"/>
    <w:rsid w:val="00831AE6"/>
    <w:rsid w:val="008E118A"/>
    <w:rsid w:val="00A104A7"/>
    <w:rsid w:val="00AB484A"/>
    <w:rsid w:val="00AC55E8"/>
    <w:rsid w:val="00C32372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073D9-8745-40BB-B022-B6C60E57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172</TotalTime>
  <Pages>5</Pages>
  <Words>1175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11</cp:revision>
  <cp:lastPrinted>2008-09-26T23:14:00Z</cp:lastPrinted>
  <dcterms:created xsi:type="dcterms:W3CDTF">2023-04-17T12:26:00Z</dcterms:created>
  <dcterms:modified xsi:type="dcterms:W3CDTF">2023-05-22T15:57:00Z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