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C77" w:rsidRDefault="004E3C77"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la Fundación Teatro Real </w:t>
                                </w:r>
                              </w:sdtContent>
                            </w:sdt>
                            <w:r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4E3C77" w:rsidRDefault="004E3C77"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la Fundación Teatro Real </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4E3C77" w:rsidRDefault="004E3C7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4E3C77" w:rsidRDefault="004E3C7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Default="00415DBD" w:rsidP="00415DBD"/>
    <w:tbl>
      <w:tblPr>
        <w:tblStyle w:val="Tablaconcuadrcula"/>
        <w:tblW w:w="0" w:type="auto"/>
        <w:tblLook w:val="04A0" w:firstRow="1" w:lastRow="0" w:firstColumn="1" w:lastColumn="0" w:noHBand="0" w:noVBand="1"/>
      </w:tblPr>
      <w:tblGrid>
        <w:gridCol w:w="5348"/>
        <w:gridCol w:w="5348"/>
      </w:tblGrid>
      <w:tr w:rsidR="004E3C77" w:rsidTr="004E3C77">
        <w:tc>
          <w:tcPr>
            <w:tcW w:w="5348" w:type="dxa"/>
          </w:tcPr>
          <w:p w:rsidR="004E3C77" w:rsidRDefault="004E3C77" w:rsidP="00415DBD">
            <w:r w:rsidRPr="004E3C77">
              <w:rPr>
                <w:b/>
                <w:color w:val="50866C"/>
                <w:szCs w:val="30"/>
                <w:lang w:bidi="es-ES"/>
              </w:rPr>
              <w:t>Fecha de la evaluación</w:t>
            </w:r>
          </w:p>
        </w:tc>
        <w:tc>
          <w:tcPr>
            <w:tcW w:w="5348" w:type="dxa"/>
          </w:tcPr>
          <w:p w:rsidR="004E3C77" w:rsidRDefault="004E3C77" w:rsidP="00415DBD">
            <w:r>
              <w:t>18/04/2023</w:t>
            </w:r>
          </w:p>
          <w:p w:rsidR="004E3C77" w:rsidRDefault="004E3C77" w:rsidP="00415DBD">
            <w:r>
              <w:t>Segunda revisión: 05/05/2023</w:t>
            </w:r>
          </w:p>
        </w:tc>
      </w:tr>
    </w:tbl>
    <w:p w:rsidR="004E3C77" w:rsidRDefault="004E3C77" w:rsidP="00415DBD"/>
    <w:p w:rsidR="004E3C77" w:rsidRDefault="004E3C77" w:rsidP="00415DBD"/>
    <w:p w:rsidR="0082470D" w:rsidRPr="002D27E4" w:rsidRDefault="004E3C77"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E15EC7">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D6B23">
            <w:pPr>
              <w:rPr>
                <w:sz w:val="18"/>
                <w:szCs w:val="18"/>
              </w:rPr>
            </w:pPr>
            <w:r w:rsidRPr="007465AA">
              <w:rPr>
                <w:sz w:val="18"/>
                <w:szCs w:val="18"/>
              </w:rPr>
              <w:t>Portal de Transparencia</w:t>
            </w:r>
            <w:r w:rsidR="00715E7D">
              <w:rPr>
                <w:sz w:val="18"/>
                <w:szCs w:val="18"/>
              </w:rPr>
              <w:t xml:space="preserve">: </w:t>
            </w:r>
            <w:r w:rsidR="004D6B23">
              <w:rPr>
                <w:sz w:val="18"/>
                <w:szCs w:val="18"/>
              </w:rPr>
              <w:t>Ubicación del enlace al Portal en un apartado más visible de la web</w:t>
            </w:r>
          </w:p>
        </w:tc>
        <w:tc>
          <w:tcPr>
            <w:tcW w:w="709" w:type="dxa"/>
            <w:vAlign w:val="center"/>
          </w:tcPr>
          <w:p w:rsidR="00A249BB" w:rsidRPr="007465AA" w:rsidRDefault="00715E7D" w:rsidP="001521CD">
            <w:pPr>
              <w:jc w:val="center"/>
              <w:rPr>
                <w:sz w:val="18"/>
                <w:szCs w:val="18"/>
              </w:rPr>
            </w:pPr>
            <w:r>
              <w:rPr>
                <w:sz w:val="18"/>
                <w:szCs w:val="18"/>
              </w:rPr>
              <w:t>x</w:t>
            </w:r>
          </w:p>
        </w:tc>
        <w:tc>
          <w:tcPr>
            <w:tcW w:w="2777" w:type="dxa"/>
          </w:tcPr>
          <w:p w:rsidR="00A249BB" w:rsidRPr="007465AA" w:rsidRDefault="00715E7D" w:rsidP="004D6B23">
            <w:pPr>
              <w:rPr>
                <w:sz w:val="18"/>
                <w:szCs w:val="18"/>
              </w:rPr>
            </w:pPr>
            <w:r>
              <w:rPr>
                <w:sz w:val="18"/>
                <w:szCs w:val="18"/>
              </w:rPr>
              <w:t xml:space="preserve">No, </w:t>
            </w:r>
            <w:r w:rsidR="004D6B23">
              <w:rPr>
                <w:sz w:val="18"/>
                <w:szCs w:val="18"/>
              </w:rPr>
              <w:t>el enlace sitúa en la parte final de la web, lo que no facilita la localización del Portal de Transparencia</w:t>
            </w: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709" w:type="dxa"/>
            <w:vAlign w:val="center"/>
          </w:tcPr>
          <w:p w:rsidR="00A249BB" w:rsidRPr="007465AA" w:rsidRDefault="00715E7D" w:rsidP="001521CD">
            <w:pPr>
              <w:jc w:val="center"/>
              <w:rPr>
                <w:sz w:val="18"/>
                <w:szCs w:val="18"/>
              </w:rPr>
            </w:pPr>
            <w:r>
              <w:rPr>
                <w:sz w:val="18"/>
                <w:szCs w:val="18"/>
              </w:rPr>
              <w:t>x</w:t>
            </w:r>
          </w:p>
        </w:tc>
        <w:tc>
          <w:tcPr>
            <w:tcW w:w="2777" w:type="dxa"/>
          </w:tcPr>
          <w:p w:rsidR="00A249BB" w:rsidRPr="007465AA" w:rsidRDefault="00715E7D" w:rsidP="004D6B23">
            <w:pPr>
              <w:rPr>
                <w:sz w:val="18"/>
                <w:szCs w:val="18"/>
              </w:rPr>
            </w:pPr>
            <w:r>
              <w:rPr>
                <w:sz w:val="18"/>
                <w:szCs w:val="18"/>
              </w:rPr>
              <w:t xml:space="preserve">No, </w:t>
            </w:r>
            <w:r w:rsidR="004D6B23">
              <w:rPr>
                <w:sz w:val="18"/>
                <w:szCs w:val="18"/>
              </w:rPr>
              <w:t>El Portal sigue sin estructurarse conforme al patrón que establece la LTAIBG</w:t>
            </w:r>
            <w:r>
              <w:rPr>
                <w:sz w:val="18"/>
                <w:szCs w:val="18"/>
              </w:rPr>
              <w:t xml:space="preserve"> </w:t>
            </w: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4D6B23" w:rsidP="001521CD">
            <w:pPr>
              <w:jc w:val="center"/>
              <w:rPr>
                <w:sz w:val="18"/>
                <w:szCs w:val="18"/>
              </w:rPr>
            </w:pPr>
            <w:r>
              <w:rPr>
                <w:sz w:val="18"/>
                <w:szCs w:val="18"/>
              </w:rPr>
              <w:t>x</w:t>
            </w:r>
          </w:p>
        </w:tc>
        <w:tc>
          <w:tcPr>
            <w:tcW w:w="2777" w:type="dxa"/>
          </w:tcPr>
          <w:p w:rsidR="00A249BB" w:rsidRPr="007465AA" w:rsidRDefault="004D6B23" w:rsidP="001521CD">
            <w:pPr>
              <w:rPr>
                <w:sz w:val="18"/>
                <w:szCs w:val="18"/>
              </w:rPr>
            </w:pPr>
            <w:r>
              <w:rPr>
                <w:sz w:val="18"/>
                <w:szCs w:val="18"/>
              </w:rPr>
              <w:t>No, parte de las informaciones obligatorias se localizan fuera del Portal de Transparencia</w:t>
            </w:r>
          </w:p>
        </w:tc>
      </w:tr>
      <w:tr w:rsidR="001A0BD4" w:rsidRPr="007465AA" w:rsidTr="007465AA">
        <w:tc>
          <w:tcPr>
            <w:tcW w:w="1668" w:type="dxa"/>
            <w:vMerge w:val="restart"/>
            <w:vAlign w:val="center"/>
          </w:tcPr>
          <w:p w:rsidR="001A0BD4" w:rsidRPr="007465AA" w:rsidRDefault="00E07201" w:rsidP="001521CD">
            <w:pPr>
              <w:rPr>
                <w:sz w:val="18"/>
                <w:szCs w:val="18"/>
              </w:rPr>
            </w:pPr>
            <w:r w:rsidRPr="00E07201">
              <w:rPr>
                <w:sz w:val="18"/>
                <w:szCs w:val="18"/>
              </w:rPr>
              <w:t xml:space="preserve">Publicación de </w:t>
            </w:r>
            <w:r w:rsidR="001A0BD4" w:rsidRPr="007465AA">
              <w:rPr>
                <w:sz w:val="18"/>
                <w:szCs w:val="18"/>
              </w:rPr>
              <w:t>Contenidos</w:t>
            </w:r>
          </w:p>
        </w:tc>
        <w:tc>
          <w:tcPr>
            <w:tcW w:w="5528" w:type="dxa"/>
          </w:tcPr>
          <w:p w:rsidR="001A0BD4" w:rsidRPr="007465AA" w:rsidRDefault="00BC748E" w:rsidP="00715E7D">
            <w:pPr>
              <w:rPr>
                <w:sz w:val="18"/>
                <w:szCs w:val="18"/>
              </w:rPr>
            </w:pPr>
            <w:r>
              <w:rPr>
                <w:sz w:val="18"/>
                <w:szCs w:val="18"/>
              </w:rPr>
              <w:t>Organigrama</w:t>
            </w:r>
          </w:p>
        </w:tc>
        <w:tc>
          <w:tcPr>
            <w:tcW w:w="709" w:type="dxa"/>
          </w:tcPr>
          <w:p w:rsidR="001A0BD4" w:rsidRPr="00BC748E" w:rsidRDefault="001A0BD4" w:rsidP="00BC748E">
            <w:pPr>
              <w:ind w:left="360"/>
              <w:jc w:val="center"/>
              <w:rPr>
                <w:sz w:val="18"/>
                <w:szCs w:val="18"/>
              </w:rPr>
            </w:pPr>
          </w:p>
        </w:tc>
        <w:tc>
          <w:tcPr>
            <w:tcW w:w="2777" w:type="dxa"/>
          </w:tcPr>
          <w:p w:rsidR="001A0BD4" w:rsidRPr="007465AA" w:rsidRDefault="00BC748E" w:rsidP="004D6B23">
            <w:pPr>
              <w:rPr>
                <w:sz w:val="18"/>
                <w:szCs w:val="18"/>
              </w:rPr>
            </w:pPr>
            <w:r>
              <w:rPr>
                <w:sz w:val="18"/>
                <w:szCs w:val="18"/>
              </w:rPr>
              <w:t xml:space="preserve">No. </w:t>
            </w:r>
            <w:r w:rsidR="004D6B23">
              <w:rPr>
                <w:sz w:val="18"/>
                <w:szCs w:val="18"/>
              </w:rPr>
              <w:t>No se ha localizado el organigrama</w:t>
            </w:r>
            <w:r w:rsidR="00715E7D">
              <w:rPr>
                <w:sz w:val="18"/>
                <w:szCs w:val="18"/>
              </w:rPr>
              <w:t xml:space="preserve"> </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4D6B23" w:rsidP="00715E7D">
            <w:pPr>
              <w:rPr>
                <w:sz w:val="18"/>
                <w:szCs w:val="18"/>
              </w:rPr>
            </w:pPr>
            <w:r>
              <w:rPr>
                <w:sz w:val="18"/>
                <w:szCs w:val="18"/>
              </w:rPr>
              <w:t>Registro de Actividades de Tratamiento</w:t>
            </w:r>
          </w:p>
        </w:tc>
        <w:tc>
          <w:tcPr>
            <w:tcW w:w="709" w:type="dxa"/>
          </w:tcPr>
          <w:p w:rsidR="001A0BD4" w:rsidRPr="007465AA" w:rsidRDefault="001A0BD4" w:rsidP="001521CD">
            <w:pPr>
              <w:jc w:val="center"/>
              <w:rPr>
                <w:sz w:val="18"/>
                <w:szCs w:val="18"/>
              </w:rPr>
            </w:pPr>
          </w:p>
        </w:tc>
        <w:tc>
          <w:tcPr>
            <w:tcW w:w="2777" w:type="dxa"/>
          </w:tcPr>
          <w:p w:rsidR="001A0BD4" w:rsidRPr="007465AA" w:rsidRDefault="00E4458C" w:rsidP="001521CD">
            <w:pPr>
              <w:rPr>
                <w:sz w:val="18"/>
                <w:szCs w:val="18"/>
              </w:rPr>
            </w:pPr>
            <w:r>
              <w:rPr>
                <w:sz w:val="18"/>
                <w:szCs w:val="18"/>
              </w:rPr>
              <w:t xml:space="preserve">No. </w:t>
            </w:r>
            <w:r w:rsidR="004D6B23">
              <w:rPr>
                <w:sz w:val="18"/>
                <w:szCs w:val="18"/>
              </w:rPr>
              <w:t>Sigue sin publicarse el Registro de Actividades de Tratamiento</w:t>
            </w:r>
          </w:p>
        </w:tc>
      </w:tr>
      <w:tr w:rsidR="00715E7D" w:rsidRPr="007465AA" w:rsidTr="007465AA">
        <w:tc>
          <w:tcPr>
            <w:tcW w:w="1668" w:type="dxa"/>
            <w:vMerge/>
            <w:vAlign w:val="center"/>
          </w:tcPr>
          <w:p w:rsidR="00715E7D" w:rsidRPr="007465AA" w:rsidRDefault="00715E7D" w:rsidP="001521CD">
            <w:pPr>
              <w:rPr>
                <w:sz w:val="18"/>
                <w:szCs w:val="18"/>
              </w:rPr>
            </w:pPr>
          </w:p>
        </w:tc>
        <w:tc>
          <w:tcPr>
            <w:tcW w:w="5528" w:type="dxa"/>
          </w:tcPr>
          <w:p w:rsidR="00715E7D" w:rsidRDefault="004D6B23" w:rsidP="004D6B23">
            <w:pPr>
              <w:rPr>
                <w:sz w:val="18"/>
                <w:szCs w:val="18"/>
              </w:rPr>
            </w:pPr>
            <w:r>
              <w:rPr>
                <w:sz w:val="18"/>
                <w:szCs w:val="18"/>
              </w:rPr>
              <w:t>Contratos: para facilitar el acceso, al menos redirig</w:t>
            </w:r>
            <w:r w:rsidR="00C1049E">
              <w:rPr>
                <w:sz w:val="18"/>
                <w:szCs w:val="18"/>
              </w:rPr>
              <w:t>ir al Perfil del Contratante de</w:t>
            </w:r>
            <w:r>
              <w:rPr>
                <w:sz w:val="18"/>
                <w:szCs w:val="18"/>
              </w:rPr>
              <w:t>l Teatro Real en la Plataforma de Contratación del Sector Público</w:t>
            </w:r>
          </w:p>
        </w:tc>
        <w:tc>
          <w:tcPr>
            <w:tcW w:w="709" w:type="dxa"/>
          </w:tcPr>
          <w:p w:rsidR="00715E7D" w:rsidRPr="004D6B23" w:rsidRDefault="00715E7D" w:rsidP="004D6B23">
            <w:pPr>
              <w:pStyle w:val="Prrafodelista"/>
              <w:numPr>
                <w:ilvl w:val="0"/>
                <w:numId w:val="24"/>
              </w:numPr>
              <w:jc w:val="center"/>
              <w:rPr>
                <w:sz w:val="18"/>
                <w:szCs w:val="18"/>
              </w:rPr>
            </w:pPr>
          </w:p>
        </w:tc>
        <w:tc>
          <w:tcPr>
            <w:tcW w:w="2777" w:type="dxa"/>
          </w:tcPr>
          <w:p w:rsidR="00715E7D" w:rsidRDefault="004D6B23" w:rsidP="004D6B23">
            <w:pPr>
              <w:rPr>
                <w:sz w:val="18"/>
                <w:szCs w:val="18"/>
              </w:rPr>
            </w:pPr>
            <w:r>
              <w:rPr>
                <w:sz w:val="18"/>
                <w:szCs w:val="18"/>
              </w:rPr>
              <w:t>Si, el enlace  “Acceder a la Plataforma de Contratación del Estado” posiciona en el perfil del contratante del Teatro Real</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E11FBC" w:rsidP="00BA5833">
            <w:pPr>
              <w:rPr>
                <w:sz w:val="18"/>
                <w:szCs w:val="18"/>
              </w:rPr>
            </w:pPr>
            <w:r>
              <w:rPr>
                <w:sz w:val="18"/>
                <w:szCs w:val="18"/>
              </w:rPr>
              <w:t>Modificaciones de Contratos</w:t>
            </w:r>
          </w:p>
        </w:tc>
        <w:tc>
          <w:tcPr>
            <w:tcW w:w="709" w:type="dxa"/>
          </w:tcPr>
          <w:p w:rsidR="001A0BD4" w:rsidRPr="007465AA" w:rsidRDefault="001A0BD4" w:rsidP="001521CD">
            <w:pPr>
              <w:jc w:val="center"/>
              <w:rPr>
                <w:sz w:val="18"/>
                <w:szCs w:val="18"/>
              </w:rPr>
            </w:pPr>
          </w:p>
        </w:tc>
        <w:tc>
          <w:tcPr>
            <w:tcW w:w="2777" w:type="dxa"/>
          </w:tcPr>
          <w:p w:rsidR="001A0BD4" w:rsidRPr="007465AA" w:rsidRDefault="00E11FBC" w:rsidP="00C1049E">
            <w:pPr>
              <w:rPr>
                <w:sz w:val="18"/>
                <w:szCs w:val="18"/>
              </w:rPr>
            </w:pPr>
            <w:r>
              <w:rPr>
                <w:sz w:val="18"/>
                <w:szCs w:val="18"/>
              </w:rPr>
              <w:t xml:space="preserve">No. </w:t>
            </w:r>
            <w:r w:rsidR="00C1049E">
              <w:rPr>
                <w:sz w:val="18"/>
                <w:szCs w:val="18"/>
              </w:rPr>
              <w:t>La Plataforma de Contratación del Sector Público no incluye las modificaciones entre los criterios de búsqueda de licitaciones.</w:t>
            </w:r>
          </w:p>
        </w:tc>
      </w:tr>
      <w:tr w:rsidR="00C1049E" w:rsidRPr="007465AA" w:rsidTr="007465AA">
        <w:tc>
          <w:tcPr>
            <w:tcW w:w="1668" w:type="dxa"/>
            <w:vMerge/>
            <w:vAlign w:val="center"/>
          </w:tcPr>
          <w:p w:rsidR="00C1049E" w:rsidRPr="007465AA" w:rsidRDefault="00C1049E" w:rsidP="001521CD">
            <w:pPr>
              <w:rPr>
                <w:sz w:val="18"/>
                <w:szCs w:val="18"/>
              </w:rPr>
            </w:pPr>
          </w:p>
        </w:tc>
        <w:tc>
          <w:tcPr>
            <w:tcW w:w="5528" w:type="dxa"/>
          </w:tcPr>
          <w:p w:rsidR="00C1049E" w:rsidRDefault="00C1049E" w:rsidP="00BA5833">
            <w:pPr>
              <w:rPr>
                <w:sz w:val="18"/>
                <w:szCs w:val="18"/>
              </w:rPr>
            </w:pPr>
            <w:r>
              <w:rPr>
                <w:sz w:val="18"/>
                <w:szCs w:val="18"/>
              </w:rPr>
              <w:t>Desistimientos y renuncias</w:t>
            </w:r>
          </w:p>
        </w:tc>
        <w:tc>
          <w:tcPr>
            <w:tcW w:w="709" w:type="dxa"/>
          </w:tcPr>
          <w:p w:rsidR="00C1049E" w:rsidRPr="00C1049E" w:rsidRDefault="00C1049E" w:rsidP="00C1049E">
            <w:pPr>
              <w:pStyle w:val="Prrafodelista"/>
              <w:numPr>
                <w:ilvl w:val="0"/>
                <w:numId w:val="24"/>
              </w:numPr>
              <w:jc w:val="center"/>
              <w:rPr>
                <w:sz w:val="18"/>
                <w:szCs w:val="18"/>
              </w:rPr>
            </w:pPr>
          </w:p>
        </w:tc>
        <w:tc>
          <w:tcPr>
            <w:tcW w:w="2777" w:type="dxa"/>
          </w:tcPr>
          <w:p w:rsidR="00C1049E" w:rsidRDefault="00C1049E" w:rsidP="00BA5833">
            <w:pPr>
              <w:rPr>
                <w:sz w:val="18"/>
                <w:szCs w:val="18"/>
              </w:rPr>
            </w:pPr>
            <w:r>
              <w:rPr>
                <w:sz w:val="18"/>
                <w:szCs w:val="18"/>
              </w:rPr>
              <w:t>Si, en el Perfil del Contratante, se ha constatado que no existen licitaciones desistidas.</w:t>
            </w:r>
          </w:p>
        </w:tc>
      </w:tr>
      <w:tr w:rsidR="00E11FBC" w:rsidRPr="007465AA" w:rsidTr="007465AA">
        <w:tc>
          <w:tcPr>
            <w:tcW w:w="1668" w:type="dxa"/>
            <w:vMerge/>
            <w:vAlign w:val="center"/>
          </w:tcPr>
          <w:p w:rsidR="00E11FBC" w:rsidRPr="007465AA" w:rsidRDefault="00E11FBC" w:rsidP="001521CD">
            <w:pPr>
              <w:rPr>
                <w:sz w:val="18"/>
                <w:szCs w:val="18"/>
              </w:rPr>
            </w:pPr>
          </w:p>
        </w:tc>
        <w:tc>
          <w:tcPr>
            <w:tcW w:w="5528" w:type="dxa"/>
          </w:tcPr>
          <w:p w:rsidR="00E11FBC" w:rsidRPr="007465AA" w:rsidRDefault="00E11FBC" w:rsidP="00BA5833">
            <w:pPr>
              <w:rPr>
                <w:sz w:val="18"/>
                <w:szCs w:val="18"/>
              </w:rPr>
            </w:pPr>
            <w:r>
              <w:rPr>
                <w:sz w:val="18"/>
                <w:szCs w:val="18"/>
              </w:rPr>
              <w:t xml:space="preserve">Estadísticas sobre contratos: </w:t>
            </w:r>
            <w:r w:rsidR="00BA5833">
              <w:rPr>
                <w:sz w:val="18"/>
                <w:szCs w:val="18"/>
              </w:rPr>
              <w:t>enlace roto</w:t>
            </w:r>
          </w:p>
        </w:tc>
        <w:tc>
          <w:tcPr>
            <w:tcW w:w="709" w:type="dxa"/>
          </w:tcPr>
          <w:p w:rsidR="00E11FBC" w:rsidRPr="00E11FBC" w:rsidRDefault="00E11FBC" w:rsidP="00E11FBC">
            <w:pPr>
              <w:ind w:left="360"/>
              <w:jc w:val="center"/>
              <w:rPr>
                <w:sz w:val="18"/>
                <w:szCs w:val="18"/>
              </w:rPr>
            </w:pPr>
          </w:p>
        </w:tc>
        <w:tc>
          <w:tcPr>
            <w:tcW w:w="2777" w:type="dxa"/>
          </w:tcPr>
          <w:p w:rsidR="00E11FBC" w:rsidRDefault="00E11FBC" w:rsidP="00C1049E">
            <w:pPr>
              <w:rPr>
                <w:sz w:val="18"/>
                <w:szCs w:val="18"/>
              </w:rPr>
            </w:pPr>
            <w:r>
              <w:rPr>
                <w:sz w:val="18"/>
                <w:szCs w:val="18"/>
              </w:rPr>
              <w:t>No</w:t>
            </w:r>
          </w:p>
        </w:tc>
      </w:tr>
      <w:tr w:rsidR="00C1049E" w:rsidRPr="007465AA" w:rsidTr="007465AA">
        <w:tc>
          <w:tcPr>
            <w:tcW w:w="1668" w:type="dxa"/>
            <w:vMerge/>
            <w:vAlign w:val="center"/>
          </w:tcPr>
          <w:p w:rsidR="00C1049E" w:rsidRPr="007465AA" w:rsidRDefault="00C1049E" w:rsidP="001521CD">
            <w:pPr>
              <w:rPr>
                <w:sz w:val="18"/>
                <w:szCs w:val="18"/>
              </w:rPr>
            </w:pPr>
          </w:p>
        </w:tc>
        <w:tc>
          <w:tcPr>
            <w:tcW w:w="5528" w:type="dxa"/>
          </w:tcPr>
          <w:p w:rsidR="00C1049E" w:rsidRDefault="00C1049E" w:rsidP="00BA5833">
            <w:pPr>
              <w:rPr>
                <w:sz w:val="18"/>
                <w:szCs w:val="18"/>
              </w:rPr>
            </w:pPr>
            <w:r>
              <w:rPr>
                <w:sz w:val="18"/>
                <w:szCs w:val="18"/>
              </w:rPr>
              <w:t>Contratos menores</w:t>
            </w:r>
          </w:p>
        </w:tc>
        <w:tc>
          <w:tcPr>
            <w:tcW w:w="709" w:type="dxa"/>
          </w:tcPr>
          <w:p w:rsidR="00C1049E" w:rsidRPr="00C1049E" w:rsidRDefault="00C1049E" w:rsidP="00C1049E">
            <w:pPr>
              <w:pStyle w:val="Prrafodelista"/>
              <w:numPr>
                <w:ilvl w:val="0"/>
                <w:numId w:val="24"/>
              </w:numPr>
              <w:jc w:val="center"/>
              <w:rPr>
                <w:sz w:val="18"/>
                <w:szCs w:val="18"/>
              </w:rPr>
            </w:pPr>
          </w:p>
        </w:tc>
        <w:tc>
          <w:tcPr>
            <w:tcW w:w="2777" w:type="dxa"/>
          </w:tcPr>
          <w:p w:rsidR="00C1049E" w:rsidRDefault="00C1049E" w:rsidP="00C1049E">
            <w:pPr>
              <w:rPr>
                <w:sz w:val="18"/>
                <w:szCs w:val="18"/>
              </w:rPr>
            </w:pPr>
            <w:r>
              <w:rPr>
                <w:sz w:val="18"/>
                <w:szCs w:val="18"/>
              </w:rPr>
              <w:t>Si, la información se localiza en el perfil del contratante</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C1049E">
            <w:pPr>
              <w:rPr>
                <w:sz w:val="18"/>
                <w:szCs w:val="18"/>
              </w:rPr>
            </w:pPr>
            <w:r w:rsidRPr="007465AA">
              <w:rPr>
                <w:sz w:val="18"/>
                <w:szCs w:val="18"/>
              </w:rPr>
              <w:t>Convenios</w:t>
            </w:r>
          </w:p>
        </w:tc>
        <w:tc>
          <w:tcPr>
            <w:tcW w:w="709" w:type="dxa"/>
          </w:tcPr>
          <w:p w:rsidR="001A0BD4" w:rsidRPr="00E11FBC" w:rsidRDefault="001A0BD4" w:rsidP="00E11FBC">
            <w:pPr>
              <w:ind w:left="360"/>
              <w:jc w:val="center"/>
              <w:rPr>
                <w:sz w:val="18"/>
                <w:szCs w:val="18"/>
              </w:rPr>
            </w:pPr>
          </w:p>
        </w:tc>
        <w:tc>
          <w:tcPr>
            <w:tcW w:w="2777" w:type="dxa"/>
          </w:tcPr>
          <w:p w:rsidR="001A0BD4" w:rsidRPr="007465AA" w:rsidRDefault="00E11FBC" w:rsidP="00C1049E">
            <w:pPr>
              <w:rPr>
                <w:sz w:val="18"/>
                <w:szCs w:val="18"/>
              </w:rPr>
            </w:pPr>
            <w:r>
              <w:rPr>
                <w:sz w:val="18"/>
                <w:szCs w:val="18"/>
              </w:rPr>
              <w:t>No</w:t>
            </w:r>
            <w:r w:rsidR="00EB0916">
              <w:rPr>
                <w:sz w:val="18"/>
                <w:szCs w:val="18"/>
              </w:rPr>
              <w:t xml:space="preserve">. </w:t>
            </w:r>
            <w:r w:rsidR="00C1049E">
              <w:rPr>
                <w:sz w:val="18"/>
                <w:szCs w:val="18"/>
              </w:rPr>
              <w:t>No se publica información sobre convenios</w:t>
            </w:r>
          </w:p>
        </w:tc>
      </w:tr>
      <w:tr w:rsidR="00BA5833" w:rsidRPr="007465AA" w:rsidTr="007465AA">
        <w:tc>
          <w:tcPr>
            <w:tcW w:w="1668" w:type="dxa"/>
            <w:vMerge/>
            <w:vAlign w:val="center"/>
          </w:tcPr>
          <w:p w:rsidR="00BA5833" w:rsidRPr="007465AA" w:rsidRDefault="00BA5833" w:rsidP="001521CD">
            <w:pPr>
              <w:rPr>
                <w:sz w:val="18"/>
                <w:szCs w:val="18"/>
              </w:rPr>
            </w:pPr>
          </w:p>
        </w:tc>
        <w:tc>
          <w:tcPr>
            <w:tcW w:w="5528" w:type="dxa"/>
          </w:tcPr>
          <w:p w:rsidR="00BA5833" w:rsidRDefault="00BA5833" w:rsidP="004E3C77">
            <w:pPr>
              <w:rPr>
                <w:sz w:val="18"/>
                <w:szCs w:val="18"/>
              </w:rPr>
            </w:pPr>
            <w:r>
              <w:rPr>
                <w:sz w:val="18"/>
                <w:szCs w:val="18"/>
              </w:rPr>
              <w:t>Subvenciones</w:t>
            </w:r>
          </w:p>
        </w:tc>
        <w:tc>
          <w:tcPr>
            <w:tcW w:w="709" w:type="dxa"/>
          </w:tcPr>
          <w:p w:rsidR="00BA5833" w:rsidRPr="007465AA" w:rsidRDefault="00BA5833" w:rsidP="001521CD">
            <w:pPr>
              <w:jc w:val="center"/>
              <w:rPr>
                <w:sz w:val="18"/>
                <w:szCs w:val="18"/>
              </w:rPr>
            </w:pPr>
          </w:p>
        </w:tc>
        <w:tc>
          <w:tcPr>
            <w:tcW w:w="2777" w:type="dxa"/>
          </w:tcPr>
          <w:p w:rsidR="00BA5833" w:rsidRDefault="00BA5833" w:rsidP="00C1049E">
            <w:pPr>
              <w:rPr>
                <w:sz w:val="18"/>
                <w:szCs w:val="18"/>
              </w:rPr>
            </w:pPr>
            <w:r>
              <w:rPr>
                <w:sz w:val="18"/>
                <w:szCs w:val="18"/>
              </w:rPr>
              <w:t xml:space="preserve">No. </w:t>
            </w:r>
            <w:r w:rsidR="00C1049E">
              <w:rPr>
                <w:sz w:val="18"/>
                <w:szCs w:val="18"/>
              </w:rPr>
              <w:t>No se ha localizado información sobre subvenciones y ayudas públicas</w:t>
            </w:r>
          </w:p>
        </w:tc>
      </w:tr>
      <w:tr w:rsidR="00C1049E" w:rsidRPr="007465AA" w:rsidTr="007465AA">
        <w:tc>
          <w:tcPr>
            <w:tcW w:w="1668" w:type="dxa"/>
            <w:vMerge/>
            <w:vAlign w:val="center"/>
          </w:tcPr>
          <w:p w:rsidR="00C1049E" w:rsidRPr="007465AA" w:rsidRDefault="00C1049E" w:rsidP="001521CD">
            <w:pPr>
              <w:rPr>
                <w:sz w:val="18"/>
                <w:szCs w:val="18"/>
              </w:rPr>
            </w:pPr>
          </w:p>
        </w:tc>
        <w:tc>
          <w:tcPr>
            <w:tcW w:w="5528" w:type="dxa"/>
          </w:tcPr>
          <w:p w:rsidR="00C1049E" w:rsidRPr="007465AA" w:rsidRDefault="00C1049E" w:rsidP="001521CD">
            <w:pPr>
              <w:rPr>
                <w:sz w:val="18"/>
                <w:szCs w:val="18"/>
              </w:rPr>
            </w:pPr>
            <w:r>
              <w:rPr>
                <w:sz w:val="18"/>
                <w:szCs w:val="18"/>
              </w:rPr>
              <w:t>Presupuesto</w:t>
            </w:r>
          </w:p>
        </w:tc>
        <w:tc>
          <w:tcPr>
            <w:tcW w:w="709" w:type="dxa"/>
          </w:tcPr>
          <w:p w:rsidR="00C1049E" w:rsidRPr="007465AA" w:rsidRDefault="00C1049E" w:rsidP="001521CD">
            <w:pPr>
              <w:jc w:val="center"/>
              <w:rPr>
                <w:sz w:val="18"/>
                <w:szCs w:val="18"/>
              </w:rPr>
            </w:pPr>
          </w:p>
        </w:tc>
        <w:tc>
          <w:tcPr>
            <w:tcW w:w="2777" w:type="dxa"/>
          </w:tcPr>
          <w:p w:rsidR="00C1049E" w:rsidRDefault="00C1049E" w:rsidP="00035DFF">
            <w:pPr>
              <w:rPr>
                <w:sz w:val="18"/>
                <w:szCs w:val="18"/>
              </w:rPr>
            </w:pPr>
            <w:r>
              <w:rPr>
                <w:sz w:val="18"/>
                <w:szCs w:val="18"/>
              </w:rPr>
              <w:t>No, no se publica el presupuesto.</w:t>
            </w:r>
          </w:p>
        </w:tc>
      </w:tr>
      <w:tr w:rsidR="00C1049E" w:rsidRPr="007465AA" w:rsidTr="007465AA">
        <w:tc>
          <w:tcPr>
            <w:tcW w:w="1668" w:type="dxa"/>
            <w:vMerge/>
            <w:vAlign w:val="center"/>
          </w:tcPr>
          <w:p w:rsidR="00C1049E" w:rsidRPr="007465AA" w:rsidRDefault="00C1049E" w:rsidP="001521CD">
            <w:pPr>
              <w:rPr>
                <w:sz w:val="18"/>
                <w:szCs w:val="18"/>
              </w:rPr>
            </w:pPr>
          </w:p>
        </w:tc>
        <w:tc>
          <w:tcPr>
            <w:tcW w:w="5528" w:type="dxa"/>
          </w:tcPr>
          <w:p w:rsidR="00C1049E" w:rsidRPr="007465AA" w:rsidRDefault="00C1049E" w:rsidP="001521CD">
            <w:pPr>
              <w:rPr>
                <w:sz w:val="18"/>
                <w:szCs w:val="18"/>
              </w:rPr>
            </w:pPr>
            <w:r>
              <w:rPr>
                <w:sz w:val="18"/>
                <w:szCs w:val="18"/>
              </w:rPr>
              <w:t>Cuentas anuales</w:t>
            </w:r>
          </w:p>
        </w:tc>
        <w:tc>
          <w:tcPr>
            <w:tcW w:w="709" w:type="dxa"/>
          </w:tcPr>
          <w:p w:rsidR="00C1049E" w:rsidRPr="007465AA" w:rsidRDefault="00C1049E" w:rsidP="001521CD">
            <w:pPr>
              <w:jc w:val="center"/>
              <w:rPr>
                <w:sz w:val="18"/>
                <w:szCs w:val="18"/>
              </w:rPr>
            </w:pPr>
          </w:p>
        </w:tc>
        <w:tc>
          <w:tcPr>
            <w:tcW w:w="2777" w:type="dxa"/>
          </w:tcPr>
          <w:p w:rsidR="00C1049E" w:rsidRDefault="00C1049E" w:rsidP="00035DFF">
            <w:pPr>
              <w:rPr>
                <w:sz w:val="18"/>
                <w:szCs w:val="18"/>
              </w:rPr>
            </w:pPr>
            <w:r>
              <w:rPr>
                <w:sz w:val="18"/>
                <w:szCs w:val="18"/>
              </w:rPr>
              <w:t>No, no se publican las cuentas anuales</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1521CD">
            <w:pPr>
              <w:rPr>
                <w:sz w:val="18"/>
                <w:szCs w:val="18"/>
              </w:rPr>
            </w:pPr>
            <w:r w:rsidRPr="007465AA">
              <w:rPr>
                <w:sz w:val="18"/>
                <w:szCs w:val="18"/>
              </w:rPr>
              <w:t xml:space="preserve">Informes de auditoría  </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C1049E">
            <w:pPr>
              <w:rPr>
                <w:sz w:val="18"/>
                <w:szCs w:val="18"/>
              </w:rPr>
            </w:pPr>
            <w:r>
              <w:rPr>
                <w:sz w:val="18"/>
                <w:szCs w:val="18"/>
              </w:rPr>
              <w:t>No</w:t>
            </w:r>
            <w:r w:rsidR="00035DFF">
              <w:rPr>
                <w:sz w:val="18"/>
                <w:szCs w:val="18"/>
              </w:rPr>
              <w:t xml:space="preserve">. </w:t>
            </w:r>
            <w:r w:rsidR="00C1049E">
              <w:rPr>
                <w:sz w:val="18"/>
                <w:szCs w:val="18"/>
              </w:rPr>
              <w:t>S</w:t>
            </w:r>
            <w:r w:rsidR="00035DFF">
              <w:rPr>
                <w:sz w:val="18"/>
                <w:szCs w:val="18"/>
              </w:rPr>
              <w:t xml:space="preserve">e publican los informes de auditoría </w:t>
            </w:r>
            <w:r w:rsidR="00C1049E">
              <w:rPr>
                <w:sz w:val="18"/>
                <w:szCs w:val="18"/>
              </w:rPr>
              <w:t>de la IGAE, el más reciente corresponde al ejercicio 2018, pero no se publican los informes elaborados por el Tribunal de Cuentas, que es a lo que se refiere el contenido material de esta obligación.</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F92562">
            <w:pPr>
              <w:rPr>
                <w:sz w:val="18"/>
                <w:szCs w:val="18"/>
              </w:rPr>
            </w:pPr>
            <w:r w:rsidRPr="007465AA">
              <w:rPr>
                <w:sz w:val="18"/>
                <w:szCs w:val="18"/>
              </w:rPr>
              <w:t>Retribuciones de los máximos responsables</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F92562">
            <w:pPr>
              <w:rPr>
                <w:sz w:val="18"/>
                <w:szCs w:val="18"/>
              </w:rPr>
            </w:pPr>
            <w:r>
              <w:rPr>
                <w:sz w:val="18"/>
                <w:szCs w:val="18"/>
              </w:rPr>
              <w:t>No</w:t>
            </w:r>
            <w:r w:rsidR="00C1049E">
              <w:rPr>
                <w:sz w:val="18"/>
                <w:szCs w:val="18"/>
              </w:rPr>
              <w:t xml:space="preserve">. </w:t>
            </w:r>
            <w:r w:rsidR="00F92562">
              <w:rPr>
                <w:sz w:val="18"/>
                <w:szCs w:val="18"/>
              </w:rPr>
              <w:t xml:space="preserve">Sigue informándose exclusivamente  sobre </w:t>
            </w:r>
            <w:proofErr w:type="spellStart"/>
            <w:r w:rsidR="00F92562">
              <w:rPr>
                <w:sz w:val="18"/>
                <w:szCs w:val="18"/>
              </w:rPr>
              <w:t xml:space="preserve">lo </w:t>
            </w:r>
            <w:r w:rsidR="00F92562">
              <w:rPr>
                <w:sz w:val="18"/>
                <w:szCs w:val="18"/>
              </w:rPr>
              <w:t>s</w:t>
            </w:r>
            <w:proofErr w:type="spellEnd"/>
            <w:r w:rsidR="00F92562">
              <w:rPr>
                <w:sz w:val="18"/>
                <w:szCs w:val="18"/>
              </w:rPr>
              <w:t xml:space="preserve"> contenidos del RD 451 </w:t>
            </w:r>
            <w:r w:rsidR="00F92562">
              <w:rPr>
                <w:sz w:val="18"/>
                <w:szCs w:val="18"/>
              </w:rPr>
              <w:t>/2012, pero no se informa sobre las retribuciones percibidas por los máximos responsables de la fundación.</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1521CD">
            <w:pPr>
              <w:rPr>
                <w:sz w:val="18"/>
                <w:szCs w:val="18"/>
              </w:rPr>
            </w:pPr>
            <w:r w:rsidRPr="007465AA">
              <w:rPr>
                <w:sz w:val="18"/>
                <w:szCs w:val="18"/>
              </w:rPr>
              <w:t>Indemnizaciones percibidas por Altos Cargos con ocasión del abandono del cargo</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8B6789" w:rsidRPr="007465AA" w:rsidTr="007465AA">
        <w:tc>
          <w:tcPr>
            <w:tcW w:w="1668" w:type="dxa"/>
            <w:vMerge/>
            <w:vAlign w:val="center"/>
          </w:tcPr>
          <w:p w:rsidR="008B6789" w:rsidRPr="007465AA" w:rsidRDefault="008B6789" w:rsidP="001521CD">
            <w:pPr>
              <w:rPr>
                <w:sz w:val="18"/>
                <w:szCs w:val="18"/>
              </w:rPr>
            </w:pPr>
          </w:p>
        </w:tc>
        <w:tc>
          <w:tcPr>
            <w:tcW w:w="5528" w:type="dxa"/>
          </w:tcPr>
          <w:p w:rsidR="008B6789" w:rsidRPr="001A0BD4" w:rsidRDefault="008B6789" w:rsidP="001521CD">
            <w:pPr>
              <w:rPr>
                <w:sz w:val="18"/>
                <w:szCs w:val="18"/>
              </w:rPr>
            </w:pPr>
            <w:r>
              <w:rPr>
                <w:sz w:val="18"/>
                <w:szCs w:val="18"/>
              </w:rPr>
              <w:t>Autorizaciones de compatibilidad concedidas a empleados: publicación en el Portal de Transparencia de la entidad</w:t>
            </w:r>
          </w:p>
        </w:tc>
        <w:tc>
          <w:tcPr>
            <w:tcW w:w="709" w:type="dxa"/>
          </w:tcPr>
          <w:p w:rsidR="008B6789" w:rsidRPr="007465AA" w:rsidRDefault="008B6789" w:rsidP="001521CD">
            <w:pPr>
              <w:jc w:val="center"/>
              <w:rPr>
                <w:sz w:val="18"/>
                <w:szCs w:val="18"/>
              </w:rPr>
            </w:pPr>
          </w:p>
        </w:tc>
        <w:tc>
          <w:tcPr>
            <w:tcW w:w="2777" w:type="dxa"/>
          </w:tcPr>
          <w:p w:rsidR="008B6789" w:rsidRDefault="008B6789" w:rsidP="00035DFF">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337C82" w:rsidRDefault="001A0BD4" w:rsidP="001521CD">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337C82" w:rsidRDefault="001A0BD4" w:rsidP="001521CD">
            <w:pPr>
              <w:rPr>
                <w:sz w:val="18"/>
                <w:szCs w:val="18"/>
              </w:rPr>
            </w:pPr>
            <w:r w:rsidRPr="00337C82">
              <w:rPr>
                <w:sz w:val="18"/>
                <w:szCs w:val="18"/>
              </w:rPr>
              <w:t>Relación de los bienes inmuebles que sean de su propiedad o sobre los que ostenten algún derecho real.</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A249BB" w:rsidRPr="007465AA" w:rsidTr="007465AA">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709" w:type="dxa"/>
            <w:vAlign w:val="center"/>
          </w:tcPr>
          <w:p w:rsidR="00A249BB" w:rsidRPr="00715E7D" w:rsidRDefault="00A249BB" w:rsidP="00100121">
            <w:pPr>
              <w:pStyle w:val="Prrafodelista"/>
              <w:rPr>
                <w:sz w:val="18"/>
                <w:szCs w:val="18"/>
              </w:rPr>
            </w:pPr>
          </w:p>
        </w:tc>
        <w:tc>
          <w:tcPr>
            <w:tcW w:w="2777" w:type="dxa"/>
          </w:tcPr>
          <w:p w:rsidR="00A249BB" w:rsidRPr="007465AA" w:rsidRDefault="00100121" w:rsidP="001521CD">
            <w:pPr>
              <w:rPr>
                <w:sz w:val="18"/>
                <w:szCs w:val="18"/>
              </w:rPr>
            </w:pPr>
            <w:r>
              <w:rPr>
                <w:sz w:val="18"/>
                <w:szCs w:val="18"/>
              </w:rPr>
              <w:t>No</w:t>
            </w:r>
          </w:p>
        </w:tc>
      </w:tr>
      <w:tr w:rsidR="00A249BB" w:rsidRPr="007465AA" w:rsidTr="007465AA">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709" w:type="dxa"/>
            <w:vAlign w:val="center"/>
          </w:tcPr>
          <w:p w:rsidR="00A249BB" w:rsidRPr="007465AA" w:rsidRDefault="00100121" w:rsidP="00035DFF">
            <w:pPr>
              <w:jc w:val="center"/>
              <w:rPr>
                <w:b/>
                <w:sz w:val="18"/>
                <w:szCs w:val="18"/>
              </w:rPr>
            </w:pPr>
            <w:r>
              <w:rPr>
                <w:b/>
                <w:sz w:val="18"/>
                <w:szCs w:val="18"/>
              </w:rPr>
              <w:t>22</w:t>
            </w:r>
          </w:p>
        </w:tc>
        <w:tc>
          <w:tcPr>
            <w:tcW w:w="2777" w:type="dxa"/>
          </w:tcPr>
          <w:p w:rsidR="00A249BB" w:rsidRPr="007465AA" w:rsidRDefault="00A249BB" w:rsidP="001521CD">
            <w:pPr>
              <w:rPr>
                <w:b/>
                <w:sz w:val="18"/>
                <w:szCs w:val="18"/>
              </w:rPr>
            </w:pPr>
          </w:p>
        </w:tc>
      </w:tr>
    </w:tbl>
    <w:p w:rsidR="003A1694" w:rsidRDefault="003A1694" w:rsidP="00AC4A6F"/>
    <w:p w:rsidR="00BA4354" w:rsidRDefault="00100121" w:rsidP="00DF56A7">
      <w:pPr>
        <w:jc w:val="both"/>
      </w:pPr>
      <w:r>
        <w:t>La Fundación Teatro Real</w:t>
      </w:r>
      <w:r w:rsidR="00035DFF">
        <w:t xml:space="preserve"> </w:t>
      </w:r>
      <w:r w:rsidR="008B6789">
        <w:t xml:space="preserve">ha aplicado </w:t>
      </w:r>
      <w:r>
        <w:t>3</w:t>
      </w:r>
      <w:r w:rsidR="008B6789">
        <w:t xml:space="preserve"> de las </w:t>
      </w:r>
      <w:r>
        <w:t>22</w:t>
      </w:r>
      <w:r w:rsidR="00035DFF">
        <w:t xml:space="preserve"> </w:t>
      </w:r>
      <w:r w:rsidR="008B6789">
        <w:t>recomendaciones derivadas de la evaluación 2022.</w:t>
      </w:r>
    </w:p>
    <w:p w:rsidR="00FA5AFD" w:rsidRDefault="00FA5AFD" w:rsidP="00AC4A6F"/>
    <w:p w:rsidR="00035DFF" w:rsidRDefault="00035DFF" w:rsidP="00AC4A6F"/>
    <w:p w:rsidR="00F92562" w:rsidRDefault="00F92562" w:rsidP="00AC4A6F"/>
    <w:p w:rsidR="00F92562" w:rsidRDefault="00F92562" w:rsidP="00AC4A6F"/>
    <w:p w:rsidR="00F92562" w:rsidRDefault="00F92562" w:rsidP="00AC4A6F"/>
    <w:p w:rsidR="00F92562" w:rsidRDefault="00F92562" w:rsidP="00AC4A6F"/>
    <w:p w:rsidR="00F92562" w:rsidRDefault="00F92562" w:rsidP="00AC4A6F"/>
    <w:p w:rsidR="00F92562" w:rsidRDefault="00F92562" w:rsidP="00AC4A6F"/>
    <w:p w:rsidR="00F92562" w:rsidRDefault="00F92562" w:rsidP="00AC4A6F"/>
    <w:p w:rsidR="00F92562" w:rsidRDefault="00F92562" w:rsidP="00AC4A6F"/>
    <w:p w:rsidR="00F92562" w:rsidRDefault="00F92562" w:rsidP="00AC4A6F"/>
    <w:p w:rsidR="00F92562" w:rsidRDefault="00F92562" w:rsidP="00AC4A6F"/>
    <w:p w:rsidR="003F6EDC" w:rsidRPr="002D27E4" w:rsidRDefault="002D27E4" w:rsidP="00035DFF">
      <w:p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E3C77" w:rsidRPr="00F31BC3" w:rsidRDefault="004E3C7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4E3C77" w:rsidRPr="00F31BC3" w:rsidRDefault="004E3C7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4"/>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100121" w:rsidRPr="00100121" w:rsidTr="00476974">
        <w:trPr>
          <w:cnfStyle w:val="100000000000" w:firstRow="1" w:lastRow="0" w:firstColumn="0" w:lastColumn="0" w:oddVBand="0" w:evenVBand="0" w:oddHBand="0" w:evenHBand="0" w:firstRowFirstColumn="0" w:firstRowLastColumn="0" w:lastRowFirstColumn="0" w:lastRowLastColumn="0"/>
          <w:cantSplit/>
          <w:trHeight w:val="1390"/>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100121" w:rsidRPr="00100121" w:rsidRDefault="00100121" w:rsidP="00100121">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100121" w:rsidRPr="00100121" w:rsidRDefault="00100121" w:rsidP="0010012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00121">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100121" w:rsidRPr="00100121" w:rsidRDefault="00100121" w:rsidP="0010012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00121">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100121" w:rsidRPr="00100121" w:rsidRDefault="00100121" w:rsidP="0010012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00121">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100121" w:rsidRPr="00100121" w:rsidRDefault="00100121" w:rsidP="0010012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00121">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100121" w:rsidRPr="00100121" w:rsidRDefault="00100121" w:rsidP="0010012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00121">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100121" w:rsidRPr="00100121" w:rsidRDefault="00100121" w:rsidP="0010012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00121">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100121" w:rsidRPr="00100121" w:rsidRDefault="00100121" w:rsidP="0010012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00121">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100121" w:rsidRPr="00100121" w:rsidRDefault="00100121" w:rsidP="0010012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00121">
              <w:rPr>
                <w:rFonts w:eastAsia="Calibri" w:cs="Calibri"/>
                <w:sz w:val="16"/>
                <w:szCs w:val="16"/>
              </w:rPr>
              <w:t>Total</w:t>
            </w:r>
          </w:p>
        </w:tc>
      </w:tr>
      <w:tr w:rsidR="00100121" w:rsidRPr="00100121" w:rsidTr="0010012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00121" w:rsidRPr="00100121" w:rsidRDefault="00100121" w:rsidP="00100121">
            <w:pPr>
              <w:spacing w:before="120" w:after="120" w:line="312" w:lineRule="auto"/>
              <w:rPr>
                <w:rFonts w:eastAsia="Calibri" w:cs="Calibri"/>
                <w:sz w:val="16"/>
                <w:szCs w:val="16"/>
              </w:rPr>
            </w:pPr>
            <w:r w:rsidRPr="00100121">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100121" w:rsidRPr="00100121" w:rsidRDefault="00100121" w:rsidP="0010012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100121">
              <w:rPr>
                <w:rFonts w:eastAsia="Calibri" w:cs="Times New Roman"/>
                <w:sz w:val="16"/>
                <w:szCs w:val="16"/>
              </w:rPr>
              <w:t>71,4</w:t>
            </w:r>
          </w:p>
        </w:tc>
        <w:tc>
          <w:tcPr>
            <w:tcW w:w="0" w:type="auto"/>
            <w:noWrap/>
            <w:vAlign w:val="center"/>
          </w:tcPr>
          <w:p w:rsidR="00100121" w:rsidRPr="00100121" w:rsidRDefault="00100121" w:rsidP="0010012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100121">
              <w:rPr>
                <w:rFonts w:eastAsia="Calibri" w:cs="Times New Roman"/>
                <w:sz w:val="16"/>
                <w:szCs w:val="16"/>
              </w:rPr>
              <w:t>71,4</w:t>
            </w:r>
          </w:p>
        </w:tc>
        <w:tc>
          <w:tcPr>
            <w:tcW w:w="0" w:type="auto"/>
            <w:noWrap/>
            <w:vAlign w:val="center"/>
          </w:tcPr>
          <w:p w:rsidR="00100121" w:rsidRPr="00100121" w:rsidRDefault="00100121" w:rsidP="0010012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100121">
              <w:rPr>
                <w:rFonts w:eastAsia="Calibri" w:cs="Times New Roman"/>
                <w:sz w:val="16"/>
                <w:szCs w:val="16"/>
              </w:rPr>
              <w:t>71,4</w:t>
            </w:r>
          </w:p>
        </w:tc>
        <w:tc>
          <w:tcPr>
            <w:tcW w:w="0" w:type="auto"/>
            <w:noWrap/>
            <w:vAlign w:val="center"/>
          </w:tcPr>
          <w:p w:rsidR="00100121" w:rsidRPr="00100121" w:rsidRDefault="00100121" w:rsidP="0010012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100121">
              <w:rPr>
                <w:rFonts w:eastAsia="Calibri" w:cs="Times New Roman"/>
                <w:sz w:val="16"/>
                <w:szCs w:val="16"/>
              </w:rPr>
              <w:t>71,4</w:t>
            </w:r>
          </w:p>
        </w:tc>
        <w:tc>
          <w:tcPr>
            <w:tcW w:w="0" w:type="auto"/>
            <w:noWrap/>
            <w:vAlign w:val="center"/>
          </w:tcPr>
          <w:p w:rsidR="00100121" w:rsidRPr="00100121" w:rsidRDefault="00100121" w:rsidP="0010012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100121">
              <w:rPr>
                <w:rFonts w:eastAsia="Calibri" w:cs="Times New Roman"/>
                <w:sz w:val="16"/>
                <w:szCs w:val="16"/>
              </w:rPr>
              <w:t>71,4</w:t>
            </w:r>
          </w:p>
        </w:tc>
        <w:tc>
          <w:tcPr>
            <w:tcW w:w="0" w:type="auto"/>
            <w:noWrap/>
            <w:vAlign w:val="center"/>
          </w:tcPr>
          <w:p w:rsidR="00100121" w:rsidRPr="00100121" w:rsidRDefault="00100121" w:rsidP="0010012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100121">
              <w:rPr>
                <w:rFonts w:eastAsia="Calibri" w:cs="Times New Roman"/>
                <w:sz w:val="16"/>
                <w:szCs w:val="16"/>
              </w:rPr>
              <w:t>71,4</w:t>
            </w:r>
          </w:p>
        </w:tc>
        <w:tc>
          <w:tcPr>
            <w:tcW w:w="0" w:type="auto"/>
            <w:noWrap/>
            <w:vAlign w:val="center"/>
          </w:tcPr>
          <w:p w:rsidR="00100121" w:rsidRPr="00100121" w:rsidRDefault="00100121" w:rsidP="0010012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100121">
              <w:rPr>
                <w:rFonts w:eastAsia="Calibri" w:cs="Times New Roman"/>
                <w:sz w:val="16"/>
                <w:szCs w:val="16"/>
              </w:rPr>
              <w:t>21,4</w:t>
            </w:r>
          </w:p>
        </w:tc>
        <w:tc>
          <w:tcPr>
            <w:tcW w:w="0" w:type="auto"/>
            <w:noWrap/>
            <w:vAlign w:val="center"/>
          </w:tcPr>
          <w:p w:rsidR="00100121" w:rsidRPr="00100121" w:rsidRDefault="00100121" w:rsidP="0010012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100121">
              <w:rPr>
                <w:rFonts w:eastAsia="Calibri" w:cs="Times New Roman"/>
                <w:sz w:val="16"/>
                <w:szCs w:val="16"/>
              </w:rPr>
              <w:t>64,3</w:t>
            </w:r>
          </w:p>
        </w:tc>
      </w:tr>
      <w:tr w:rsidR="00880290" w:rsidRPr="00100121" w:rsidTr="00880290">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80290" w:rsidRPr="00100121" w:rsidRDefault="00880290" w:rsidP="00100121">
            <w:pPr>
              <w:spacing w:before="120" w:after="120" w:line="312" w:lineRule="auto"/>
              <w:jc w:val="both"/>
              <w:rPr>
                <w:rFonts w:eastAsia="Calibri" w:cs="Calibri"/>
                <w:sz w:val="16"/>
                <w:szCs w:val="16"/>
              </w:rPr>
            </w:pPr>
            <w:r w:rsidRPr="00100121">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880290" w:rsidRPr="00880290" w:rsidRDefault="00880290" w:rsidP="00880290">
            <w:pPr>
              <w:jc w:val="center"/>
              <w:cnfStyle w:val="000000000000" w:firstRow="0" w:lastRow="0" w:firstColumn="0" w:lastColumn="0" w:oddVBand="0" w:evenVBand="0" w:oddHBand="0" w:evenHBand="0" w:firstRowFirstColumn="0" w:firstRowLastColumn="0" w:lastRowFirstColumn="0" w:lastRowLastColumn="0"/>
              <w:rPr>
                <w:sz w:val="16"/>
              </w:rPr>
            </w:pPr>
            <w:r w:rsidRPr="00880290">
              <w:rPr>
                <w:sz w:val="16"/>
              </w:rPr>
              <w:t>23,1</w:t>
            </w:r>
          </w:p>
        </w:tc>
        <w:tc>
          <w:tcPr>
            <w:tcW w:w="0" w:type="auto"/>
            <w:noWrap/>
            <w:vAlign w:val="center"/>
          </w:tcPr>
          <w:p w:rsidR="00880290" w:rsidRPr="00880290" w:rsidRDefault="00880290" w:rsidP="00880290">
            <w:pPr>
              <w:jc w:val="center"/>
              <w:cnfStyle w:val="000000000000" w:firstRow="0" w:lastRow="0" w:firstColumn="0" w:lastColumn="0" w:oddVBand="0" w:evenVBand="0" w:oddHBand="0" w:evenHBand="0" w:firstRowFirstColumn="0" w:firstRowLastColumn="0" w:lastRowFirstColumn="0" w:lastRowLastColumn="0"/>
              <w:rPr>
                <w:sz w:val="16"/>
              </w:rPr>
            </w:pPr>
            <w:r w:rsidRPr="00880290">
              <w:rPr>
                <w:sz w:val="16"/>
              </w:rPr>
              <w:t>7,7</w:t>
            </w:r>
          </w:p>
        </w:tc>
        <w:tc>
          <w:tcPr>
            <w:tcW w:w="0" w:type="auto"/>
            <w:noWrap/>
            <w:vAlign w:val="center"/>
          </w:tcPr>
          <w:p w:rsidR="00880290" w:rsidRPr="00880290" w:rsidRDefault="00880290" w:rsidP="00880290">
            <w:pPr>
              <w:jc w:val="center"/>
              <w:cnfStyle w:val="000000000000" w:firstRow="0" w:lastRow="0" w:firstColumn="0" w:lastColumn="0" w:oddVBand="0" w:evenVBand="0" w:oddHBand="0" w:evenHBand="0" w:firstRowFirstColumn="0" w:firstRowLastColumn="0" w:lastRowFirstColumn="0" w:lastRowLastColumn="0"/>
              <w:rPr>
                <w:sz w:val="16"/>
              </w:rPr>
            </w:pPr>
            <w:r w:rsidRPr="00880290">
              <w:rPr>
                <w:sz w:val="16"/>
              </w:rPr>
              <w:t>23,1</w:t>
            </w:r>
          </w:p>
        </w:tc>
        <w:tc>
          <w:tcPr>
            <w:tcW w:w="0" w:type="auto"/>
            <w:noWrap/>
            <w:vAlign w:val="center"/>
          </w:tcPr>
          <w:p w:rsidR="00880290" w:rsidRPr="00880290" w:rsidRDefault="00880290" w:rsidP="00880290">
            <w:pPr>
              <w:jc w:val="center"/>
              <w:cnfStyle w:val="000000000000" w:firstRow="0" w:lastRow="0" w:firstColumn="0" w:lastColumn="0" w:oddVBand="0" w:evenVBand="0" w:oddHBand="0" w:evenHBand="0" w:firstRowFirstColumn="0" w:firstRowLastColumn="0" w:lastRowFirstColumn="0" w:lastRowLastColumn="0"/>
              <w:rPr>
                <w:sz w:val="16"/>
              </w:rPr>
            </w:pPr>
            <w:r w:rsidRPr="00880290">
              <w:rPr>
                <w:sz w:val="16"/>
              </w:rPr>
              <w:t>7,7</w:t>
            </w:r>
          </w:p>
        </w:tc>
        <w:tc>
          <w:tcPr>
            <w:tcW w:w="0" w:type="auto"/>
            <w:noWrap/>
            <w:vAlign w:val="center"/>
          </w:tcPr>
          <w:p w:rsidR="00880290" w:rsidRPr="00880290" w:rsidRDefault="00880290" w:rsidP="00880290">
            <w:pPr>
              <w:jc w:val="center"/>
              <w:cnfStyle w:val="000000000000" w:firstRow="0" w:lastRow="0" w:firstColumn="0" w:lastColumn="0" w:oddVBand="0" w:evenVBand="0" w:oddHBand="0" w:evenHBand="0" w:firstRowFirstColumn="0" w:firstRowLastColumn="0" w:lastRowFirstColumn="0" w:lastRowLastColumn="0"/>
              <w:rPr>
                <w:sz w:val="16"/>
              </w:rPr>
            </w:pPr>
            <w:r w:rsidRPr="00880290">
              <w:rPr>
                <w:sz w:val="16"/>
              </w:rPr>
              <w:t>23,1</w:t>
            </w:r>
          </w:p>
        </w:tc>
        <w:tc>
          <w:tcPr>
            <w:tcW w:w="0" w:type="auto"/>
            <w:noWrap/>
            <w:vAlign w:val="center"/>
          </w:tcPr>
          <w:p w:rsidR="00880290" w:rsidRPr="00880290" w:rsidRDefault="00880290" w:rsidP="00880290">
            <w:pPr>
              <w:jc w:val="center"/>
              <w:cnfStyle w:val="000000000000" w:firstRow="0" w:lastRow="0" w:firstColumn="0" w:lastColumn="0" w:oddVBand="0" w:evenVBand="0" w:oddHBand="0" w:evenHBand="0" w:firstRowFirstColumn="0" w:firstRowLastColumn="0" w:lastRowFirstColumn="0" w:lastRowLastColumn="0"/>
              <w:rPr>
                <w:sz w:val="16"/>
              </w:rPr>
            </w:pPr>
            <w:r w:rsidRPr="00880290">
              <w:rPr>
                <w:sz w:val="16"/>
              </w:rPr>
              <w:t>23,1</w:t>
            </w:r>
          </w:p>
        </w:tc>
        <w:tc>
          <w:tcPr>
            <w:tcW w:w="0" w:type="auto"/>
            <w:noWrap/>
            <w:vAlign w:val="center"/>
          </w:tcPr>
          <w:p w:rsidR="00880290" w:rsidRPr="00880290" w:rsidRDefault="00880290" w:rsidP="00880290">
            <w:pPr>
              <w:jc w:val="center"/>
              <w:cnfStyle w:val="000000000000" w:firstRow="0" w:lastRow="0" w:firstColumn="0" w:lastColumn="0" w:oddVBand="0" w:evenVBand="0" w:oddHBand="0" w:evenHBand="0" w:firstRowFirstColumn="0" w:firstRowLastColumn="0" w:lastRowFirstColumn="0" w:lastRowLastColumn="0"/>
              <w:rPr>
                <w:sz w:val="16"/>
              </w:rPr>
            </w:pPr>
            <w:r w:rsidRPr="00880290">
              <w:rPr>
                <w:sz w:val="16"/>
              </w:rPr>
              <w:t>15,4</w:t>
            </w:r>
          </w:p>
        </w:tc>
        <w:tc>
          <w:tcPr>
            <w:tcW w:w="0" w:type="auto"/>
            <w:noWrap/>
            <w:vAlign w:val="center"/>
          </w:tcPr>
          <w:p w:rsidR="00880290" w:rsidRPr="00880290" w:rsidRDefault="00880290" w:rsidP="00880290">
            <w:pPr>
              <w:jc w:val="center"/>
              <w:cnfStyle w:val="000000000000" w:firstRow="0" w:lastRow="0" w:firstColumn="0" w:lastColumn="0" w:oddVBand="0" w:evenVBand="0" w:oddHBand="0" w:evenHBand="0" w:firstRowFirstColumn="0" w:firstRowLastColumn="0" w:lastRowFirstColumn="0" w:lastRowLastColumn="0"/>
              <w:rPr>
                <w:sz w:val="16"/>
              </w:rPr>
            </w:pPr>
            <w:r w:rsidRPr="00880290">
              <w:rPr>
                <w:sz w:val="16"/>
              </w:rPr>
              <w:t>17,6</w:t>
            </w:r>
          </w:p>
        </w:tc>
      </w:tr>
      <w:tr w:rsidR="00880290" w:rsidRPr="00100121" w:rsidTr="0088029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80290" w:rsidRPr="00100121" w:rsidRDefault="00880290" w:rsidP="00100121">
            <w:pPr>
              <w:spacing w:before="120" w:after="120" w:line="312" w:lineRule="auto"/>
              <w:jc w:val="both"/>
              <w:rPr>
                <w:rFonts w:eastAsia="Calibri" w:cs="Calibri"/>
                <w:i/>
                <w:sz w:val="16"/>
                <w:szCs w:val="16"/>
              </w:rPr>
            </w:pPr>
            <w:r w:rsidRPr="00100121">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880290" w:rsidRPr="00880290" w:rsidRDefault="00880290" w:rsidP="00880290">
            <w:pPr>
              <w:jc w:val="center"/>
              <w:cnfStyle w:val="000000100000" w:firstRow="0" w:lastRow="0" w:firstColumn="0" w:lastColumn="0" w:oddVBand="0" w:evenVBand="0" w:oddHBand="1" w:evenHBand="0" w:firstRowFirstColumn="0" w:firstRowLastColumn="0" w:lastRowFirstColumn="0" w:lastRowLastColumn="0"/>
              <w:rPr>
                <w:b/>
                <w:i/>
                <w:sz w:val="16"/>
              </w:rPr>
            </w:pPr>
            <w:r w:rsidRPr="00880290">
              <w:rPr>
                <w:b/>
                <w:i/>
                <w:sz w:val="16"/>
              </w:rPr>
              <w:t>42,1</w:t>
            </w:r>
          </w:p>
        </w:tc>
        <w:tc>
          <w:tcPr>
            <w:tcW w:w="0" w:type="auto"/>
            <w:noWrap/>
            <w:vAlign w:val="center"/>
          </w:tcPr>
          <w:p w:rsidR="00880290" w:rsidRPr="00880290" w:rsidRDefault="00880290" w:rsidP="00880290">
            <w:pPr>
              <w:jc w:val="center"/>
              <w:cnfStyle w:val="000000100000" w:firstRow="0" w:lastRow="0" w:firstColumn="0" w:lastColumn="0" w:oddVBand="0" w:evenVBand="0" w:oddHBand="1" w:evenHBand="0" w:firstRowFirstColumn="0" w:firstRowLastColumn="0" w:lastRowFirstColumn="0" w:lastRowLastColumn="0"/>
              <w:rPr>
                <w:b/>
                <w:i/>
                <w:sz w:val="16"/>
              </w:rPr>
            </w:pPr>
            <w:r w:rsidRPr="00880290">
              <w:rPr>
                <w:b/>
                <w:i/>
                <w:sz w:val="16"/>
              </w:rPr>
              <w:t>31,6</w:t>
            </w:r>
          </w:p>
        </w:tc>
        <w:tc>
          <w:tcPr>
            <w:tcW w:w="0" w:type="auto"/>
            <w:noWrap/>
            <w:vAlign w:val="center"/>
          </w:tcPr>
          <w:p w:rsidR="00880290" w:rsidRPr="00880290" w:rsidRDefault="00880290" w:rsidP="00880290">
            <w:pPr>
              <w:jc w:val="center"/>
              <w:cnfStyle w:val="000000100000" w:firstRow="0" w:lastRow="0" w:firstColumn="0" w:lastColumn="0" w:oddVBand="0" w:evenVBand="0" w:oddHBand="1" w:evenHBand="0" w:firstRowFirstColumn="0" w:firstRowLastColumn="0" w:lastRowFirstColumn="0" w:lastRowLastColumn="0"/>
              <w:rPr>
                <w:b/>
                <w:i/>
                <w:sz w:val="16"/>
              </w:rPr>
            </w:pPr>
            <w:r w:rsidRPr="00880290">
              <w:rPr>
                <w:b/>
                <w:i/>
                <w:sz w:val="16"/>
              </w:rPr>
              <w:t>42,1</w:t>
            </w:r>
          </w:p>
        </w:tc>
        <w:tc>
          <w:tcPr>
            <w:tcW w:w="0" w:type="auto"/>
            <w:noWrap/>
            <w:vAlign w:val="center"/>
          </w:tcPr>
          <w:p w:rsidR="00880290" w:rsidRPr="00880290" w:rsidRDefault="00880290" w:rsidP="00880290">
            <w:pPr>
              <w:jc w:val="center"/>
              <w:cnfStyle w:val="000000100000" w:firstRow="0" w:lastRow="0" w:firstColumn="0" w:lastColumn="0" w:oddVBand="0" w:evenVBand="0" w:oddHBand="1" w:evenHBand="0" w:firstRowFirstColumn="0" w:firstRowLastColumn="0" w:lastRowFirstColumn="0" w:lastRowLastColumn="0"/>
              <w:rPr>
                <w:b/>
                <w:i/>
                <w:sz w:val="16"/>
              </w:rPr>
            </w:pPr>
            <w:r w:rsidRPr="00880290">
              <w:rPr>
                <w:b/>
                <w:i/>
                <w:sz w:val="16"/>
              </w:rPr>
              <w:t>31,6</w:t>
            </w:r>
          </w:p>
        </w:tc>
        <w:tc>
          <w:tcPr>
            <w:tcW w:w="0" w:type="auto"/>
            <w:noWrap/>
            <w:vAlign w:val="center"/>
          </w:tcPr>
          <w:p w:rsidR="00880290" w:rsidRPr="00880290" w:rsidRDefault="00880290" w:rsidP="00880290">
            <w:pPr>
              <w:jc w:val="center"/>
              <w:cnfStyle w:val="000000100000" w:firstRow="0" w:lastRow="0" w:firstColumn="0" w:lastColumn="0" w:oddVBand="0" w:evenVBand="0" w:oddHBand="1" w:evenHBand="0" w:firstRowFirstColumn="0" w:firstRowLastColumn="0" w:lastRowFirstColumn="0" w:lastRowLastColumn="0"/>
              <w:rPr>
                <w:b/>
                <w:i/>
                <w:sz w:val="16"/>
              </w:rPr>
            </w:pPr>
            <w:r w:rsidRPr="00880290">
              <w:rPr>
                <w:b/>
                <w:i/>
                <w:sz w:val="16"/>
              </w:rPr>
              <w:t>42,1</w:t>
            </w:r>
          </w:p>
        </w:tc>
        <w:tc>
          <w:tcPr>
            <w:tcW w:w="0" w:type="auto"/>
            <w:noWrap/>
            <w:vAlign w:val="center"/>
          </w:tcPr>
          <w:p w:rsidR="00880290" w:rsidRPr="00880290" w:rsidRDefault="00880290" w:rsidP="00880290">
            <w:pPr>
              <w:jc w:val="center"/>
              <w:cnfStyle w:val="000000100000" w:firstRow="0" w:lastRow="0" w:firstColumn="0" w:lastColumn="0" w:oddVBand="0" w:evenVBand="0" w:oddHBand="1" w:evenHBand="0" w:firstRowFirstColumn="0" w:firstRowLastColumn="0" w:lastRowFirstColumn="0" w:lastRowLastColumn="0"/>
              <w:rPr>
                <w:b/>
                <w:i/>
                <w:sz w:val="16"/>
              </w:rPr>
            </w:pPr>
            <w:r w:rsidRPr="00880290">
              <w:rPr>
                <w:b/>
                <w:i/>
                <w:sz w:val="16"/>
              </w:rPr>
              <w:t>42,1</w:t>
            </w:r>
          </w:p>
        </w:tc>
        <w:tc>
          <w:tcPr>
            <w:tcW w:w="0" w:type="auto"/>
            <w:noWrap/>
            <w:vAlign w:val="center"/>
          </w:tcPr>
          <w:p w:rsidR="00880290" w:rsidRPr="00880290" w:rsidRDefault="00880290" w:rsidP="00880290">
            <w:pPr>
              <w:jc w:val="center"/>
              <w:cnfStyle w:val="000000100000" w:firstRow="0" w:lastRow="0" w:firstColumn="0" w:lastColumn="0" w:oddVBand="0" w:evenVBand="0" w:oddHBand="1" w:evenHBand="0" w:firstRowFirstColumn="0" w:firstRowLastColumn="0" w:lastRowFirstColumn="0" w:lastRowLastColumn="0"/>
              <w:rPr>
                <w:b/>
                <w:i/>
                <w:sz w:val="16"/>
              </w:rPr>
            </w:pPr>
            <w:r w:rsidRPr="00880290">
              <w:rPr>
                <w:b/>
                <w:i/>
                <w:sz w:val="16"/>
              </w:rPr>
              <w:t>18,4</w:t>
            </w:r>
          </w:p>
        </w:tc>
        <w:tc>
          <w:tcPr>
            <w:tcW w:w="0" w:type="auto"/>
            <w:noWrap/>
            <w:vAlign w:val="center"/>
          </w:tcPr>
          <w:p w:rsidR="00880290" w:rsidRPr="00880290" w:rsidRDefault="00880290" w:rsidP="00880290">
            <w:pPr>
              <w:jc w:val="center"/>
              <w:cnfStyle w:val="000000100000" w:firstRow="0" w:lastRow="0" w:firstColumn="0" w:lastColumn="0" w:oddVBand="0" w:evenVBand="0" w:oddHBand="1" w:evenHBand="0" w:firstRowFirstColumn="0" w:firstRowLastColumn="0" w:lastRowFirstColumn="0" w:lastRowLastColumn="0"/>
              <w:rPr>
                <w:b/>
                <w:i/>
                <w:sz w:val="16"/>
              </w:rPr>
            </w:pPr>
            <w:r w:rsidRPr="00880290">
              <w:rPr>
                <w:b/>
                <w:i/>
                <w:sz w:val="16"/>
              </w:rPr>
              <w:t>35,7</w:t>
            </w:r>
          </w:p>
        </w:tc>
      </w:tr>
    </w:tbl>
    <w:p w:rsidR="00100121" w:rsidRDefault="00100121" w:rsidP="00F05E2C">
      <w:pPr>
        <w:pStyle w:val="Cuerpodelboletn"/>
        <w:rPr>
          <w:lang w:bidi="es-ES"/>
        </w:rPr>
      </w:pPr>
    </w:p>
    <w:p w:rsidR="00A670E9" w:rsidRDefault="004061BC" w:rsidP="00F05E2C">
      <w:pPr>
        <w:pStyle w:val="Cuerpodelboletn"/>
      </w:pPr>
      <w:r>
        <w:rPr>
          <w:lang w:bidi="es-ES"/>
        </w:rPr>
        <w:t xml:space="preserve">El Índice de Cumplimiento de la Información Obligatoria (ICIO) se sitúa en el </w:t>
      </w:r>
      <w:r w:rsidR="00880290">
        <w:rPr>
          <w:lang w:bidi="es-ES"/>
        </w:rPr>
        <w:t>35,7</w:t>
      </w:r>
      <w:r>
        <w:rPr>
          <w:lang w:bidi="es-ES"/>
        </w:rPr>
        <w:t>%.</w:t>
      </w:r>
      <w:r w:rsidR="00BB3652">
        <w:rPr>
          <w:lang w:bidi="es-ES"/>
        </w:rPr>
        <w:t xml:space="preserve"> Respecto de 202</w:t>
      </w:r>
      <w:r w:rsidR="004413FC">
        <w:rPr>
          <w:lang w:bidi="es-ES"/>
        </w:rPr>
        <w:t>2</w:t>
      </w:r>
      <w:r w:rsidR="00BB3652">
        <w:rPr>
          <w:lang w:bidi="es-ES"/>
        </w:rPr>
        <w:t xml:space="preserve"> </w:t>
      </w:r>
      <w:r w:rsidR="00880290">
        <w:rPr>
          <w:lang w:bidi="es-ES"/>
        </w:rPr>
        <w:t>se ha incrementado en 9,5 puntos porcentuales, como</w:t>
      </w:r>
      <w:r w:rsidR="00035DFF">
        <w:rPr>
          <w:lang w:bidi="es-ES"/>
        </w:rPr>
        <w:t xml:space="preserve"> </w:t>
      </w:r>
      <w:r w:rsidR="00880290">
        <w:rPr>
          <w:lang w:bidi="es-ES"/>
        </w:rPr>
        <w:t xml:space="preserve">consecuencia de la aplicación </w:t>
      </w:r>
      <w:r w:rsidR="00035DFF">
        <w:rPr>
          <w:lang w:bidi="es-ES"/>
        </w:rPr>
        <w:t xml:space="preserve"> </w:t>
      </w:r>
      <w:r w:rsidR="00880290">
        <w:rPr>
          <w:lang w:bidi="es-ES"/>
        </w:rPr>
        <w:t>de</w:t>
      </w:r>
      <w:r w:rsidR="00035DFF">
        <w:rPr>
          <w:lang w:bidi="es-ES"/>
        </w:rPr>
        <w:t xml:space="preserve"> </w:t>
      </w:r>
      <w:r w:rsidR="00880290">
        <w:rPr>
          <w:lang w:bidi="es-ES"/>
        </w:rPr>
        <w:t>tres</w:t>
      </w:r>
      <w:r w:rsidR="00035DFF">
        <w:rPr>
          <w:lang w:bidi="es-ES"/>
        </w:rPr>
        <w:t xml:space="preserve"> </w:t>
      </w:r>
      <w:r w:rsidR="0076567C">
        <w:rPr>
          <w:lang w:bidi="es-ES"/>
        </w:rPr>
        <w:t xml:space="preserve">de </w:t>
      </w:r>
      <w:r w:rsidR="009E1DDF">
        <w:rPr>
          <w:lang w:bidi="es-ES"/>
        </w:rPr>
        <w:t>l</w:t>
      </w:r>
      <w:r w:rsidR="0076567C">
        <w:rPr>
          <w:lang w:bidi="es-ES"/>
        </w:rPr>
        <w:t>as re</w:t>
      </w:r>
      <w:r w:rsidR="004413FC">
        <w:rPr>
          <w:lang w:bidi="es-ES"/>
        </w:rPr>
        <w:t>comendaciones efectuadas en 2022</w:t>
      </w:r>
      <w:r w:rsidR="00035DFF">
        <w:rPr>
          <w:lang w:bidi="es-ES"/>
        </w:rPr>
        <w:t>.</w:t>
      </w:r>
      <w:r w:rsidR="0076567C">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413FC" w:rsidRDefault="00880290" w:rsidP="004413FC">
      <w:pPr>
        <w:pStyle w:val="Cuerpodelboletn"/>
      </w:pPr>
      <w:r>
        <w:t>Aunque el Índice de cumplimiento de la Información Obli</w:t>
      </w:r>
      <w:r w:rsidR="00F92562">
        <w:t>gatoria mejora respecto de 2022</w:t>
      </w:r>
      <w:r>
        <w:t>, e</w:t>
      </w:r>
      <w:r w:rsidR="004413FC">
        <w:t xml:space="preserve">ste CTBG no puede menos que </w:t>
      </w:r>
      <w:r w:rsidR="004413FC" w:rsidRPr="00BB3652">
        <w:rPr>
          <w:b/>
        </w:rPr>
        <w:t>valorar negativamente</w:t>
      </w:r>
      <w:r w:rsidR="004413FC">
        <w:t xml:space="preserve"> </w:t>
      </w:r>
      <w:r>
        <w:t xml:space="preserve">el </w:t>
      </w:r>
      <w:r w:rsidR="004413FC">
        <w:t xml:space="preserve">cumplimiento de las obligaciones de publicidad activa por parte de </w:t>
      </w:r>
      <w:r>
        <w:t>la Fundación Teatro Real</w:t>
      </w:r>
      <w:r w:rsidR="00035DFF">
        <w:t>.</w:t>
      </w:r>
      <w:r w:rsidR="004413FC">
        <w:t xml:space="preserve"> </w:t>
      </w:r>
      <w:r w:rsidR="00035DFF">
        <w:t>Sólo</w:t>
      </w:r>
      <w:r w:rsidR="009E1DDF">
        <w:t xml:space="preserve"> se ha aplicado </w:t>
      </w:r>
      <w:r>
        <w:t>el 13,6%</w:t>
      </w:r>
      <w:r w:rsidR="004413FC">
        <w:t xml:space="preserve"> de las recomendaciones derivadas de la evaluación realizada en 202</w:t>
      </w:r>
      <w:r w:rsidR="00117FA9">
        <w:t>2</w:t>
      </w:r>
      <w:r>
        <w:t xml:space="preserve"> y, c</w:t>
      </w:r>
      <w:r w:rsidR="004413FC">
        <w:t>omo consecuencia de esto</w:t>
      </w:r>
      <w:r>
        <w:t>,</w:t>
      </w:r>
      <w:r w:rsidR="004413FC">
        <w:t xml:space="preserve"> persisten</w:t>
      </w:r>
      <w:r>
        <w:t xml:space="preserve"> la mayoría de</w:t>
      </w:r>
      <w:r w:rsidR="004413FC">
        <w:t xml:space="preserve"> los déficits evidenciados en dicha evaluación: </w:t>
      </w:r>
    </w:p>
    <w:p w:rsidR="004413FC" w:rsidRDefault="004413FC" w:rsidP="004413F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555E9F7A" wp14:editId="2A18EC0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E3C77" w:rsidRPr="00F31BC3" w:rsidRDefault="004E3C77"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4E3C77" w:rsidRPr="00F31BC3" w:rsidRDefault="004E3C77"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19249BAC" wp14:editId="2C74CD0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880290" w:rsidRDefault="00880290" w:rsidP="004D1FFB">
      <w:pPr>
        <w:pStyle w:val="Sinespaciado"/>
        <w:numPr>
          <w:ilvl w:val="0"/>
          <w:numId w:val="18"/>
        </w:numPr>
        <w:spacing w:line="276" w:lineRule="auto"/>
        <w:jc w:val="both"/>
        <w:rPr>
          <w:rFonts w:ascii="Century Gothic" w:hAnsi="Century Gothic"/>
        </w:rPr>
      </w:pPr>
      <w:r>
        <w:rPr>
          <w:rFonts w:ascii="Century Gothic" w:hAnsi="Century Gothic"/>
        </w:rPr>
        <w:t>El acceso al Portal de Transparencia</w:t>
      </w:r>
      <w:r w:rsidR="004D1FFB">
        <w:rPr>
          <w:rFonts w:ascii="Century Gothic" w:hAnsi="Century Gothic"/>
        </w:rPr>
        <w:t xml:space="preserve"> sigue</w:t>
      </w:r>
      <w:r w:rsidR="004D1FFB" w:rsidRPr="004D1FFB">
        <w:rPr>
          <w:rFonts w:ascii="Century Gothic" w:hAnsi="Century Gothic"/>
        </w:rPr>
        <w:t xml:space="preserve"> </w:t>
      </w:r>
      <w:r w:rsidR="004D1FFB">
        <w:rPr>
          <w:rFonts w:ascii="Century Gothic" w:hAnsi="Century Gothic"/>
        </w:rPr>
        <w:t>ubicándose</w:t>
      </w:r>
      <w:r w:rsidR="004D1FFB" w:rsidRPr="004D1FFB">
        <w:rPr>
          <w:rFonts w:ascii="Century Gothic" w:hAnsi="Century Gothic"/>
        </w:rPr>
        <w:t xml:space="preserve"> en un apartado muy poco visible de su web institucional</w:t>
      </w:r>
      <w:r w:rsidR="004D1FFB">
        <w:rPr>
          <w:rFonts w:ascii="Century Gothic" w:hAnsi="Century Gothic"/>
        </w:rPr>
        <w:t>, lo que no facilita su localización</w:t>
      </w:r>
    </w:p>
    <w:p w:rsidR="00035DFF" w:rsidRDefault="004D1FFB" w:rsidP="00035DFF">
      <w:pPr>
        <w:pStyle w:val="Sinespaciado"/>
        <w:numPr>
          <w:ilvl w:val="0"/>
          <w:numId w:val="18"/>
        </w:numPr>
        <w:spacing w:line="276" w:lineRule="auto"/>
        <w:jc w:val="both"/>
        <w:rPr>
          <w:rFonts w:ascii="Century Gothic" w:hAnsi="Century Gothic"/>
        </w:rPr>
      </w:pPr>
      <w:r>
        <w:rPr>
          <w:rFonts w:ascii="Century Gothic" w:hAnsi="Century Gothic"/>
        </w:rPr>
        <w:t>S</w:t>
      </w:r>
      <w:r w:rsidRPr="004D1FFB">
        <w:rPr>
          <w:rFonts w:ascii="Century Gothic" w:hAnsi="Century Gothic"/>
        </w:rPr>
        <w:t xml:space="preserve">igue sin </w:t>
      </w:r>
      <w:r>
        <w:rPr>
          <w:rFonts w:ascii="Century Gothic" w:hAnsi="Century Gothic"/>
        </w:rPr>
        <w:t>o</w:t>
      </w:r>
      <w:r w:rsidR="00035DFF" w:rsidRPr="004D1FFB">
        <w:rPr>
          <w:rFonts w:ascii="Century Gothic" w:hAnsi="Century Gothic"/>
        </w:rPr>
        <w:t>rganizarse la información conforme al patrón de bloques que establece la LTAIBG: Información Institucional, Organizativa y de Planificación</w:t>
      </w:r>
      <w:r>
        <w:rPr>
          <w:rFonts w:ascii="Century Gothic" w:hAnsi="Century Gothic"/>
        </w:rPr>
        <w:t xml:space="preserve"> e</w:t>
      </w:r>
      <w:r w:rsidR="00035DFF" w:rsidRPr="004D1FFB">
        <w:rPr>
          <w:rFonts w:ascii="Century Gothic" w:hAnsi="Century Gothic"/>
        </w:rPr>
        <w:t xml:space="preserve"> Información Económic</w:t>
      </w:r>
      <w:r>
        <w:rPr>
          <w:rFonts w:ascii="Century Gothic" w:hAnsi="Century Gothic"/>
        </w:rPr>
        <w:t>a, Presupuestaria y Estadística.</w:t>
      </w:r>
    </w:p>
    <w:p w:rsidR="004D1FFB" w:rsidRPr="004D1FFB" w:rsidRDefault="004D1FFB" w:rsidP="00035DFF">
      <w:pPr>
        <w:pStyle w:val="Sinespaciado"/>
        <w:numPr>
          <w:ilvl w:val="0"/>
          <w:numId w:val="18"/>
        </w:numPr>
        <w:spacing w:line="276" w:lineRule="auto"/>
        <w:jc w:val="both"/>
        <w:rPr>
          <w:rFonts w:ascii="Century Gothic" w:hAnsi="Century Gothic"/>
        </w:rPr>
      </w:pPr>
      <w:r>
        <w:rPr>
          <w:rFonts w:ascii="Century Gothic" w:hAnsi="Century Gothic"/>
        </w:rPr>
        <w:t>También sigue localizándose información obligatoria fuera del Portal de Transparencia</w:t>
      </w: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4413FC" w:rsidRDefault="004413FC" w:rsidP="004413FC">
      <w:pPr>
        <w:pStyle w:val="Prrafodelista"/>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035DFF" w:rsidRPr="00035DFF" w:rsidRDefault="00035DFF" w:rsidP="00035DFF">
      <w:pPr>
        <w:pStyle w:val="Prrafodelista"/>
        <w:numPr>
          <w:ilvl w:val="1"/>
          <w:numId w:val="20"/>
        </w:numPr>
        <w:rPr>
          <w:szCs w:val="22"/>
        </w:rPr>
      </w:pPr>
      <w:r>
        <w:t xml:space="preserve">El organigrama, entendido como la representación gráfica </w:t>
      </w:r>
      <w:r w:rsidRPr="00035DFF">
        <w:rPr>
          <w:szCs w:val="22"/>
        </w:rPr>
        <w:t>de la estructura de la entidad y de las relaciones entre los diversos niveles de dicha estructura.</w:t>
      </w:r>
    </w:p>
    <w:p w:rsidR="004413FC" w:rsidRPr="00035DFF" w:rsidRDefault="004D1FFB" w:rsidP="00035DFF">
      <w:pPr>
        <w:pStyle w:val="Prrafodelista"/>
        <w:numPr>
          <w:ilvl w:val="1"/>
          <w:numId w:val="20"/>
        </w:numPr>
        <w:spacing w:line="276" w:lineRule="auto"/>
        <w:ind w:left="2127"/>
        <w:jc w:val="both"/>
      </w:pPr>
      <w:r>
        <w:rPr>
          <w:szCs w:val="22"/>
        </w:rPr>
        <w:t>El Registro de Actividades de Tratamiento</w:t>
      </w:r>
    </w:p>
    <w:p w:rsidR="004413FC" w:rsidRDefault="004413FC" w:rsidP="004413FC">
      <w:pPr>
        <w:pStyle w:val="Sinespaciado"/>
        <w:spacing w:line="276" w:lineRule="auto"/>
        <w:ind w:left="2160"/>
        <w:jc w:val="both"/>
        <w:rPr>
          <w:rFonts w:ascii="Century Gothic" w:hAnsi="Century Gothic"/>
        </w:rPr>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lastRenderedPageBreak/>
        <w:t>En el bloque de información económica: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numPr>
          <w:ilvl w:val="1"/>
          <w:numId w:val="20"/>
        </w:numPr>
        <w:spacing w:line="276" w:lineRule="auto"/>
        <w:jc w:val="both"/>
        <w:rPr>
          <w:rFonts w:ascii="Century Gothic" w:hAnsi="Century Gothic"/>
        </w:rPr>
      </w:pPr>
      <w:r>
        <w:rPr>
          <w:rFonts w:ascii="Century Gothic" w:hAnsi="Century Gothic"/>
        </w:rPr>
        <w:t>Las modificaciones de contratos.</w:t>
      </w:r>
    </w:p>
    <w:p w:rsidR="004413FC" w:rsidRDefault="00035DFF"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Pr>
          <w:rFonts w:ascii="Century Gothic" w:hAnsi="Century Gothic"/>
        </w:rPr>
        <w:t>a información estadística sobre contratación</w:t>
      </w:r>
      <w:r w:rsidR="00E15EC7">
        <w:rPr>
          <w:rFonts w:ascii="Century Gothic" w:hAnsi="Century Gothic"/>
        </w:rPr>
        <w:t xml:space="preserve"> </w:t>
      </w:r>
    </w:p>
    <w:p w:rsidR="004D1FFB" w:rsidRDefault="00E15EC7" w:rsidP="004413FC">
      <w:pPr>
        <w:pStyle w:val="Sinespaciado"/>
        <w:numPr>
          <w:ilvl w:val="1"/>
          <w:numId w:val="20"/>
        </w:numPr>
        <w:spacing w:line="276" w:lineRule="auto"/>
        <w:jc w:val="both"/>
        <w:rPr>
          <w:rFonts w:ascii="Century Gothic" w:hAnsi="Century Gothic"/>
        </w:rPr>
      </w:pPr>
      <w:r w:rsidRPr="004D1FFB">
        <w:rPr>
          <w:rFonts w:ascii="Century Gothic" w:hAnsi="Century Gothic"/>
        </w:rPr>
        <w:t>La información sobre convenios</w:t>
      </w:r>
      <w:r w:rsidR="00035DFF" w:rsidRPr="004D1FFB">
        <w:rPr>
          <w:rFonts w:ascii="Century Gothic" w:hAnsi="Century Gothic"/>
        </w:rPr>
        <w:t xml:space="preserve"> </w:t>
      </w:r>
    </w:p>
    <w:p w:rsidR="004413FC" w:rsidRDefault="00117FA9" w:rsidP="004413FC">
      <w:pPr>
        <w:pStyle w:val="Sinespaciado"/>
        <w:numPr>
          <w:ilvl w:val="1"/>
          <w:numId w:val="20"/>
        </w:numPr>
        <w:spacing w:line="276" w:lineRule="auto"/>
        <w:jc w:val="both"/>
        <w:rPr>
          <w:rFonts w:ascii="Century Gothic" w:hAnsi="Century Gothic"/>
        </w:rPr>
      </w:pPr>
      <w:r>
        <w:rPr>
          <w:rFonts w:ascii="Century Gothic" w:hAnsi="Century Gothic"/>
        </w:rPr>
        <w:t xml:space="preserve">La </w:t>
      </w:r>
      <w:r w:rsidR="00035DFF">
        <w:rPr>
          <w:rFonts w:ascii="Century Gothic" w:hAnsi="Century Gothic"/>
        </w:rPr>
        <w:t xml:space="preserve">información sobre subvenciones y ayudas públicas concedidas. </w:t>
      </w:r>
    </w:p>
    <w:p w:rsidR="004D1FFB" w:rsidRDefault="004D1FFB" w:rsidP="004413FC">
      <w:pPr>
        <w:pStyle w:val="Sinespaciado"/>
        <w:numPr>
          <w:ilvl w:val="1"/>
          <w:numId w:val="20"/>
        </w:numPr>
        <w:spacing w:line="276" w:lineRule="auto"/>
        <w:jc w:val="both"/>
        <w:rPr>
          <w:rFonts w:ascii="Century Gothic" w:hAnsi="Century Gothic"/>
        </w:rPr>
      </w:pPr>
      <w:r>
        <w:rPr>
          <w:rFonts w:ascii="Century Gothic" w:hAnsi="Century Gothic"/>
        </w:rPr>
        <w:t>Los presupuestos</w:t>
      </w:r>
    </w:p>
    <w:p w:rsidR="004D1FFB" w:rsidRDefault="004D1FFB" w:rsidP="004413FC">
      <w:pPr>
        <w:pStyle w:val="Sinespaciado"/>
        <w:numPr>
          <w:ilvl w:val="1"/>
          <w:numId w:val="20"/>
        </w:numPr>
        <w:spacing w:line="276" w:lineRule="auto"/>
        <w:jc w:val="both"/>
        <w:rPr>
          <w:rFonts w:ascii="Century Gothic" w:hAnsi="Century Gothic"/>
        </w:rPr>
      </w:pPr>
      <w:r>
        <w:rPr>
          <w:rFonts w:ascii="Century Gothic" w:hAnsi="Century Gothic"/>
        </w:rPr>
        <w:t>Las Cuentas Anuales</w:t>
      </w:r>
    </w:p>
    <w:p w:rsidR="004413FC" w:rsidRDefault="00E15EC7" w:rsidP="004413FC">
      <w:pPr>
        <w:pStyle w:val="Sinespaciado"/>
        <w:numPr>
          <w:ilvl w:val="1"/>
          <w:numId w:val="20"/>
        </w:numPr>
        <w:spacing w:line="276" w:lineRule="auto"/>
        <w:ind w:left="2127"/>
        <w:jc w:val="both"/>
        <w:rPr>
          <w:rFonts w:ascii="Century Gothic" w:hAnsi="Century Gothic"/>
        </w:rPr>
      </w:pPr>
      <w:r>
        <w:rPr>
          <w:rFonts w:ascii="Century Gothic" w:hAnsi="Century Gothic"/>
        </w:rPr>
        <w:t>No se publican l</w:t>
      </w:r>
      <w:r w:rsidR="004413FC" w:rsidRPr="00EE1B9B">
        <w:rPr>
          <w:rFonts w:ascii="Century Gothic" w:hAnsi="Century Gothic"/>
        </w:rPr>
        <w:t xml:space="preserve">os informes de auditoría y fiscalización elaborados por </w:t>
      </w:r>
      <w:r w:rsidR="004413FC">
        <w:rPr>
          <w:rFonts w:ascii="Century Gothic" w:hAnsi="Century Gothic"/>
        </w:rPr>
        <w:t>el Tribunal de Cuentas.</w:t>
      </w:r>
      <w:r w:rsidR="004413FC" w:rsidRPr="00EE1B9B">
        <w:rPr>
          <w:rFonts w:ascii="Century Gothic" w:hAnsi="Century Gothic"/>
        </w:rPr>
        <w:t xml:space="preserve"> </w:t>
      </w:r>
    </w:p>
    <w:p w:rsidR="004413FC" w:rsidRPr="00EE1B9B"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indemnizaciones percibidas por altos cargos y máximos responsables tras el abandono del cargo</w:t>
      </w:r>
    </w:p>
    <w:p w:rsidR="00E15EC7"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E15EC7">
        <w:rPr>
          <w:rFonts w:ascii="Century Gothic" w:hAnsi="Century Gothic"/>
        </w:rPr>
        <w:t xml:space="preserve">as autorizaciones de compatibilidad concedidas a empleados </w:t>
      </w:r>
    </w:p>
    <w:p w:rsidR="004413FC"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autorizaciones para el ejercicio de actividades privadas al ceso de altos Cargos.</w:t>
      </w:r>
    </w:p>
    <w:p w:rsidR="00117FA9" w:rsidRDefault="00117FA9" w:rsidP="00117FA9">
      <w:pPr>
        <w:pStyle w:val="Sinespaciado"/>
        <w:numPr>
          <w:ilvl w:val="1"/>
          <w:numId w:val="20"/>
        </w:numPr>
        <w:spacing w:line="276" w:lineRule="auto"/>
        <w:jc w:val="both"/>
        <w:rPr>
          <w:rFonts w:ascii="Century Gothic" w:hAnsi="Century Gothic"/>
        </w:rPr>
      </w:pPr>
      <w:r w:rsidRPr="00117FA9">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w:t>
      </w:r>
      <w:r w:rsidRPr="00117FA9">
        <w:rPr>
          <w:rFonts w:ascii="Century Gothic" w:hAnsi="Century Gothic"/>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117FA9">
        <w:rPr>
          <w:rFonts w:ascii="Century Gothic" w:hAnsi="Century Gothic"/>
        </w:rPr>
        <w:t>”.</w:t>
      </w:r>
    </w:p>
    <w:p w:rsidR="00117FA9" w:rsidRDefault="00117FA9" w:rsidP="00117FA9">
      <w:pPr>
        <w:pStyle w:val="Sinespaciado"/>
        <w:spacing w:line="276" w:lineRule="auto"/>
        <w:ind w:left="1800"/>
        <w:jc w:val="both"/>
        <w:rPr>
          <w:rFonts w:ascii="Century Gothic" w:hAnsi="Century Gothic"/>
        </w:rPr>
      </w:pPr>
    </w:p>
    <w:p w:rsidR="004413FC" w:rsidRDefault="004413FC" w:rsidP="004413FC">
      <w:pPr>
        <w:pStyle w:val="Sinespaciado"/>
        <w:spacing w:line="276" w:lineRule="auto"/>
        <w:ind w:left="144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117FA9" w:rsidRDefault="00117FA9" w:rsidP="00117FA9">
      <w:pPr>
        <w:pStyle w:val="Sinespaciado"/>
        <w:spacing w:line="276" w:lineRule="auto"/>
        <w:ind w:left="720"/>
        <w:jc w:val="both"/>
        <w:rPr>
          <w:rFonts w:ascii="Century Gothic" w:hAnsi="Century Gothic"/>
        </w:rPr>
      </w:pPr>
    </w:p>
    <w:p w:rsidR="004D1FFB" w:rsidRPr="004D1FFB" w:rsidRDefault="004D1FFB" w:rsidP="004D1FFB">
      <w:pPr>
        <w:pStyle w:val="Prrafodelista"/>
        <w:numPr>
          <w:ilvl w:val="1"/>
          <w:numId w:val="18"/>
        </w:numPr>
        <w:rPr>
          <w:szCs w:val="22"/>
        </w:rPr>
      </w:pPr>
      <w:r w:rsidRPr="004D1FFB">
        <w:rPr>
          <w:szCs w:val="22"/>
        </w:rPr>
        <w:t>Sigue sin publicarse la fecha de la última revisión o actualización de la información. Para ello bastaría con que esta fecha se publique en la página home del Portal de Transparencia</w:t>
      </w:r>
    </w:p>
    <w:p w:rsidR="004413FC" w:rsidRDefault="004413FC" w:rsidP="004413FC">
      <w:pPr>
        <w:pStyle w:val="Sinespaciado"/>
        <w:numPr>
          <w:ilvl w:val="1"/>
          <w:numId w:val="18"/>
        </w:numPr>
        <w:spacing w:line="276" w:lineRule="auto"/>
        <w:jc w:val="both"/>
        <w:rPr>
          <w:rFonts w:ascii="Century Gothic" w:hAnsi="Century Gothic"/>
        </w:rPr>
      </w:pPr>
      <w:r w:rsidRPr="00EE1B9B">
        <w:rPr>
          <w:rFonts w:ascii="Century Gothic" w:hAnsi="Century Gothic"/>
        </w:rPr>
        <w:t xml:space="preserve">La información debe publicarse en la web </w:t>
      </w:r>
      <w:r w:rsidR="00707ECD">
        <w:rPr>
          <w:rFonts w:ascii="Century Gothic" w:hAnsi="Century Gothic"/>
        </w:rPr>
        <w:t xml:space="preserve">de </w:t>
      </w:r>
      <w:r w:rsidR="004D1FFB">
        <w:rPr>
          <w:rFonts w:ascii="Century Gothic" w:hAnsi="Century Gothic"/>
        </w:rPr>
        <w:t>la Fundación Teatro Real</w:t>
      </w:r>
      <w:r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Pr>
          <w:rFonts w:ascii="Century Gothic" w:hAnsi="Century Gothic"/>
        </w:rPr>
        <w:t>s para localizar la información y además, en el Portal de Transparencia de la AGE no se publican todas las informaciones obligatorias aplicables a cada uno de los  organismos dependientes.</w:t>
      </w:r>
    </w:p>
    <w:p w:rsidR="004D1FFB" w:rsidRPr="004D1FFB" w:rsidRDefault="004D1FFB" w:rsidP="004D1FFB">
      <w:pPr>
        <w:pStyle w:val="Prrafodelista"/>
        <w:numPr>
          <w:ilvl w:val="1"/>
          <w:numId w:val="18"/>
        </w:numPr>
        <w:jc w:val="both"/>
        <w:rPr>
          <w:szCs w:val="22"/>
        </w:rPr>
      </w:pPr>
      <w:r w:rsidRPr="004D1FFB">
        <w:rPr>
          <w:szCs w:val="22"/>
        </w:rPr>
        <w:t xml:space="preserve">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w:t>
      </w:r>
      <w:r>
        <w:rPr>
          <w:szCs w:val="22"/>
        </w:rPr>
        <w:t>E</w:t>
      </w:r>
      <w:r w:rsidRPr="004D1FFB">
        <w:rPr>
          <w:szCs w:val="22"/>
        </w:rPr>
        <w:t xml:space="preserve">ste Consejo </w:t>
      </w:r>
      <w:r>
        <w:rPr>
          <w:szCs w:val="22"/>
        </w:rPr>
        <w:t xml:space="preserve">reitera la </w:t>
      </w:r>
      <w:r w:rsidRPr="004D1FFB">
        <w:rPr>
          <w:szCs w:val="22"/>
        </w:rPr>
        <w:t>recom</w:t>
      </w:r>
      <w:r>
        <w:rPr>
          <w:szCs w:val="22"/>
        </w:rPr>
        <w:t>endación de</w:t>
      </w:r>
      <w:r w:rsidRPr="004D1FFB">
        <w:rPr>
          <w:szCs w:val="22"/>
        </w:rPr>
        <w:t xml:space="preserve"> publicación de esta información obligatoria </w:t>
      </w:r>
      <w:r w:rsidRPr="004D1FFB">
        <w:rPr>
          <w:szCs w:val="22"/>
        </w:rPr>
        <w:lastRenderedPageBreak/>
        <w:t>de forma directa en la web mediante cuadros-resumen con los contenidos de información que establece la LTAIBG.</w:t>
      </w:r>
    </w:p>
    <w:p w:rsidR="00E15EC7" w:rsidRPr="00E15EC7" w:rsidRDefault="00E15EC7" w:rsidP="00E15EC7">
      <w:pPr>
        <w:pStyle w:val="Prrafodelista"/>
        <w:numPr>
          <w:ilvl w:val="1"/>
          <w:numId w:val="18"/>
        </w:numPr>
        <w:rPr>
          <w:szCs w:val="22"/>
        </w:rPr>
      </w:pPr>
      <w:r w:rsidRPr="00E15EC7">
        <w:rPr>
          <w:szCs w:val="22"/>
        </w:rPr>
        <w:t>Se reitera la recomendación de que en el caso de que no hubiera información que publicar, se señale expresamente esta circunstancia.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F92562" w:rsidP="00F92562">
      <w:pPr>
        <w:pStyle w:val="Sinespaciado"/>
        <w:spacing w:line="276" w:lineRule="auto"/>
        <w:ind w:left="4320" w:firstLine="720"/>
        <w:jc w:val="both"/>
        <w:rPr>
          <w:rFonts w:ascii="Century Gothic" w:hAnsi="Century Gothic"/>
        </w:rPr>
      </w:pPr>
      <w:r>
        <w:rPr>
          <w:rFonts w:ascii="Century Gothic" w:hAnsi="Century Gothic"/>
        </w:rPr>
        <w:t>1</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4413FC">
        <w:rPr>
          <w:rFonts w:ascii="Century Gothic" w:hAnsi="Century Gothic"/>
        </w:rPr>
        <w:t xml:space="preserve">Madrid, </w:t>
      </w:r>
      <w:r>
        <w:rPr>
          <w:rFonts w:ascii="Century Gothic" w:hAnsi="Century Gothic"/>
        </w:rPr>
        <w:t>mayo</w:t>
      </w:r>
      <w:bookmarkStart w:id="0" w:name="_GoBack"/>
      <w:bookmarkEnd w:id="0"/>
      <w:r w:rsidR="004413FC">
        <w:rPr>
          <w:rFonts w:ascii="Century Gothic" w:hAnsi="Century Gothic"/>
        </w:rPr>
        <w:t xml:space="preserve">  de 2023</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707ECD" w:rsidRDefault="00707ECD"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E3C77" w:rsidRPr="00F31BC3" w:rsidRDefault="004E3C7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4E3C77" w:rsidRPr="00F31BC3" w:rsidRDefault="004E3C7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E3C77" w:rsidRPr="00F31BC3" w:rsidRDefault="004E3C77"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4E3C77" w:rsidRPr="00F31BC3" w:rsidRDefault="004E3C77"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77" w:rsidRDefault="004E3C77" w:rsidP="00F31BC3">
      <w:r>
        <w:separator/>
      </w:r>
    </w:p>
  </w:endnote>
  <w:endnote w:type="continuationSeparator" w:id="0">
    <w:p w:rsidR="004E3C77" w:rsidRDefault="004E3C7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77" w:rsidRDefault="004E3C77" w:rsidP="00F31BC3">
      <w:r>
        <w:separator/>
      </w:r>
    </w:p>
  </w:footnote>
  <w:footnote w:type="continuationSeparator" w:id="0">
    <w:p w:rsidR="004E3C77" w:rsidRDefault="004E3C7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0"/>
  </w:num>
  <w:num w:numId="3">
    <w:abstractNumId w:val="11"/>
  </w:num>
  <w:num w:numId="4">
    <w:abstractNumId w:val="0"/>
  </w:num>
  <w:num w:numId="5">
    <w:abstractNumId w:val="17"/>
  </w:num>
  <w:num w:numId="6">
    <w:abstractNumId w:val="19"/>
  </w:num>
  <w:num w:numId="7">
    <w:abstractNumId w:val="16"/>
  </w:num>
  <w:num w:numId="8">
    <w:abstractNumId w:val="1"/>
  </w:num>
  <w:num w:numId="9">
    <w:abstractNumId w:val="4"/>
  </w:num>
  <w:num w:numId="10">
    <w:abstractNumId w:val="3"/>
  </w:num>
  <w:num w:numId="11">
    <w:abstractNumId w:val="21"/>
  </w:num>
  <w:num w:numId="12">
    <w:abstractNumId w:val="15"/>
  </w:num>
  <w:num w:numId="13">
    <w:abstractNumId w:val="9"/>
  </w:num>
  <w:num w:numId="14">
    <w:abstractNumId w:val="22"/>
  </w:num>
  <w:num w:numId="15">
    <w:abstractNumId w:val="2"/>
  </w:num>
  <w:num w:numId="16">
    <w:abstractNumId w:val="23"/>
  </w:num>
  <w:num w:numId="17">
    <w:abstractNumId w:val="13"/>
  </w:num>
  <w:num w:numId="18">
    <w:abstractNumId w:val="8"/>
  </w:num>
  <w:num w:numId="19">
    <w:abstractNumId w:val="7"/>
  </w:num>
  <w:num w:numId="20">
    <w:abstractNumId w:val="18"/>
  </w:num>
  <w:num w:numId="21">
    <w:abstractNumId w:val="5"/>
  </w:num>
  <w:num w:numId="22">
    <w:abstractNumId w:val="6"/>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35DFF"/>
    <w:rsid w:val="00040AF4"/>
    <w:rsid w:val="00053A0E"/>
    <w:rsid w:val="0005642F"/>
    <w:rsid w:val="00072B7E"/>
    <w:rsid w:val="000775A5"/>
    <w:rsid w:val="00085C93"/>
    <w:rsid w:val="000A77F5"/>
    <w:rsid w:val="000D3907"/>
    <w:rsid w:val="000D5417"/>
    <w:rsid w:val="000E0A9E"/>
    <w:rsid w:val="000F0DA5"/>
    <w:rsid w:val="00100121"/>
    <w:rsid w:val="00104DE9"/>
    <w:rsid w:val="00104E94"/>
    <w:rsid w:val="001149B1"/>
    <w:rsid w:val="00117FA9"/>
    <w:rsid w:val="00132732"/>
    <w:rsid w:val="00146C3C"/>
    <w:rsid w:val="001521CD"/>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720A5"/>
    <w:rsid w:val="004724E2"/>
    <w:rsid w:val="00476974"/>
    <w:rsid w:val="0047735C"/>
    <w:rsid w:val="004859CC"/>
    <w:rsid w:val="004A1663"/>
    <w:rsid w:val="004C6440"/>
    <w:rsid w:val="004D1FFB"/>
    <w:rsid w:val="004D4B3E"/>
    <w:rsid w:val="004D50CC"/>
    <w:rsid w:val="004D6B23"/>
    <w:rsid w:val="004D7037"/>
    <w:rsid w:val="004E09F9"/>
    <w:rsid w:val="004E3C77"/>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50F07"/>
    <w:rsid w:val="0069673B"/>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65E5A"/>
    <w:rsid w:val="00880290"/>
    <w:rsid w:val="00882A5B"/>
    <w:rsid w:val="00891E6F"/>
    <w:rsid w:val="00894358"/>
    <w:rsid w:val="0089455A"/>
    <w:rsid w:val="00897D04"/>
    <w:rsid w:val="008A5AAE"/>
    <w:rsid w:val="008B6789"/>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8E4"/>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CF5B92"/>
    <w:rsid w:val="00D014E1"/>
    <w:rsid w:val="00D01CA1"/>
    <w:rsid w:val="00D1453D"/>
    <w:rsid w:val="00D41F4C"/>
    <w:rsid w:val="00D44BCF"/>
    <w:rsid w:val="00D45F5C"/>
    <w:rsid w:val="00D520C8"/>
    <w:rsid w:val="00D70570"/>
    <w:rsid w:val="00D9090A"/>
    <w:rsid w:val="00D96084"/>
    <w:rsid w:val="00DA6660"/>
    <w:rsid w:val="00DC5B52"/>
    <w:rsid w:val="00DD515F"/>
    <w:rsid w:val="00DF25D7"/>
    <w:rsid w:val="00DF54AF"/>
    <w:rsid w:val="00DF555F"/>
    <w:rsid w:val="00DF56A7"/>
    <w:rsid w:val="00E023B5"/>
    <w:rsid w:val="00E07201"/>
    <w:rsid w:val="00E11FBC"/>
    <w:rsid w:val="00E15EC7"/>
    <w:rsid w:val="00E17DF6"/>
    <w:rsid w:val="00E33169"/>
    <w:rsid w:val="00E4458C"/>
    <w:rsid w:val="00E51AC4"/>
    <w:rsid w:val="00E6528C"/>
    <w:rsid w:val="00E73F4D"/>
    <w:rsid w:val="00E83650"/>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2562"/>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15011A"/>
    <w:rsid w:val="00202DDA"/>
    <w:rsid w:val="00443EA4"/>
    <w:rsid w:val="0051307B"/>
    <w:rsid w:val="00583D19"/>
    <w:rsid w:val="00722728"/>
    <w:rsid w:val="00787EBD"/>
    <w:rsid w:val="007C3485"/>
    <w:rsid w:val="00835CF0"/>
    <w:rsid w:val="008E118A"/>
    <w:rsid w:val="00A104A7"/>
    <w:rsid w:val="00AB484A"/>
    <w:rsid w:val="00C32372"/>
    <w:rsid w:val="00DA008C"/>
    <w:rsid w:val="00DC78EE"/>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805B7FB6-537F-4277-88FE-ACB1543C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66</TotalTime>
  <Pages>6</Pages>
  <Words>1538</Words>
  <Characters>8464</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2023-04-17T11:03:00Z</dcterms:created>
  <dcterms:modified xsi:type="dcterms:W3CDTF">2023-05-05T11:46:00Z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