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BF2DB4" w:rsidRPr="00006957" w:rsidRDefault="00BF2DB4"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Content>
                        <w:p w:rsidR="007B3939" w:rsidRPr="00006957" w:rsidRDefault="007B3939"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BF2DB4" w:rsidRDefault="00BF2DB4"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7B3939" w:rsidRDefault="007B3939"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C43711" w:rsidRDefault="00C43711"/>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A86859" w:rsidP="00187D25">
            <w:pPr>
              <w:rPr>
                <w:sz w:val="24"/>
                <w:szCs w:val="24"/>
              </w:rPr>
            </w:pPr>
            <w:r>
              <w:rPr>
                <w:sz w:val="24"/>
                <w:szCs w:val="24"/>
              </w:rPr>
              <w:t xml:space="preserve">Fundación </w:t>
            </w:r>
            <w:r w:rsidR="00187D25">
              <w:rPr>
                <w:sz w:val="24"/>
                <w:szCs w:val="24"/>
              </w:rPr>
              <w:t>Instituto</w:t>
            </w:r>
            <w:r>
              <w:rPr>
                <w:sz w:val="24"/>
                <w:szCs w:val="24"/>
              </w:rPr>
              <w:t xml:space="preserve"> Iberoamericano de </w:t>
            </w:r>
            <w:r w:rsidR="00187D25">
              <w:rPr>
                <w:sz w:val="24"/>
                <w:szCs w:val="24"/>
              </w:rPr>
              <w:t xml:space="preserve">Mercados de </w:t>
            </w:r>
            <w:r>
              <w:rPr>
                <w:sz w:val="24"/>
                <w:szCs w:val="24"/>
              </w:rPr>
              <w:t>Valores</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Default="00C251BF" w:rsidP="00C251BF">
            <w:pPr>
              <w:rPr>
                <w:sz w:val="24"/>
                <w:szCs w:val="24"/>
              </w:rPr>
            </w:pPr>
            <w:r>
              <w:rPr>
                <w:sz w:val="24"/>
                <w:szCs w:val="24"/>
              </w:rPr>
              <w:t>16/03/</w:t>
            </w:r>
            <w:r w:rsidR="00933787">
              <w:rPr>
                <w:sz w:val="24"/>
                <w:szCs w:val="24"/>
              </w:rPr>
              <w:t>2023</w:t>
            </w:r>
          </w:p>
          <w:p w:rsidR="00C251BF" w:rsidRPr="00CB5511" w:rsidRDefault="00C251BF" w:rsidP="00C251BF">
            <w:pPr>
              <w:rPr>
                <w:sz w:val="24"/>
                <w:szCs w:val="24"/>
              </w:rPr>
            </w:pPr>
            <w:r>
              <w:rPr>
                <w:sz w:val="24"/>
                <w:szCs w:val="24"/>
              </w:rPr>
              <w:t>Segunda revisión: 08/05/2023</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A86859" w:rsidRPr="00CB5511" w:rsidRDefault="00187D25" w:rsidP="00A86859">
            <w:pPr>
              <w:rPr>
                <w:sz w:val="24"/>
                <w:szCs w:val="24"/>
              </w:rPr>
            </w:pPr>
            <w:hyperlink r:id="rId12" w:history="1">
              <w:r w:rsidR="00A86859" w:rsidRPr="00583204">
                <w:rPr>
                  <w:rStyle w:val="Hipervnculo"/>
                  <w:sz w:val="24"/>
                  <w:szCs w:val="24"/>
                </w:rPr>
                <w:t>https://www.iimv.org</w:t>
              </w:r>
            </w:hyperlink>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C43711" w:rsidRPr="00F14DA4" w:rsidTr="00A86859">
        <w:tc>
          <w:tcPr>
            <w:tcW w:w="1760" w:type="dxa"/>
            <w:shd w:val="clear" w:color="auto" w:fill="4D7F52"/>
          </w:tcPr>
          <w:p w:rsidR="00C43711" w:rsidRPr="00F14DA4" w:rsidRDefault="00C43711" w:rsidP="00A86859">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C43711" w:rsidRPr="00F14DA4" w:rsidRDefault="00C43711" w:rsidP="00A86859">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C43711" w:rsidRPr="00F14DA4" w:rsidRDefault="00C43711" w:rsidP="00A86859">
            <w:pPr>
              <w:jc w:val="center"/>
              <w:rPr>
                <w:color w:val="FFFFFF" w:themeColor="background1"/>
                <w:sz w:val="20"/>
                <w:szCs w:val="20"/>
              </w:rPr>
            </w:pPr>
          </w:p>
        </w:tc>
      </w:tr>
      <w:tr w:rsidR="00C43711" w:rsidRPr="00F14DA4" w:rsidTr="00A86859">
        <w:tc>
          <w:tcPr>
            <w:tcW w:w="1760" w:type="dxa"/>
          </w:tcPr>
          <w:p w:rsidR="00C43711" w:rsidRPr="00F14DA4" w:rsidRDefault="00C43711" w:rsidP="00A86859">
            <w:pPr>
              <w:rPr>
                <w:sz w:val="20"/>
                <w:szCs w:val="20"/>
              </w:rPr>
            </w:pPr>
            <w:r>
              <w:rPr>
                <w:sz w:val="20"/>
                <w:szCs w:val="20"/>
              </w:rPr>
              <w:t>2.1.a</w:t>
            </w:r>
          </w:p>
        </w:tc>
        <w:tc>
          <w:tcPr>
            <w:tcW w:w="8129" w:type="dxa"/>
          </w:tcPr>
          <w:p w:rsidR="00C43711" w:rsidRPr="00F14DA4" w:rsidRDefault="00C43711" w:rsidP="00A86859">
            <w:pPr>
              <w:rPr>
                <w:sz w:val="20"/>
                <w:szCs w:val="20"/>
              </w:rPr>
            </w:pPr>
            <w:r w:rsidRPr="00F14DA4">
              <w:rPr>
                <w:sz w:val="20"/>
                <w:szCs w:val="20"/>
              </w:rPr>
              <w:t xml:space="preserve">Administración General del Estado, Administraciones de las Comunidades Autónomas </w:t>
            </w:r>
          </w:p>
        </w:tc>
        <w:tc>
          <w:tcPr>
            <w:tcW w:w="709" w:type="dxa"/>
            <w:vAlign w:val="center"/>
          </w:tcPr>
          <w:p w:rsidR="00C43711" w:rsidRPr="004A123A" w:rsidRDefault="00C43711" w:rsidP="00A86859">
            <w:pPr>
              <w:jc w:val="center"/>
              <w:rPr>
                <w:b/>
                <w:sz w:val="20"/>
                <w:szCs w:val="20"/>
              </w:rPr>
            </w:pPr>
          </w:p>
        </w:tc>
      </w:tr>
      <w:tr w:rsidR="00C43711" w:rsidRPr="00F14DA4" w:rsidTr="00A86859">
        <w:tc>
          <w:tcPr>
            <w:tcW w:w="1760" w:type="dxa"/>
          </w:tcPr>
          <w:p w:rsidR="00C43711" w:rsidRDefault="00C43711" w:rsidP="00A86859">
            <w:pPr>
              <w:rPr>
                <w:sz w:val="20"/>
                <w:szCs w:val="20"/>
              </w:rPr>
            </w:pPr>
            <w:r>
              <w:rPr>
                <w:sz w:val="20"/>
                <w:szCs w:val="20"/>
              </w:rPr>
              <w:t>2.1.a.1</w:t>
            </w:r>
          </w:p>
        </w:tc>
        <w:tc>
          <w:tcPr>
            <w:tcW w:w="8129" w:type="dxa"/>
          </w:tcPr>
          <w:p w:rsidR="00C43711" w:rsidRDefault="00C43711" w:rsidP="00A86859">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C43711" w:rsidRPr="004A123A" w:rsidRDefault="00C43711" w:rsidP="00A86859">
            <w:pPr>
              <w:jc w:val="center"/>
              <w:rPr>
                <w:b/>
                <w:sz w:val="20"/>
                <w:szCs w:val="20"/>
              </w:rPr>
            </w:pPr>
          </w:p>
        </w:tc>
      </w:tr>
      <w:tr w:rsidR="00C43711" w:rsidRPr="00F14DA4" w:rsidTr="00A86859">
        <w:tc>
          <w:tcPr>
            <w:tcW w:w="1760" w:type="dxa"/>
          </w:tcPr>
          <w:p w:rsidR="00C43711" w:rsidRPr="00F14DA4" w:rsidRDefault="00C43711" w:rsidP="00A86859">
            <w:pPr>
              <w:rPr>
                <w:sz w:val="20"/>
                <w:szCs w:val="20"/>
              </w:rPr>
            </w:pPr>
            <w:r>
              <w:rPr>
                <w:sz w:val="20"/>
                <w:szCs w:val="20"/>
              </w:rPr>
              <w:t>2.1.b</w:t>
            </w:r>
          </w:p>
        </w:tc>
        <w:tc>
          <w:tcPr>
            <w:tcW w:w="8129" w:type="dxa"/>
          </w:tcPr>
          <w:p w:rsidR="00C43711" w:rsidRPr="00F14DA4" w:rsidRDefault="00C43711" w:rsidP="00A86859">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C43711" w:rsidRPr="004A123A" w:rsidRDefault="00C43711" w:rsidP="00A86859">
            <w:pPr>
              <w:jc w:val="center"/>
              <w:rPr>
                <w:b/>
                <w:sz w:val="20"/>
                <w:szCs w:val="20"/>
              </w:rPr>
            </w:pPr>
          </w:p>
        </w:tc>
      </w:tr>
      <w:tr w:rsidR="00C43711" w:rsidRPr="00F14DA4" w:rsidTr="00A86859">
        <w:tc>
          <w:tcPr>
            <w:tcW w:w="1760" w:type="dxa"/>
          </w:tcPr>
          <w:p w:rsidR="00C43711" w:rsidRPr="00F14DA4" w:rsidRDefault="00C43711" w:rsidP="00A86859">
            <w:pPr>
              <w:rPr>
                <w:sz w:val="20"/>
                <w:szCs w:val="20"/>
              </w:rPr>
            </w:pPr>
            <w:r>
              <w:rPr>
                <w:sz w:val="20"/>
                <w:szCs w:val="20"/>
              </w:rPr>
              <w:t>2.1.c</w:t>
            </w:r>
          </w:p>
        </w:tc>
        <w:tc>
          <w:tcPr>
            <w:tcW w:w="8129" w:type="dxa"/>
          </w:tcPr>
          <w:p w:rsidR="00C43711" w:rsidRPr="00F14DA4" w:rsidRDefault="00C43711" w:rsidP="00A86859">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C43711" w:rsidRPr="004A123A" w:rsidRDefault="00C43711" w:rsidP="00A86859">
            <w:pPr>
              <w:jc w:val="center"/>
              <w:rPr>
                <w:b/>
                <w:sz w:val="20"/>
                <w:szCs w:val="20"/>
              </w:rPr>
            </w:pPr>
          </w:p>
        </w:tc>
      </w:tr>
      <w:tr w:rsidR="00C43711" w:rsidRPr="00F14DA4" w:rsidTr="00A86859">
        <w:tc>
          <w:tcPr>
            <w:tcW w:w="1760" w:type="dxa"/>
          </w:tcPr>
          <w:p w:rsidR="00C43711" w:rsidRPr="00F14DA4" w:rsidRDefault="00C43711" w:rsidP="00A86859">
            <w:pPr>
              <w:rPr>
                <w:sz w:val="20"/>
                <w:szCs w:val="20"/>
              </w:rPr>
            </w:pPr>
            <w:r>
              <w:rPr>
                <w:sz w:val="20"/>
                <w:szCs w:val="20"/>
              </w:rPr>
              <w:t>2.1.d</w:t>
            </w:r>
          </w:p>
        </w:tc>
        <w:tc>
          <w:tcPr>
            <w:tcW w:w="8129" w:type="dxa"/>
          </w:tcPr>
          <w:p w:rsidR="00C43711" w:rsidRPr="00F14DA4" w:rsidRDefault="00C43711" w:rsidP="00A86859">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C43711" w:rsidRPr="004A123A" w:rsidRDefault="00C43711" w:rsidP="00A86859">
            <w:pPr>
              <w:jc w:val="center"/>
              <w:rPr>
                <w:b/>
                <w:sz w:val="20"/>
                <w:szCs w:val="20"/>
              </w:rPr>
            </w:pPr>
          </w:p>
        </w:tc>
      </w:tr>
      <w:tr w:rsidR="00C43711" w:rsidRPr="00F14DA4" w:rsidTr="00A86859">
        <w:tc>
          <w:tcPr>
            <w:tcW w:w="1760" w:type="dxa"/>
          </w:tcPr>
          <w:p w:rsidR="00C43711" w:rsidRPr="00F14DA4" w:rsidRDefault="00C43711" w:rsidP="00A86859">
            <w:pPr>
              <w:rPr>
                <w:sz w:val="20"/>
                <w:szCs w:val="20"/>
              </w:rPr>
            </w:pPr>
            <w:r>
              <w:rPr>
                <w:sz w:val="20"/>
                <w:szCs w:val="20"/>
              </w:rPr>
              <w:t>2.1.e</w:t>
            </w:r>
          </w:p>
        </w:tc>
        <w:tc>
          <w:tcPr>
            <w:tcW w:w="8129" w:type="dxa"/>
          </w:tcPr>
          <w:p w:rsidR="00C43711" w:rsidRPr="00F14DA4" w:rsidRDefault="00C43711" w:rsidP="00A86859">
            <w:pPr>
              <w:rPr>
                <w:sz w:val="20"/>
                <w:szCs w:val="20"/>
              </w:rPr>
            </w:pPr>
            <w:r>
              <w:rPr>
                <w:sz w:val="20"/>
                <w:szCs w:val="20"/>
              </w:rPr>
              <w:t>C</w:t>
            </w:r>
            <w:r w:rsidRPr="00000DF7">
              <w:rPr>
                <w:sz w:val="20"/>
                <w:szCs w:val="20"/>
              </w:rPr>
              <w:t>orporaciones de Derecho Público,</w:t>
            </w:r>
          </w:p>
        </w:tc>
        <w:tc>
          <w:tcPr>
            <w:tcW w:w="709" w:type="dxa"/>
            <w:vAlign w:val="center"/>
          </w:tcPr>
          <w:p w:rsidR="00C43711" w:rsidRPr="004A123A" w:rsidRDefault="00C43711" w:rsidP="00A86859">
            <w:pPr>
              <w:jc w:val="center"/>
              <w:rPr>
                <w:b/>
                <w:sz w:val="20"/>
                <w:szCs w:val="20"/>
              </w:rPr>
            </w:pPr>
          </w:p>
        </w:tc>
      </w:tr>
      <w:tr w:rsidR="00C43711" w:rsidRPr="00F14DA4" w:rsidTr="00A86859">
        <w:tc>
          <w:tcPr>
            <w:tcW w:w="1760" w:type="dxa"/>
          </w:tcPr>
          <w:p w:rsidR="00C43711" w:rsidRDefault="00C43711" w:rsidP="00A86859">
            <w:pPr>
              <w:rPr>
                <w:sz w:val="20"/>
                <w:szCs w:val="20"/>
              </w:rPr>
            </w:pPr>
            <w:r>
              <w:rPr>
                <w:sz w:val="20"/>
                <w:szCs w:val="20"/>
              </w:rPr>
              <w:t>2.1.f</w:t>
            </w:r>
          </w:p>
        </w:tc>
        <w:tc>
          <w:tcPr>
            <w:tcW w:w="8129" w:type="dxa"/>
          </w:tcPr>
          <w:p w:rsidR="00C43711" w:rsidRDefault="00C43711" w:rsidP="00A86859">
            <w:pPr>
              <w:rPr>
                <w:sz w:val="20"/>
                <w:szCs w:val="20"/>
              </w:rPr>
            </w:pPr>
            <w:r>
              <w:rPr>
                <w:sz w:val="20"/>
                <w:szCs w:val="20"/>
              </w:rPr>
              <w:t>Órganos constitucionales o de relevancia constitucional</w:t>
            </w:r>
          </w:p>
        </w:tc>
        <w:tc>
          <w:tcPr>
            <w:tcW w:w="709" w:type="dxa"/>
            <w:vAlign w:val="center"/>
          </w:tcPr>
          <w:p w:rsidR="00C43711" w:rsidRPr="004A123A" w:rsidRDefault="00C43711" w:rsidP="00A86859">
            <w:pPr>
              <w:jc w:val="center"/>
              <w:rPr>
                <w:b/>
                <w:sz w:val="20"/>
                <w:szCs w:val="20"/>
              </w:rPr>
            </w:pPr>
          </w:p>
        </w:tc>
      </w:tr>
      <w:tr w:rsidR="00C43711" w:rsidRPr="00F14DA4" w:rsidTr="00A86859">
        <w:tc>
          <w:tcPr>
            <w:tcW w:w="1760" w:type="dxa"/>
          </w:tcPr>
          <w:p w:rsidR="00C43711" w:rsidRPr="00F14DA4" w:rsidRDefault="00C43711" w:rsidP="00A86859">
            <w:pPr>
              <w:rPr>
                <w:sz w:val="20"/>
                <w:szCs w:val="20"/>
              </w:rPr>
            </w:pPr>
            <w:r>
              <w:rPr>
                <w:sz w:val="20"/>
                <w:szCs w:val="20"/>
              </w:rPr>
              <w:t>2.1.g</w:t>
            </w:r>
          </w:p>
        </w:tc>
        <w:tc>
          <w:tcPr>
            <w:tcW w:w="8129" w:type="dxa"/>
          </w:tcPr>
          <w:p w:rsidR="00C43711" w:rsidRPr="00F14DA4" w:rsidRDefault="00C43711" w:rsidP="002A3BD9">
            <w:pPr>
              <w:rPr>
                <w:sz w:val="20"/>
                <w:szCs w:val="20"/>
              </w:rPr>
            </w:pPr>
            <w:r>
              <w:rPr>
                <w:sz w:val="20"/>
                <w:szCs w:val="20"/>
              </w:rPr>
              <w:t xml:space="preserve">Sociedades Mercantiles </w:t>
            </w:r>
          </w:p>
        </w:tc>
        <w:tc>
          <w:tcPr>
            <w:tcW w:w="709" w:type="dxa"/>
            <w:vAlign w:val="center"/>
          </w:tcPr>
          <w:p w:rsidR="00C43711" w:rsidRPr="004A123A" w:rsidRDefault="00C43711" w:rsidP="00A86859">
            <w:pPr>
              <w:jc w:val="center"/>
              <w:rPr>
                <w:b/>
                <w:sz w:val="20"/>
                <w:szCs w:val="20"/>
              </w:rPr>
            </w:pPr>
          </w:p>
        </w:tc>
      </w:tr>
      <w:tr w:rsidR="00C43711" w:rsidRPr="00F14DA4" w:rsidTr="00A86859">
        <w:tc>
          <w:tcPr>
            <w:tcW w:w="1760" w:type="dxa"/>
          </w:tcPr>
          <w:p w:rsidR="00C43711" w:rsidRPr="00F14DA4" w:rsidRDefault="00C43711" w:rsidP="00A86859">
            <w:pPr>
              <w:rPr>
                <w:sz w:val="20"/>
                <w:szCs w:val="20"/>
              </w:rPr>
            </w:pPr>
            <w:r>
              <w:rPr>
                <w:sz w:val="20"/>
                <w:szCs w:val="20"/>
              </w:rPr>
              <w:t>2.1.h</w:t>
            </w:r>
          </w:p>
        </w:tc>
        <w:tc>
          <w:tcPr>
            <w:tcW w:w="8129" w:type="dxa"/>
          </w:tcPr>
          <w:p w:rsidR="00C43711" w:rsidRPr="00F14DA4" w:rsidRDefault="002A3BD9" w:rsidP="00A86859">
            <w:pPr>
              <w:rPr>
                <w:sz w:val="20"/>
                <w:szCs w:val="20"/>
              </w:rPr>
            </w:pPr>
            <w:r>
              <w:rPr>
                <w:sz w:val="20"/>
                <w:szCs w:val="20"/>
              </w:rPr>
              <w:t>Fundaciones del Sector Público</w:t>
            </w:r>
          </w:p>
        </w:tc>
        <w:tc>
          <w:tcPr>
            <w:tcW w:w="709" w:type="dxa"/>
            <w:vAlign w:val="center"/>
          </w:tcPr>
          <w:p w:rsidR="00C43711" w:rsidRPr="004A123A" w:rsidRDefault="00933787" w:rsidP="00A86859">
            <w:pPr>
              <w:jc w:val="center"/>
              <w:rPr>
                <w:b/>
                <w:sz w:val="20"/>
                <w:szCs w:val="20"/>
              </w:rPr>
            </w:pPr>
            <w:r>
              <w:rPr>
                <w:b/>
                <w:sz w:val="20"/>
                <w:szCs w:val="20"/>
              </w:rPr>
              <w:t>x</w:t>
            </w:r>
          </w:p>
        </w:tc>
      </w:tr>
      <w:tr w:rsidR="002A3BD9" w:rsidRPr="00F14DA4" w:rsidTr="00A86859">
        <w:tc>
          <w:tcPr>
            <w:tcW w:w="1760" w:type="dxa"/>
          </w:tcPr>
          <w:p w:rsidR="002A3BD9" w:rsidRDefault="002A3BD9" w:rsidP="00A86859">
            <w:pPr>
              <w:rPr>
                <w:sz w:val="20"/>
                <w:szCs w:val="20"/>
              </w:rPr>
            </w:pPr>
            <w:r>
              <w:rPr>
                <w:sz w:val="20"/>
                <w:szCs w:val="20"/>
              </w:rPr>
              <w:t>2.1.i</w:t>
            </w:r>
          </w:p>
        </w:tc>
        <w:tc>
          <w:tcPr>
            <w:tcW w:w="8129" w:type="dxa"/>
          </w:tcPr>
          <w:p w:rsidR="002A3BD9" w:rsidRDefault="002A3BD9" w:rsidP="00A86859">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2A3BD9" w:rsidRPr="004A123A" w:rsidRDefault="002A3BD9" w:rsidP="00A86859">
            <w:pPr>
              <w:jc w:val="center"/>
              <w:rPr>
                <w:b/>
                <w:sz w:val="20"/>
                <w:szCs w:val="20"/>
              </w:rPr>
            </w:pPr>
          </w:p>
        </w:tc>
      </w:tr>
      <w:tr w:rsidR="00C43711" w:rsidRPr="00F14DA4" w:rsidTr="00A86859">
        <w:tc>
          <w:tcPr>
            <w:tcW w:w="1760" w:type="dxa"/>
          </w:tcPr>
          <w:p w:rsidR="00C43711" w:rsidRPr="00F14DA4" w:rsidRDefault="00C43711" w:rsidP="00A86859">
            <w:pPr>
              <w:rPr>
                <w:sz w:val="20"/>
                <w:szCs w:val="20"/>
              </w:rPr>
            </w:pPr>
            <w:r>
              <w:rPr>
                <w:sz w:val="20"/>
                <w:szCs w:val="20"/>
              </w:rPr>
              <w:t>3.a</w:t>
            </w:r>
          </w:p>
        </w:tc>
        <w:tc>
          <w:tcPr>
            <w:tcW w:w="8129" w:type="dxa"/>
          </w:tcPr>
          <w:p w:rsidR="00C43711" w:rsidRPr="00F14DA4" w:rsidRDefault="00C43711" w:rsidP="00A86859">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C43711" w:rsidRPr="004A123A" w:rsidRDefault="00C43711" w:rsidP="00A86859">
            <w:pPr>
              <w:jc w:val="center"/>
              <w:rPr>
                <w:b/>
                <w:sz w:val="20"/>
                <w:szCs w:val="20"/>
              </w:rPr>
            </w:pPr>
          </w:p>
        </w:tc>
      </w:tr>
      <w:tr w:rsidR="00C43711" w:rsidRPr="00F14DA4" w:rsidTr="00A86859">
        <w:tc>
          <w:tcPr>
            <w:tcW w:w="1760" w:type="dxa"/>
          </w:tcPr>
          <w:p w:rsidR="00C43711" w:rsidRPr="00F14DA4" w:rsidRDefault="00C43711" w:rsidP="00A86859">
            <w:pPr>
              <w:rPr>
                <w:sz w:val="20"/>
                <w:szCs w:val="20"/>
              </w:rPr>
            </w:pPr>
            <w:r>
              <w:rPr>
                <w:sz w:val="20"/>
                <w:szCs w:val="20"/>
              </w:rPr>
              <w:t>3.b</w:t>
            </w:r>
          </w:p>
        </w:tc>
        <w:tc>
          <w:tcPr>
            <w:tcW w:w="8129" w:type="dxa"/>
          </w:tcPr>
          <w:p w:rsidR="00C43711" w:rsidRPr="00F14DA4" w:rsidRDefault="00C43711" w:rsidP="00A86859">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C43711" w:rsidRPr="004A123A" w:rsidRDefault="00C43711" w:rsidP="00A86859">
            <w:pPr>
              <w:jc w:val="center"/>
              <w:rPr>
                <w:b/>
                <w:sz w:val="20"/>
                <w:szCs w:val="20"/>
              </w:rPr>
            </w:pPr>
          </w:p>
        </w:tc>
      </w:tr>
    </w:tbl>
    <w:p w:rsidR="00F14DA4" w:rsidRDefault="00F14DA4"/>
    <w:p w:rsidR="00F14DA4" w:rsidRDefault="00F14DA4"/>
    <w:p w:rsidR="00F14DA4" w:rsidRDefault="00F14DA4"/>
    <w:p w:rsidR="00F14DA4" w:rsidRDefault="00F14DA4"/>
    <w:p w:rsidR="00F14DA4" w:rsidRDefault="00F14DA4"/>
    <w:p w:rsidR="00561402" w:rsidRDefault="00561402"/>
    <w:p w:rsidR="00F14DA4" w:rsidRDefault="00F14DA4"/>
    <w:p w:rsidR="00CB5511" w:rsidRDefault="00BB6799">
      <w:pPr>
        <w:rPr>
          <w:b/>
          <w:color w:val="00642D"/>
          <w:sz w:val="30"/>
          <w:szCs w:val="30"/>
        </w:rPr>
      </w:pPr>
      <w:r w:rsidRPr="00BB6799">
        <w:rPr>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rsidP="005B6CF5">
            <w:pPr>
              <w:jc w:val="cente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B6CF5">
            <w:pPr>
              <w:jc w:val="center"/>
              <w:rPr>
                <w:b/>
                <w:color w:val="00642D"/>
                <w:sz w:val="20"/>
                <w:szCs w:val="20"/>
              </w:rPr>
            </w:pPr>
            <w:r w:rsidRPr="00AD2022">
              <w:rPr>
                <w:b/>
                <w:sz w:val="20"/>
                <w:szCs w:val="20"/>
              </w:rPr>
              <w:t>x</w:t>
            </w:r>
          </w:p>
        </w:tc>
      </w:tr>
      <w:tr w:rsidR="00AD2022" w:rsidRPr="00BB6799" w:rsidTr="00A86859">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5B6CF5">
            <w:pPr>
              <w:jc w:val="center"/>
              <w:rPr>
                <w:b/>
              </w:rPr>
            </w:pPr>
            <w:r w:rsidRPr="00AD2022">
              <w:rPr>
                <w:b/>
              </w:rPr>
              <w:t>x</w:t>
            </w:r>
          </w:p>
        </w:tc>
      </w:tr>
      <w:tr w:rsidR="00AD2022" w:rsidRPr="00BB6799" w:rsidTr="00A86859">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933787" w:rsidP="005B6CF5">
            <w:pPr>
              <w:jc w:val="center"/>
              <w:rPr>
                <w:b/>
              </w:rPr>
            </w:pPr>
            <w:r>
              <w:rPr>
                <w:b/>
              </w:rPr>
              <w:t>x</w:t>
            </w:r>
          </w:p>
        </w:tc>
      </w:tr>
      <w:tr w:rsidR="00AD2022" w:rsidRPr="00BB6799" w:rsidTr="00A86859">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5B6CF5">
            <w:pPr>
              <w:jc w:val="center"/>
              <w:rPr>
                <w:b/>
              </w:rPr>
            </w:pPr>
            <w:r w:rsidRPr="00AD2022">
              <w:rPr>
                <w:b/>
              </w:rPr>
              <w:t>x</w:t>
            </w:r>
          </w:p>
        </w:tc>
      </w:tr>
      <w:tr w:rsidR="00AD2022" w:rsidRPr="00BB6799" w:rsidTr="00A86859">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5B6CF5">
            <w:pPr>
              <w:jc w:val="center"/>
              <w:rPr>
                <w:b/>
              </w:rPr>
            </w:pPr>
            <w:r w:rsidRPr="00AD2022">
              <w:rPr>
                <w:b/>
              </w:rPr>
              <w:t>x</w:t>
            </w:r>
          </w:p>
        </w:tc>
      </w:tr>
      <w:tr w:rsidR="00AD2022" w:rsidRPr="00BB6799" w:rsidTr="00A86859">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5B6CF5">
            <w:pPr>
              <w:jc w:val="center"/>
              <w:rPr>
                <w:b/>
              </w:rPr>
            </w:pPr>
            <w:r w:rsidRPr="00AD2022">
              <w:rPr>
                <w:b/>
              </w:rPr>
              <w:t>x</w:t>
            </w:r>
          </w:p>
        </w:tc>
      </w:tr>
      <w:tr w:rsidR="00AD2022" w:rsidRPr="00BB6799" w:rsidTr="00A86859">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5B6CF5">
            <w:pPr>
              <w:jc w:val="center"/>
              <w:rPr>
                <w:b/>
              </w:rPr>
            </w:pPr>
            <w:r w:rsidRPr="00AD2022">
              <w:rPr>
                <w:b/>
              </w:rPr>
              <w:t>x</w:t>
            </w:r>
          </w:p>
        </w:tc>
      </w:tr>
      <w:tr w:rsidR="00AD2022" w:rsidRPr="00BB6799" w:rsidTr="00A86859">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5B6CF5">
            <w:pPr>
              <w:jc w:val="center"/>
              <w:rPr>
                <w:b/>
              </w:rPr>
            </w:pPr>
          </w:p>
        </w:tc>
      </w:tr>
      <w:tr w:rsidR="00AD2022" w:rsidRPr="00BB6799" w:rsidTr="00A86859">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5B6CF5">
            <w:pPr>
              <w:jc w:val="center"/>
              <w:rPr>
                <w:b/>
              </w:rPr>
            </w:pPr>
          </w:p>
        </w:tc>
      </w:tr>
      <w:tr w:rsidR="00AD2022" w:rsidRPr="00BB6799" w:rsidTr="00A86859">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5B6CF5">
            <w:pPr>
              <w:jc w:val="center"/>
              <w:rPr>
                <w:b/>
              </w:rPr>
            </w:pPr>
          </w:p>
        </w:tc>
      </w:tr>
      <w:tr w:rsidR="00DD58B3" w:rsidRPr="00BB6799" w:rsidTr="00A86859">
        <w:tc>
          <w:tcPr>
            <w:tcW w:w="1633" w:type="dxa"/>
            <w:vMerge w:val="restart"/>
            <w:tcBorders>
              <w:top w:val="single" w:sz="4" w:space="0" w:color="FFFFFF" w:themeColor="background1"/>
              <w:right w:val="nil"/>
            </w:tcBorders>
            <w:shd w:val="clear" w:color="auto" w:fill="4D7F52"/>
            <w:textDirection w:val="btLr"/>
          </w:tcPr>
          <w:p w:rsidR="00DD58B3" w:rsidRPr="0057532F" w:rsidRDefault="00DD58B3"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DD58B3" w:rsidRPr="0057532F" w:rsidRDefault="00DD58B3" w:rsidP="0057532F">
            <w:pPr>
              <w:rPr>
                <w:sz w:val="20"/>
                <w:szCs w:val="20"/>
              </w:rPr>
            </w:pPr>
            <w:r w:rsidRPr="0057532F">
              <w:rPr>
                <w:sz w:val="20"/>
                <w:szCs w:val="20"/>
              </w:rPr>
              <w:t>Directrices, instrucciones, acuerdos, circulares o respuestas a consultas</w:t>
            </w:r>
          </w:p>
        </w:tc>
        <w:tc>
          <w:tcPr>
            <w:tcW w:w="709" w:type="dxa"/>
          </w:tcPr>
          <w:p w:rsidR="00DD58B3" w:rsidRPr="00AD2022" w:rsidRDefault="00DD58B3" w:rsidP="005B6CF5">
            <w:pPr>
              <w:jc w:val="center"/>
              <w:rPr>
                <w:b/>
              </w:rPr>
            </w:pPr>
          </w:p>
        </w:tc>
      </w:tr>
      <w:tr w:rsidR="00DD58B3" w:rsidRPr="00BB6799" w:rsidTr="00A86859">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Anteproyectos de Ley</w:t>
            </w:r>
          </w:p>
        </w:tc>
        <w:tc>
          <w:tcPr>
            <w:tcW w:w="709" w:type="dxa"/>
          </w:tcPr>
          <w:p w:rsidR="00DD58B3" w:rsidRPr="00AD2022" w:rsidRDefault="00DD58B3" w:rsidP="005B6CF5">
            <w:pPr>
              <w:jc w:val="center"/>
              <w:rPr>
                <w:b/>
              </w:rPr>
            </w:pPr>
          </w:p>
        </w:tc>
      </w:tr>
      <w:tr w:rsidR="00DD58B3" w:rsidRPr="00BB6799" w:rsidTr="00A86859">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Decretos Legislativos</w:t>
            </w:r>
          </w:p>
        </w:tc>
        <w:tc>
          <w:tcPr>
            <w:tcW w:w="709" w:type="dxa"/>
          </w:tcPr>
          <w:p w:rsidR="00DD58B3" w:rsidRPr="00AD2022" w:rsidRDefault="00DD58B3" w:rsidP="005B6CF5">
            <w:pPr>
              <w:jc w:val="center"/>
              <w:rPr>
                <w:b/>
              </w:rPr>
            </w:pPr>
          </w:p>
        </w:tc>
      </w:tr>
      <w:tr w:rsidR="00DD58B3" w:rsidRPr="00BB6799" w:rsidTr="00A86859">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Reglamentos</w:t>
            </w:r>
          </w:p>
        </w:tc>
        <w:tc>
          <w:tcPr>
            <w:tcW w:w="709" w:type="dxa"/>
          </w:tcPr>
          <w:p w:rsidR="00DD58B3" w:rsidRPr="00AD2022" w:rsidRDefault="00DD58B3" w:rsidP="005B6CF5">
            <w:pPr>
              <w:jc w:val="center"/>
              <w:rPr>
                <w:b/>
              </w:rPr>
            </w:pPr>
          </w:p>
        </w:tc>
      </w:tr>
      <w:tr w:rsidR="00DD58B3" w:rsidRPr="00BB6799" w:rsidTr="00A86859">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Memorias e informes que conformen los expedientes de elaboración de los textos normativos</w:t>
            </w:r>
          </w:p>
        </w:tc>
        <w:tc>
          <w:tcPr>
            <w:tcW w:w="709" w:type="dxa"/>
          </w:tcPr>
          <w:p w:rsidR="00DD58B3" w:rsidRPr="00AD2022" w:rsidRDefault="00DD58B3" w:rsidP="005B6CF5">
            <w:pPr>
              <w:jc w:val="center"/>
              <w:rPr>
                <w:b/>
              </w:rPr>
            </w:pPr>
          </w:p>
        </w:tc>
      </w:tr>
      <w:tr w:rsidR="00DD58B3" w:rsidRPr="00BB6799" w:rsidTr="00A86859">
        <w:tc>
          <w:tcPr>
            <w:tcW w:w="1633" w:type="dxa"/>
            <w:vMerge/>
            <w:tcBorders>
              <w:bottom w:val="single" w:sz="4" w:space="0" w:color="FFFFFF" w:themeColor="background1"/>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DD58B3">
              <w:rPr>
                <w:sz w:val="20"/>
                <w:szCs w:val="20"/>
              </w:rPr>
              <w:t>Documentos sometidos a información</w:t>
            </w:r>
            <w:r>
              <w:rPr>
                <w:sz w:val="20"/>
                <w:szCs w:val="20"/>
              </w:rPr>
              <w:t xml:space="preserve"> pública durante su tramitación</w:t>
            </w:r>
          </w:p>
        </w:tc>
        <w:tc>
          <w:tcPr>
            <w:tcW w:w="709" w:type="dxa"/>
          </w:tcPr>
          <w:p w:rsidR="00DD58B3" w:rsidRPr="00AD2022" w:rsidRDefault="00DD58B3" w:rsidP="005B6CF5">
            <w:pPr>
              <w:jc w:val="center"/>
              <w:rPr>
                <w:b/>
              </w:rPr>
            </w:pPr>
          </w:p>
        </w:tc>
      </w:tr>
      <w:tr w:rsidR="00AD2022" w:rsidRPr="00BB6799" w:rsidTr="00A86859">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3D6063">
            <w:pPr>
              <w:rPr>
                <w:sz w:val="20"/>
                <w:szCs w:val="20"/>
              </w:rPr>
            </w:pPr>
            <w:r w:rsidRPr="0057532F">
              <w:rPr>
                <w:sz w:val="20"/>
                <w:szCs w:val="20"/>
              </w:rPr>
              <w:t xml:space="preserve">Contratos </w:t>
            </w:r>
          </w:p>
        </w:tc>
        <w:tc>
          <w:tcPr>
            <w:tcW w:w="709" w:type="dxa"/>
          </w:tcPr>
          <w:p w:rsidR="00AD2022" w:rsidRPr="00AD2022" w:rsidRDefault="00AD2022" w:rsidP="005B6CF5">
            <w:pPr>
              <w:jc w:val="center"/>
              <w:rPr>
                <w:b/>
              </w:rPr>
            </w:pPr>
            <w:r w:rsidRPr="00AD2022">
              <w:rPr>
                <w:b/>
              </w:rPr>
              <w:t>x</w:t>
            </w:r>
          </w:p>
        </w:tc>
      </w:tr>
      <w:tr w:rsidR="00AD2022" w:rsidRPr="00BB6799" w:rsidTr="00A86859">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5B6CF5">
            <w:pPr>
              <w:jc w:val="center"/>
              <w:rPr>
                <w:b/>
              </w:rPr>
            </w:pPr>
            <w:r w:rsidRPr="00AD2022">
              <w:rPr>
                <w:b/>
              </w:rPr>
              <w:t>x</w:t>
            </w:r>
          </w:p>
        </w:tc>
      </w:tr>
      <w:tr w:rsidR="00AD2022" w:rsidRPr="00BB6799" w:rsidTr="00A86859">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5B6CF5">
            <w:pPr>
              <w:jc w:val="center"/>
              <w:rPr>
                <w:b/>
              </w:rPr>
            </w:pPr>
            <w:r w:rsidRPr="00AD2022">
              <w:rPr>
                <w:b/>
              </w:rPr>
              <w:t>x</w:t>
            </w:r>
          </w:p>
        </w:tc>
      </w:tr>
      <w:tr w:rsidR="00AD2022" w:rsidRPr="00BB6799" w:rsidTr="00A86859">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3D6063" w:rsidP="005B6CF5">
            <w:pPr>
              <w:jc w:val="center"/>
              <w:rPr>
                <w:b/>
              </w:rPr>
            </w:pPr>
            <w:r>
              <w:rPr>
                <w:b/>
              </w:rPr>
              <w:t>x</w:t>
            </w:r>
          </w:p>
        </w:tc>
      </w:tr>
      <w:tr w:rsidR="00AD2022" w:rsidRPr="00BB6799" w:rsidTr="00A86859">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5B6CF5">
            <w:pPr>
              <w:jc w:val="center"/>
              <w:rPr>
                <w:b/>
              </w:rPr>
            </w:pPr>
            <w:r w:rsidRPr="00AD2022">
              <w:rPr>
                <w:b/>
              </w:rPr>
              <w:t>x</w:t>
            </w:r>
          </w:p>
        </w:tc>
      </w:tr>
      <w:tr w:rsidR="00AD2022" w:rsidRPr="00BB6799" w:rsidTr="00A86859">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5B6CF5">
            <w:pPr>
              <w:jc w:val="center"/>
              <w:rPr>
                <w:b/>
              </w:rPr>
            </w:pPr>
            <w:r w:rsidRPr="00AD2022">
              <w:rPr>
                <w:b/>
              </w:rPr>
              <w:t>x</w:t>
            </w:r>
          </w:p>
        </w:tc>
      </w:tr>
      <w:tr w:rsidR="00AD2022" w:rsidRPr="00BB6799" w:rsidTr="00A86859">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5B6CF5">
            <w:pPr>
              <w:jc w:val="center"/>
              <w:rPr>
                <w:b/>
              </w:rPr>
            </w:pPr>
          </w:p>
        </w:tc>
      </w:tr>
      <w:tr w:rsidR="00AD2022" w:rsidRPr="00BB6799" w:rsidTr="00A86859">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5B6CF5">
            <w:pPr>
              <w:jc w:val="center"/>
              <w:rPr>
                <w:b/>
              </w:rPr>
            </w:pPr>
          </w:p>
        </w:tc>
      </w:tr>
      <w:tr w:rsidR="00AD2022" w:rsidRPr="00BB6799" w:rsidTr="00A86859">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5B6CF5">
            <w:pPr>
              <w:jc w:val="center"/>
              <w:rPr>
                <w:b/>
              </w:rPr>
            </w:pPr>
            <w:r w:rsidRPr="00AD2022">
              <w:rPr>
                <w:b/>
              </w:rPr>
              <w:t>x</w:t>
            </w:r>
          </w:p>
        </w:tc>
      </w:tr>
      <w:tr w:rsidR="005B6CF5" w:rsidRPr="00BB6799" w:rsidTr="00A86859">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Presupuestos</w:t>
            </w:r>
          </w:p>
        </w:tc>
        <w:tc>
          <w:tcPr>
            <w:tcW w:w="709" w:type="dxa"/>
          </w:tcPr>
          <w:p w:rsidR="005B6CF5" w:rsidRDefault="005B6CF5" w:rsidP="005B6CF5">
            <w:pPr>
              <w:jc w:val="center"/>
            </w:pPr>
            <w:r w:rsidRPr="00660093">
              <w:rPr>
                <w:b/>
              </w:rPr>
              <w:t>x</w:t>
            </w:r>
          </w:p>
        </w:tc>
      </w:tr>
      <w:tr w:rsidR="005B6CF5" w:rsidRPr="00BB6799" w:rsidTr="00A86859">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Ejecución presupuestaria</w:t>
            </w:r>
          </w:p>
        </w:tc>
        <w:tc>
          <w:tcPr>
            <w:tcW w:w="709" w:type="dxa"/>
          </w:tcPr>
          <w:p w:rsidR="005B6CF5" w:rsidRDefault="005B6CF5" w:rsidP="005B6CF5">
            <w:pPr>
              <w:jc w:val="center"/>
            </w:pPr>
          </w:p>
        </w:tc>
      </w:tr>
      <w:tr w:rsidR="00AD2022" w:rsidRPr="00BB6799" w:rsidTr="00A86859">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5B6CF5">
            <w:pPr>
              <w:jc w:val="center"/>
              <w:rPr>
                <w:b/>
              </w:rPr>
            </w:pPr>
          </w:p>
        </w:tc>
      </w:tr>
      <w:tr w:rsidR="00AD2022" w:rsidRPr="00BB6799" w:rsidTr="00A86859">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5B6CF5">
            <w:pPr>
              <w:jc w:val="center"/>
              <w:rPr>
                <w:b/>
              </w:rPr>
            </w:pPr>
          </w:p>
        </w:tc>
      </w:tr>
      <w:tr w:rsidR="005B6CF5" w:rsidRPr="00BB6799" w:rsidTr="00A86859">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Cuentas anuales</w:t>
            </w:r>
          </w:p>
        </w:tc>
        <w:tc>
          <w:tcPr>
            <w:tcW w:w="709" w:type="dxa"/>
          </w:tcPr>
          <w:p w:rsidR="005B6CF5" w:rsidRDefault="005B6CF5" w:rsidP="005B6CF5">
            <w:pPr>
              <w:jc w:val="center"/>
            </w:pPr>
            <w:r w:rsidRPr="006C6B88">
              <w:rPr>
                <w:b/>
              </w:rPr>
              <w:t>x</w:t>
            </w:r>
          </w:p>
        </w:tc>
      </w:tr>
      <w:tr w:rsidR="005B6CF5" w:rsidRPr="00BB6799" w:rsidTr="00A86859">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Informes de auditoría de cuentas y de fiscalización por órganos de control externo</w:t>
            </w:r>
          </w:p>
        </w:tc>
        <w:tc>
          <w:tcPr>
            <w:tcW w:w="709" w:type="dxa"/>
          </w:tcPr>
          <w:p w:rsidR="005B6CF5" w:rsidRDefault="005B6CF5" w:rsidP="005B6CF5">
            <w:pPr>
              <w:jc w:val="center"/>
            </w:pPr>
            <w:r w:rsidRPr="006C6B88">
              <w:rPr>
                <w:b/>
              </w:rPr>
              <w:t>x</w:t>
            </w:r>
          </w:p>
        </w:tc>
      </w:tr>
      <w:tr w:rsidR="005B6CF5" w:rsidRPr="00BB6799" w:rsidTr="00A86859">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Retribuciones anuales Altos Cargos y máximos responsables</w:t>
            </w:r>
          </w:p>
        </w:tc>
        <w:tc>
          <w:tcPr>
            <w:tcW w:w="709" w:type="dxa"/>
          </w:tcPr>
          <w:p w:rsidR="005B6CF5" w:rsidRDefault="005B6CF5" w:rsidP="005B6CF5">
            <w:pPr>
              <w:jc w:val="center"/>
            </w:pPr>
            <w:r w:rsidRPr="00F91FD8">
              <w:rPr>
                <w:b/>
              </w:rPr>
              <w:t>x</w:t>
            </w:r>
          </w:p>
        </w:tc>
      </w:tr>
      <w:tr w:rsidR="005B6CF5" w:rsidRPr="00BB6799" w:rsidTr="00A86859">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Indemnizaciones percibidas por Altos Cargos con ocasión del abandono del cargo</w:t>
            </w:r>
          </w:p>
        </w:tc>
        <w:tc>
          <w:tcPr>
            <w:tcW w:w="709" w:type="dxa"/>
          </w:tcPr>
          <w:p w:rsidR="005B6CF5" w:rsidRDefault="005B6CF5" w:rsidP="005B6CF5">
            <w:pPr>
              <w:jc w:val="center"/>
            </w:pPr>
            <w:r w:rsidRPr="00F91FD8">
              <w:rPr>
                <w:b/>
              </w:rPr>
              <w:t>x</w:t>
            </w:r>
          </w:p>
        </w:tc>
      </w:tr>
      <w:tr w:rsidR="00544E0C" w:rsidRPr="00BB6799" w:rsidTr="00A86859">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F86BF2" w:rsidP="005B6CF5">
            <w:pPr>
              <w:jc w:val="center"/>
            </w:pPr>
            <w:r w:rsidRPr="00F86BF2">
              <w:rPr>
                <w:b/>
              </w:rPr>
              <w:t>x</w:t>
            </w:r>
          </w:p>
        </w:tc>
      </w:tr>
      <w:tr w:rsidR="00544E0C" w:rsidRPr="00BB6799" w:rsidTr="00A86859">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F86BF2" w:rsidP="005B6CF5">
            <w:pPr>
              <w:jc w:val="center"/>
            </w:pPr>
            <w:r w:rsidRPr="00F86BF2">
              <w:rPr>
                <w:b/>
              </w:rPr>
              <w:t>x</w:t>
            </w:r>
          </w:p>
        </w:tc>
      </w:tr>
      <w:tr w:rsidR="005F29B8" w:rsidRPr="00BB6799" w:rsidTr="00A86859">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B6CF5">
            <w:pPr>
              <w:jc w:val="center"/>
            </w:pPr>
          </w:p>
        </w:tc>
      </w:tr>
      <w:tr w:rsidR="005F29B8" w:rsidRPr="00BB6799" w:rsidTr="00A86859">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B6CF5">
            <w:pPr>
              <w:jc w:val="center"/>
            </w:pPr>
          </w:p>
        </w:tc>
      </w:tr>
      <w:tr w:rsidR="00AD2022" w:rsidRPr="00BB6799" w:rsidTr="00A86859">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5B6CF5">
            <w:pPr>
              <w:jc w:val="center"/>
              <w:rPr>
                <w:b/>
              </w:rPr>
            </w:pPr>
          </w:p>
        </w:tc>
      </w:tr>
      <w:tr w:rsidR="00AD2022" w:rsidRPr="00BB6799" w:rsidTr="00A86859">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5B6CF5">
            <w:pPr>
              <w:jc w:val="center"/>
              <w:rPr>
                <w:b/>
              </w:rPr>
            </w:pPr>
          </w:p>
        </w:tc>
      </w:tr>
    </w:tbl>
    <w:p w:rsidR="00BB6799" w:rsidRDefault="00BB6799">
      <w:pPr>
        <w:rPr>
          <w:b/>
          <w:color w:val="00642D"/>
          <w:sz w:val="30"/>
          <w:szCs w:val="30"/>
        </w:rPr>
      </w:pPr>
    </w:p>
    <w:p w:rsidR="00B40246" w:rsidRPr="00E34195" w:rsidRDefault="00187D25"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9540B5" w:rsidP="00CB5511">
            <w:pPr>
              <w:jc w:val="center"/>
              <w:rPr>
                <w:b/>
                <w:sz w:val="20"/>
                <w:szCs w:val="20"/>
              </w:rPr>
            </w:pPr>
            <w:r>
              <w:rPr>
                <w:b/>
                <w:sz w:val="20"/>
                <w:szCs w:val="20"/>
              </w:rPr>
              <w:t>x</w:t>
            </w:r>
          </w:p>
        </w:tc>
        <w:tc>
          <w:tcPr>
            <w:tcW w:w="3969" w:type="dxa"/>
            <w:vMerge w:val="restart"/>
          </w:tcPr>
          <w:p w:rsidR="00CB5511" w:rsidRPr="000C6CFF" w:rsidRDefault="00C251BF" w:rsidP="009540B5">
            <w:pPr>
              <w:jc w:val="both"/>
              <w:rPr>
                <w:sz w:val="20"/>
                <w:szCs w:val="20"/>
              </w:rPr>
            </w:pPr>
            <w:r>
              <w:rPr>
                <w:sz w:val="20"/>
                <w:szCs w:val="20"/>
              </w:rPr>
              <w:t>El acceso al Portal de Transparencia se localiza en la parte inferior de la página home</w:t>
            </w:r>
            <w:r w:rsidR="009540B5">
              <w:rPr>
                <w:sz w:val="20"/>
                <w:szCs w:val="20"/>
              </w:rPr>
              <w:t>, en el apartado Información.</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bl>
    <w:p w:rsidR="00CB5511" w:rsidRDefault="00CB5511"/>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571783" w:rsidP="00CB5511">
            <w:pPr>
              <w:jc w:val="center"/>
              <w:rPr>
                <w:b/>
                <w:sz w:val="20"/>
                <w:szCs w:val="20"/>
              </w:rPr>
            </w:pPr>
            <w:r>
              <w:rPr>
                <w:b/>
                <w:sz w:val="20"/>
                <w:szCs w:val="20"/>
              </w:rPr>
              <w:t>x</w:t>
            </w:r>
          </w:p>
        </w:tc>
        <w:tc>
          <w:tcPr>
            <w:tcW w:w="3977" w:type="dxa"/>
            <w:vMerge w:val="restart"/>
          </w:tcPr>
          <w:p w:rsidR="00932008" w:rsidRPr="00932008" w:rsidRDefault="009540B5" w:rsidP="009540B5">
            <w:pPr>
              <w:jc w:val="both"/>
              <w:rPr>
                <w:sz w:val="20"/>
                <w:szCs w:val="20"/>
              </w:rPr>
            </w:pPr>
            <w:r>
              <w:rPr>
                <w:sz w:val="20"/>
                <w:szCs w:val="20"/>
              </w:rPr>
              <w:t xml:space="preserve">El Portal de Transparencia se estructura en cuatro apartados: Información institucional, organizativa y de planificación; Información económica, presupuestaria y estadística; Acceso a la información pública, y Política de protección de datos. </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561402" w:rsidRDefault="00561402"/>
    <w:p w:rsidR="009540B5" w:rsidRDefault="009540B5" w:rsidP="009540B5">
      <w:pPr>
        <w:jc w:val="center"/>
      </w:pPr>
      <w:r>
        <w:rPr>
          <w:noProof/>
        </w:rPr>
        <w:drawing>
          <wp:inline distT="0" distB="0" distL="0" distR="0">
            <wp:extent cx="6645910" cy="2018665"/>
            <wp:effectExtent l="0" t="0" r="2540" b="635"/>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8C99CF.tmp"/>
                    <pic:cNvPicPr/>
                  </pic:nvPicPr>
                  <pic:blipFill>
                    <a:blip r:embed="rId13">
                      <a:extLst>
                        <a:ext uri="{28A0092B-C50C-407E-A947-70E740481C1C}">
                          <a14:useLocalDpi xmlns:a14="http://schemas.microsoft.com/office/drawing/2010/main" val="0"/>
                        </a:ext>
                      </a:extLst>
                    </a:blip>
                    <a:stretch>
                      <a:fillRect/>
                    </a:stretch>
                  </pic:blipFill>
                  <pic:spPr>
                    <a:xfrm>
                      <a:off x="0" y="0"/>
                      <a:ext cx="6645910" cy="2018665"/>
                    </a:xfrm>
                    <a:prstGeom prst="rect">
                      <a:avLst/>
                    </a:prstGeom>
                  </pic:spPr>
                </pic:pic>
              </a:graphicData>
            </a:graphic>
          </wp:inline>
        </w:drawing>
      </w:r>
    </w:p>
    <w:p w:rsidR="009540B5" w:rsidRDefault="009540B5"/>
    <w:p w:rsidR="009540B5" w:rsidRDefault="009540B5" w:rsidP="009540B5">
      <w:pPr>
        <w:jc w:val="center"/>
      </w:pPr>
      <w:r>
        <w:rPr>
          <w:noProof/>
        </w:rPr>
        <w:drawing>
          <wp:inline distT="0" distB="0" distL="0" distR="0">
            <wp:extent cx="6635762" cy="2028825"/>
            <wp:effectExtent l="0" t="0" r="0" b="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8CC41.tmp"/>
                    <pic:cNvPicPr/>
                  </pic:nvPicPr>
                  <pic:blipFill>
                    <a:blip r:embed="rId14">
                      <a:extLst>
                        <a:ext uri="{28A0092B-C50C-407E-A947-70E740481C1C}">
                          <a14:useLocalDpi xmlns:a14="http://schemas.microsoft.com/office/drawing/2010/main" val="0"/>
                        </a:ext>
                      </a:extLst>
                    </a:blip>
                    <a:stretch>
                      <a:fillRect/>
                    </a:stretch>
                  </pic:blipFill>
                  <pic:spPr>
                    <a:xfrm>
                      <a:off x="0" y="0"/>
                      <a:ext cx="6645910" cy="2031928"/>
                    </a:xfrm>
                    <a:prstGeom prst="rect">
                      <a:avLst/>
                    </a:prstGeom>
                  </pic:spPr>
                </pic:pic>
              </a:graphicData>
            </a:graphic>
          </wp:inline>
        </w:drawing>
      </w:r>
    </w:p>
    <w:p w:rsidR="00C12508" w:rsidRDefault="00000151" w:rsidP="009540B5">
      <w:pPr>
        <w:jc w:val="center"/>
      </w:pPr>
      <w:r>
        <w:rPr>
          <w:noProof/>
        </w:rPr>
        <w:lastRenderedPageBreak/>
        <w:drawing>
          <wp:inline distT="0" distB="0" distL="0" distR="0">
            <wp:extent cx="6645910" cy="3354705"/>
            <wp:effectExtent l="0" t="0" r="2540" b="0"/>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A1F4.tmp"/>
                    <pic:cNvPicPr/>
                  </pic:nvPicPr>
                  <pic:blipFill>
                    <a:blip r:embed="rId15">
                      <a:extLst>
                        <a:ext uri="{28A0092B-C50C-407E-A947-70E740481C1C}">
                          <a14:useLocalDpi xmlns:a14="http://schemas.microsoft.com/office/drawing/2010/main" val="0"/>
                        </a:ext>
                      </a:extLst>
                    </a:blip>
                    <a:stretch>
                      <a:fillRect/>
                    </a:stretch>
                  </pic:blipFill>
                  <pic:spPr>
                    <a:xfrm>
                      <a:off x="0" y="0"/>
                      <a:ext cx="6645910" cy="3354705"/>
                    </a:xfrm>
                    <a:prstGeom prst="rect">
                      <a:avLst/>
                    </a:prstGeom>
                  </pic:spPr>
                </pic:pic>
              </a:graphicData>
            </a:graphic>
          </wp:inline>
        </w:drawing>
      </w:r>
    </w:p>
    <w:p w:rsidR="00000151" w:rsidRDefault="00000151" w:rsidP="009540B5">
      <w:pPr>
        <w:jc w:val="center"/>
      </w:pPr>
      <w:r>
        <w:rPr>
          <w:noProof/>
        </w:rPr>
        <w:drawing>
          <wp:inline distT="0" distB="0" distL="0" distR="0">
            <wp:extent cx="2495550" cy="190500"/>
            <wp:effectExtent l="0" t="0" r="0" b="0"/>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F044.tmp"/>
                    <pic:cNvPicPr/>
                  </pic:nvPicPr>
                  <pic:blipFill>
                    <a:blip r:embed="rId16">
                      <a:extLst>
                        <a:ext uri="{28A0092B-C50C-407E-A947-70E740481C1C}">
                          <a14:useLocalDpi xmlns:a14="http://schemas.microsoft.com/office/drawing/2010/main" val="0"/>
                        </a:ext>
                      </a:extLst>
                    </a:blip>
                    <a:stretch>
                      <a:fillRect/>
                    </a:stretch>
                  </pic:blipFill>
                  <pic:spPr>
                    <a:xfrm>
                      <a:off x="0" y="0"/>
                      <a:ext cx="2495904" cy="190527"/>
                    </a:xfrm>
                    <a:prstGeom prst="rect">
                      <a:avLst/>
                    </a:prstGeom>
                  </pic:spPr>
                </pic:pic>
              </a:graphicData>
            </a:graphic>
          </wp:inline>
        </w:drawing>
      </w:r>
    </w:p>
    <w:p w:rsidR="00C12508" w:rsidRDefault="00C12508" w:rsidP="00C12508">
      <w:pPr>
        <w:jc w:val="center"/>
      </w:pPr>
      <w:r>
        <w:rPr>
          <w:noProof/>
        </w:rPr>
        <w:drawing>
          <wp:inline distT="0" distB="0" distL="0" distR="0" wp14:anchorId="15B50375" wp14:editId="5C524CD6">
            <wp:extent cx="2533650" cy="257175"/>
            <wp:effectExtent l="0" t="0" r="0" b="9525"/>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7C9D.tmp"/>
                    <pic:cNvPicPr/>
                  </pic:nvPicPr>
                  <pic:blipFill>
                    <a:blip r:embed="rId17">
                      <a:extLst>
                        <a:ext uri="{28A0092B-C50C-407E-A947-70E740481C1C}">
                          <a14:useLocalDpi xmlns:a14="http://schemas.microsoft.com/office/drawing/2010/main" val="0"/>
                        </a:ext>
                      </a:extLst>
                    </a:blip>
                    <a:stretch>
                      <a:fillRect/>
                    </a:stretch>
                  </pic:blipFill>
                  <pic:spPr>
                    <a:xfrm>
                      <a:off x="0" y="0"/>
                      <a:ext cx="2533650" cy="257175"/>
                    </a:xfrm>
                    <a:prstGeom prst="rect">
                      <a:avLst/>
                    </a:prstGeom>
                  </pic:spPr>
                </pic:pic>
              </a:graphicData>
            </a:graphic>
          </wp:inline>
        </w:drawing>
      </w:r>
    </w:p>
    <w:p w:rsidR="00C12508" w:rsidRDefault="00C12508" w:rsidP="00C12508">
      <w:pPr>
        <w:jc w:val="center"/>
      </w:pPr>
      <w:r>
        <w:rPr>
          <w:noProof/>
        </w:rPr>
        <w:drawing>
          <wp:inline distT="0" distB="0" distL="0" distR="0">
            <wp:extent cx="2000250" cy="238125"/>
            <wp:effectExtent l="0" t="0" r="0" b="9525"/>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463F.tmp"/>
                    <pic:cNvPicPr/>
                  </pic:nvPicPr>
                  <pic:blipFill>
                    <a:blip r:embed="rId18">
                      <a:extLst>
                        <a:ext uri="{28A0092B-C50C-407E-A947-70E740481C1C}">
                          <a14:useLocalDpi xmlns:a14="http://schemas.microsoft.com/office/drawing/2010/main" val="0"/>
                        </a:ext>
                      </a:extLst>
                    </a:blip>
                    <a:stretch>
                      <a:fillRect/>
                    </a:stretch>
                  </pic:blipFill>
                  <pic:spPr>
                    <a:xfrm>
                      <a:off x="0" y="0"/>
                      <a:ext cx="2000533" cy="238159"/>
                    </a:xfrm>
                    <a:prstGeom prst="rect">
                      <a:avLst/>
                    </a:prstGeom>
                  </pic:spPr>
                </pic:pic>
              </a:graphicData>
            </a:graphic>
          </wp:inline>
        </w:drawing>
      </w:r>
    </w:p>
    <w:p w:rsidR="00C12508" w:rsidRDefault="00C12508" w:rsidP="00C12508">
      <w:pPr>
        <w:jc w:val="center"/>
      </w:pPr>
      <w:r>
        <w:rPr>
          <w:noProof/>
        </w:rPr>
        <w:drawing>
          <wp:inline distT="0" distB="0" distL="0" distR="0">
            <wp:extent cx="1676400" cy="152400"/>
            <wp:effectExtent l="0" t="0" r="0" b="0"/>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9579.tmp"/>
                    <pic:cNvPicPr/>
                  </pic:nvPicPr>
                  <pic:blipFill>
                    <a:blip r:embed="rId19">
                      <a:extLst>
                        <a:ext uri="{28A0092B-C50C-407E-A947-70E740481C1C}">
                          <a14:useLocalDpi xmlns:a14="http://schemas.microsoft.com/office/drawing/2010/main" val="0"/>
                        </a:ext>
                      </a:extLst>
                    </a:blip>
                    <a:stretch>
                      <a:fillRect/>
                    </a:stretch>
                  </pic:blipFill>
                  <pic:spPr>
                    <a:xfrm>
                      <a:off x="0" y="0"/>
                      <a:ext cx="1676637" cy="152422"/>
                    </a:xfrm>
                    <a:prstGeom prst="rect">
                      <a:avLst/>
                    </a:prstGeom>
                  </pic:spPr>
                </pic:pic>
              </a:graphicData>
            </a:graphic>
          </wp:inline>
        </w:drawing>
      </w:r>
    </w:p>
    <w:p w:rsidR="00561402" w:rsidRDefault="00561402">
      <w:r>
        <w:br w:type="page"/>
      </w: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5278E7" w:rsidRPr="00CB5511" w:rsidTr="00F47C3B">
        <w:tc>
          <w:tcPr>
            <w:tcW w:w="1591" w:type="dxa"/>
            <w:vMerge w:val="restart"/>
            <w:tcBorders>
              <w:right w:val="single" w:sz="4" w:space="0" w:color="00642D"/>
            </w:tcBorders>
            <w:shd w:val="clear" w:color="auto" w:fill="00642D"/>
            <w:textDirection w:val="btLr"/>
            <w:vAlign w:val="center"/>
          </w:tcPr>
          <w:p w:rsidR="005278E7" w:rsidRPr="00E34195" w:rsidRDefault="005278E7" w:rsidP="005278E7">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5278E7" w:rsidRPr="00CB5511" w:rsidRDefault="005278E7"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5278E7" w:rsidRPr="00CB5511" w:rsidRDefault="005278E7" w:rsidP="00B616B3">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5278E7" w:rsidRPr="00CC2B4E" w:rsidRDefault="005278E7" w:rsidP="00E3088D">
            <w:pPr>
              <w:pStyle w:val="Cuerpodelboletn"/>
              <w:spacing w:before="120" w:after="120" w:line="312" w:lineRule="auto"/>
              <w:rPr>
                <w:rStyle w:val="Ttulo2Car"/>
                <w:b w:val="0"/>
                <w:sz w:val="20"/>
                <w:szCs w:val="20"/>
                <w:lang w:bidi="es-ES"/>
              </w:rPr>
            </w:pPr>
            <w:r w:rsidRPr="00CC2B4E">
              <w:rPr>
                <w:rStyle w:val="Ttulo2Car"/>
                <w:b w:val="0"/>
                <w:color w:val="auto"/>
                <w:sz w:val="20"/>
                <w:szCs w:val="20"/>
                <w:lang w:bidi="es-ES"/>
              </w:rPr>
              <w:t>Localizable en el Portal de Transparencia/Información institucional, organizativa y de planificación/Normativa de aplicación. La última actualización es de noviembre de 2022.</w:t>
            </w:r>
          </w:p>
        </w:tc>
      </w:tr>
      <w:tr w:rsidR="005278E7" w:rsidRPr="00CB5511" w:rsidTr="00F47C3B">
        <w:trPr>
          <w:trHeight w:val="325"/>
        </w:trPr>
        <w:tc>
          <w:tcPr>
            <w:tcW w:w="1591" w:type="dxa"/>
            <w:vMerge/>
            <w:tcBorders>
              <w:right w:val="single" w:sz="4" w:space="0" w:color="00642D"/>
            </w:tcBorders>
            <w:shd w:val="clear" w:color="auto" w:fill="00642D"/>
          </w:tcPr>
          <w:p w:rsidR="005278E7" w:rsidRPr="00E34195" w:rsidRDefault="005278E7"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5278E7" w:rsidRPr="00CB5511" w:rsidRDefault="005278E7"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5278E7" w:rsidRPr="00CB5511" w:rsidRDefault="005278E7" w:rsidP="00CC2B4E">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5278E7" w:rsidRPr="00CC2B4E" w:rsidRDefault="005278E7" w:rsidP="00E3088D">
            <w:pPr>
              <w:pStyle w:val="Cuerpodelboletn"/>
              <w:spacing w:before="120" w:after="120" w:line="312" w:lineRule="auto"/>
              <w:rPr>
                <w:rStyle w:val="Ttulo2Car"/>
                <w:b w:val="0"/>
                <w:sz w:val="20"/>
                <w:szCs w:val="20"/>
                <w:lang w:bidi="es-ES"/>
              </w:rPr>
            </w:pPr>
            <w:r>
              <w:rPr>
                <w:rStyle w:val="Ttulo2Car"/>
                <w:b w:val="0"/>
                <w:color w:val="auto"/>
                <w:sz w:val="20"/>
                <w:szCs w:val="20"/>
                <w:lang w:bidi="es-ES"/>
              </w:rPr>
              <w:t xml:space="preserve">Localizable en </w:t>
            </w:r>
            <w:r w:rsidRPr="00CC2B4E">
              <w:rPr>
                <w:rStyle w:val="Ttulo2Car"/>
                <w:b w:val="0"/>
                <w:color w:val="auto"/>
                <w:sz w:val="20"/>
                <w:szCs w:val="20"/>
                <w:lang w:bidi="es-ES"/>
              </w:rPr>
              <w:t>el Portal de Transparencia/Información institucional, organizativa y de planificaci</w:t>
            </w:r>
            <w:r>
              <w:rPr>
                <w:rStyle w:val="Ttulo2Car"/>
                <w:b w:val="0"/>
                <w:color w:val="auto"/>
                <w:sz w:val="20"/>
                <w:szCs w:val="20"/>
                <w:lang w:bidi="es-ES"/>
              </w:rPr>
              <w:t>ón, pinchando en fundación Instituto Iberoamericano de Mercados de Valores</w:t>
            </w:r>
            <w:r w:rsidRPr="00CC2B4E">
              <w:rPr>
                <w:rStyle w:val="Ttulo2Car"/>
                <w:b w:val="0"/>
                <w:color w:val="auto"/>
                <w:sz w:val="20"/>
                <w:szCs w:val="20"/>
                <w:lang w:bidi="es-ES"/>
              </w:rPr>
              <w:t>.</w:t>
            </w:r>
            <w:r w:rsidR="002069CA">
              <w:rPr>
                <w:rStyle w:val="Ttulo2Car"/>
                <w:b w:val="0"/>
                <w:color w:val="auto"/>
                <w:sz w:val="20"/>
                <w:szCs w:val="20"/>
                <w:lang w:bidi="es-ES"/>
              </w:rPr>
              <w:t xml:space="preserve"> </w:t>
            </w:r>
            <w:r w:rsidR="002069CA" w:rsidRPr="00F43572">
              <w:rPr>
                <w:rStyle w:val="Ttulo2Car"/>
                <w:b w:val="0"/>
                <w:color w:val="auto"/>
                <w:sz w:val="20"/>
                <w:szCs w:val="20"/>
                <w:lang w:bidi="es-ES"/>
              </w:rPr>
              <w:t>La información no está datada y tampoco se publica la fecha de la última actualización o revisión de la información</w:t>
            </w:r>
            <w:r w:rsidR="002069CA">
              <w:rPr>
                <w:rStyle w:val="Ttulo2Car"/>
                <w:b w:val="0"/>
                <w:color w:val="auto"/>
                <w:sz w:val="20"/>
                <w:szCs w:val="20"/>
                <w:lang w:bidi="es-ES"/>
              </w:rPr>
              <w:t>.</w:t>
            </w:r>
          </w:p>
        </w:tc>
      </w:tr>
      <w:tr w:rsidR="005278E7" w:rsidRPr="00CB5511" w:rsidTr="00F47C3B">
        <w:trPr>
          <w:trHeight w:val="325"/>
        </w:trPr>
        <w:tc>
          <w:tcPr>
            <w:tcW w:w="1591" w:type="dxa"/>
            <w:vMerge/>
            <w:tcBorders>
              <w:right w:val="single" w:sz="4" w:space="0" w:color="00642D"/>
            </w:tcBorders>
            <w:shd w:val="clear" w:color="auto" w:fill="00642D"/>
          </w:tcPr>
          <w:p w:rsidR="005278E7" w:rsidRPr="00E34195" w:rsidRDefault="005278E7"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5278E7" w:rsidRPr="00CB5511" w:rsidRDefault="005278E7" w:rsidP="005278E7">
            <w:pPr>
              <w:rPr>
                <w:rStyle w:val="Ttulo2Car"/>
                <w:b w:val="0"/>
                <w:color w:val="auto"/>
                <w:sz w:val="20"/>
                <w:szCs w:val="20"/>
                <w:lang w:bidi="es-ES"/>
              </w:rPr>
            </w:pPr>
            <w:r>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rsidR="005278E7" w:rsidRPr="00CB5511" w:rsidRDefault="005278E7" w:rsidP="005278E7">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5278E7" w:rsidRPr="000461C0" w:rsidRDefault="005278E7" w:rsidP="00C251BF">
            <w:pPr>
              <w:pStyle w:val="Cuerpodelboletn"/>
              <w:spacing w:before="120" w:after="120" w:line="312" w:lineRule="auto"/>
              <w:rPr>
                <w:rStyle w:val="Ttulo2Car"/>
                <w:b w:val="0"/>
                <w:color w:val="auto"/>
                <w:sz w:val="20"/>
                <w:szCs w:val="20"/>
                <w:lang w:bidi="es-ES"/>
              </w:rPr>
            </w:pPr>
            <w:r w:rsidRPr="005278E7">
              <w:rPr>
                <w:rStyle w:val="Ttulo2Car"/>
                <w:b w:val="0"/>
                <w:color w:val="auto"/>
                <w:sz w:val="20"/>
                <w:szCs w:val="20"/>
                <w:lang w:bidi="es-ES"/>
              </w:rPr>
              <w:t xml:space="preserve">Aunque en el Portal de Transparencia </w:t>
            </w:r>
            <w:r w:rsidR="00C251BF">
              <w:rPr>
                <w:rStyle w:val="Ttulo2Car"/>
                <w:b w:val="0"/>
                <w:color w:val="auto"/>
                <w:sz w:val="20"/>
                <w:szCs w:val="20"/>
                <w:lang w:bidi="es-ES"/>
              </w:rPr>
              <w:t>existe</w:t>
            </w:r>
            <w:r w:rsidRPr="005278E7">
              <w:rPr>
                <w:rStyle w:val="Ttulo2Car"/>
                <w:b w:val="0"/>
                <w:color w:val="auto"/>
                <w:sz w:val="20"/>
                <w:szCs w:val="20"/>
                <w:lang w:bidi="es-ES"/>
              </w:rPr>
              <w:t xml:space="preserve"> un apartado de Política de protección de datos de la entidad, no se ha localizado el Registro de Actividades de Tratamiento.</w:t>
            </w:r>
          </w:p>
        </w:tc>
      </w:tr>
      <w:tr w:rsidR="005278E7" w:rsidRPr="00CB5511" w:rsidTr="00F47C3B">
        <w:tc>
          <w:tcPr>
            <w:tcW w:w="1591" w:type="dxa"/>
            <w:vMerge w:val="restart"/>
            <w:tcBorders>
              <w:right w:val="single" w:sz="4" w:space="0" w:color="00642D"/>
            </w:tcBorders>
            <w:shd w:val="clear" w:color="auto" w:fill="00642D"/>
            <w:textDirection w:val="btLr"/>
            <w:vAlign w:val="center"/>
          </w:tcPr>
          <w:p w:rsidR="005278E7" w:rsidRPr="00E34195" w:rsidRDefault="005278E7"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5278E7" w:rsidRPr="00CB5511" w:rsidRDefault="005278E7"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5278E7" w:rsidRPr="00CB5511" w:rsidRDefault="005278E7" w:rsidP="005278E7">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5278E7" w:rsidRPr="00CC2B4E" w:rsidRDefault="005278E7" w:rsidP="00C251BF">
            <w:pPr>
              <w:pStyle w:val="Cuerpodelboletn"/>
              <w:spacing w:before="120" w:after="120" w:line="312" w:lineRule="auto"/>
              <w:rPr>
                <w:rStyle w:val="Ttulo2Car"/>
                <w:b w:val="0"/>
                <w:sz w:val="20"/>
                <w:szCs w:val="20"/>
                <w:lang w:bidi="es-ES"/>
              </w:rPr>
            </w:pPr>
            <w:r>
              <w:rPr>
                <w:rStyle w:val="Ttulo2Car"/>
                <w:b w:val="0"/>
                <w:color w:val="auto"/>
                <w:sz w:val="20"/>
                <w:szCs w:val="20"/>
                <w:lang w:bidi="es-ES"/>
              </w:rPr>
              <w:t xml:space="preserve">Localizable, </w:t>
            </w:r>
            <w:r w:rsidR="00C251BF">
              <w:rPr>
                <w:rStyle w:val="Ttulo2Car"/>
                <w:b w:val="0"/>
                <w:color w:val="auto"/>
                <w:sz w:val="20"/>
                <w:szCs w:val="20"/>
                <w:lang w:bidi="es-ES"/>
              </w:rPr>
              <w:t>en el acceso Órganos</w:t>
            </w:r>
            <w:r w:rsidRPr="00CC2B4E">
              <w:rPr>
                <w:rStyle w:val="Ttulo2Car"/>
                <w:b w:val="0"/>
                <w:color w:val="auto"/>
                <w:sz w:val="20"/>
                <w:szCs w:val="20"/>
                <w:lang w:bidi="es-ES"/>
              </w:rPr>
              <w:t>.</w:t>
            </w:r>
            <w:r w:rsidR="002069CA">
              <w:rPr>
                <w:rStyle w:val="Ttulo2Car"/>
                <w:b w:val="0"/>
                <w:color w:val="auto"/>
                <w:sz w:val="20"/>
                <w:szCs w:val="20"/>
                <w:lang w:bidi="es-ES"/>
              </w:rPr>
              <w:t xml:space="preserve"> </w:t>
            </w:r>
            <w:r w:rsidR="002069CA" w:rsidRPr="00F43572">
              <w:rPr>
                <w:rStyle w:val="Ttulo2Car"/>
                <w:b w:val="0"/>
                <w:color w:val="auto"/>
                <w:sz w:val="20"/>
                <w:szCs w:val="20"/>
                <w:lang w:bidi="es-ES"/>
              </w:rPr>
              <w:t>La información no está datada y tampoco se publica la fecha de la última actualización o revisión de la información</w:t>
            </w:r>
            <w:r w:rsidR="002069CA">
              <w:rPr>
                <w:rStyle w:val="Ttulo2Car"/>
                <w:b w:val="0"/>
                <w:color w:val="auto"/>
                <w:sz w:val="20"/>
                <w:szCs w:val="20"/>
                <w:lang w:bidi="es-ES"/>
              </w:rPr>
              <w:t>.</w:t>
            </w:r>
          </w:p>
        </w:tc>
      </w:tr>
      <w:tr w:rsidR="005278E7" w:rsidRPr="00CB5511" w:rsidTr="00F47C3B">
        <w:tc>
          <w:tcPr>
            <w:tcW w:w="1591" w:type="dxa"/>
            <w:vMerge/>
            <w:tcBorders>
              <w:right w:val="single" w:sz="4" w:space="0" w:color="00642D"/>
            </w:tcBorders>
            <w:shd w:val="clear" w:color="auto" w:fill="00642D"/>
          </w:tcPr>
          <w:p w:rsidR="005278E7" w:rsidRPr="00CB5511" w:rsidRDefault="005278E7"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5278E7" w:rsidRPr="00E34195" w:rsidRDefault="005278E7"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5278E7" w:rsidRPr="00CB5511" w:rsidRDefault="005278E7" w:rsidP="002069CA">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5278E7" w:rsidRPr="007143FA" w:rsidRDefault="002069CA" w:rsidP="00C251BF">
            <w:pPr>
              <w:pStyle w:val="Cuerpodelboletn"/>
              <w:spacing w:before="120" w:after="120" w:line="312" w:lineRule="auto"/>
              <w:rPr>
                <w:rStyle w:val="Ttulo2Car"/>
                <w:b w:val="0"/>
                <w:sz w:val="20"/>
                <w:szCs w:val="20"/>
                <w:lang w:bidi="es-ES"/>
              </w:rPr>
            </w:pPr>
            <w:r>
              <w:rPr>
                <w:rStyle w:val="Ttulo2Car"/>
                <w:b w:val="0"/>
                <w:color w:val="auto"/>
                <w:sz w:val="20"/>
                <w:szCs w:val="20"/>
                <w:lang w:bidi="es-ES"/>
              </w:rPr>
              <w:t xml:space="preserve">Localizable, </w:t>
            </w:r>
            <w:r w:rsidR="00C251BF">
              <w:rPr>
                <w:rStyle w:val="Ttulo2Car"/>
                <w:b w:val="0"/>
                <w:color w:val="auto"/>
                <w:sz w:val="20"/>
                <w:szCs w:val="20"/>
                <w:lang w:bidi="es-ES"/>
              </w:rPr>
              <w:t>en el acceso Órganos</w:t>
            </w:r>
            <w:r w:rsidRPr="00CC2B4E">
              <w:rPr>
                <w:rStyle w:val="Ttulo2Car"/>
                <w:b w:val="0"/>
                <w:color w:val="auto"/>
                <w:sz w:val="20"/>
                <w:szCs w:val="20"/>
                <w:lang w:bidi="es-ES"/>
              </w:rPr>
              <w:t>.</w:t>
            </w:r>
            <w:r>
              <w:rPr>
                <w:rStyle w:val="Ttulo2Car"/>
                <w:b w:val="0"/>
                <w:color w:val="auto"/>
                <w:sz w:val="20"/>
                <w:szCs w:val="20"/>
                <w:lang w:bidi="es-ES"/>
              </w:rPr>
              <w:t xml:space="preserve"> </w:t>
            </w:r>
            <w:r w:rsidRPr="00F43572">
              <w:rPr>
                <w:rStyle w:val="Ttulo2Car"/>
                <w:b w:val="0"/>
                <w:color w:val="auto"/>
                <w:sz w:val="20"/>
                <w:szCs w:val="20"/>
                <w:lang w:bidi="es-ES"/>
              </w:rPr>
              <w:t>La información no está datada y tampoco se publica la fecha de la última actualización o revisión de la información</w:t>
            </w:r>
            <w:r>
              <w:rPr>
                <w:rStyle w:val="Ttulo2Car"/>
                <w:b w:val="0"/>
                <w:color w:val="auto"/>
                <w:sz w:val="20"/>
                <w:szCs w:val="20"/>
                <w:lang w:bidi="es-ES"/>
              </w:rPr>
              <w:t>.</w:t>
            </w:r>
          </w:p>
        </w:tc>
      </w:tr>
      <w:tr w:rsidR="005278E7" w:rsidRPr="00CB5511" w:rsidTr="00F47C3B">
        <w:tc>
          <w:tcPr>
            <w:tcW w:w="1591" w:type="dxa"/>
            <w:vMerge/>
            <w:tcBorders>
              <w:right w:val="single" w:sz="4" w:space="0" w:color="00642D"/>
            </w:tcBorders>
            <w:shd w:val="clear" w:color="auto" w:fill="00642D"/>
          </w:tcPr>
          <w:p w:rsidR="005278E7" w:rsidRPr="00CB5511" w:rsidRDefault="005278E7"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5278E7" w:rsidRPr="00E34195" w:rsidRDefault="005278E7"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5278E7" w:rsidRPr="00CB5511" w:rsidRDefault="005278E7" w:rsidP="007143FA">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5278E7" w:rsidRPr="007143FA" w:rsidRDefault="00C251BF" w:rsidP="00C251BF">
            <w:pPr>
              <w:pStyle w:val="Cuerpodelboletn"/>
              <w:spacing w:before="120" w:after="120" w:line="312" w:lineRule="auto"/>
              <w:rPr>
                <w:rStyle w:val="Ttulo2Car"/>
                <w:b w:val="0"/>
                <w:sz w:val="20"/>
                <w:szCs w:val="20"/>
                <w:lang w:bidi="es-ES"/>
              </w:rPr>
            </w:pPr>
            <w:r>
              <w:rPr>
                <w:rStyle w:val="Ttulo2Car"/>
                <w:b w:val="0"/>
                <w:color w:val="auto"/>
                <w:sz w:val="20"/>
                <w:szCs w:val="20"/>
                <w:lang w:bidi="es-ES"/>
              </w:rPr>
              <w:t>L</w:t>
            </w:r>
            <w:r w:rsidR="005278E7" w:rsidRPr="007143FA">
              <w:rPr>
                <w:rStyle w:val="Ttulo2Car"/>
                <w:b w:val="0"/>
                <w:color w:val="auto"/>
                <w:sz w:val="20"/>
                <w:szCs w:val="20"/>
                <w:lang w:bidi="es-ES"/>
              </w:rPr>
              <w:t>ocalizable en el Portal de Transparencia/Información institucional, organizativa y de planificación</w:t>
            </w:r>
            <w:r w:rsidR="005278E7">
              <w:rPr>
                <w:rStyle w:val="Ttulo2Car"/>
                <w:b w:val="0"/>
                <w:color w:val="auto"/>
                <w:sz w:val="20"/>
                <w:szCs w:val="20"/>
                <w:lang w:bidi="es-ES"/>
              </w:rPr>
              <w:t xml:space="preserve">. En el Portal de Transparencia/Información económica, presupuestaria y estadística/Altos directivos, también se identifica </w:t>
            </w:r>
            <w:r>
              <w:rPr>
                <w:rStyle w:val="Ttulo2Car"/>
                <w:b w:val="0"/>
                <w:color w:val="auto"/>
                <w:sz w:val="20"/>
                <w:szCs w:val="20"/>
                <w:lang w:bidi="es-ES"/>
              </w:rPr>
              <w:t>al Secretario General</w:t>
            </w:r>
            <w:r w:rsidR="005278E7">
              <w:rPr>
                <w:rStyle w:val="Ttulo2Car"/>
                <w:b w:val="0"/>
                <w:color w:val="auto"/>
                <w:sz w:val="20"/>
                <w:szCs w:val="20"/>
                <w:lang w:bidi="es-ES"/>
              </w:rPr>
              <w:t xml:space="preserve"> </w:t>
            </w:r>
          </w:p>
        </w:tc>
      </w:tr>
      <w:tr w:rsidR="005278E7" w:rsidRPr="00CB5511" w:rsidTr="00F47C3B">
        <w:tc>
          <w:tcPr>
            <w:tcW w:w="1591" w:type="dxa"/>
            <w:vMerge/>
            <w:tcBorders>
              <w:right w:val="single" w:sz="4" w:space="0" w:color="00642D"/>
            </w:tcBorders>
            <w:shd w:val="clear" w:color="auto" w:fill="00642D"/>
          </w:tcPr>
          <w:p w:rsidR="005278E7" w:rsidRPr="00CB5511" w:rsidRDefault="005278E7"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5278E7" w:rsidRPr="00E34195" w:rsidRDefault="005278E7"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5278E7" w:rsidRPr="00CB5511" w:rsidRDefault="005278E7" w:rsidP="004B6DF1">
            <w:pPr>
              <w:pStyle w:val="Cuerpodelboletn"/>
              <w:numPr>
                <w:ilvl w:val="0"/>
                <w:numId w:val="1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5278E7" w:rsidRPr="00073111" w:rsidRDefault="00B7253E" w:rsidP="00C251BF">
            <w:pPr>
              <w:pStyle w:val="Cuerpodelboletn"/>
              <w:spacing w:before="120" w:after="120" w:line="312" w:lineRule="auto"/>
              <w:rPr>
                <w:rStyle w:val="Ttulo2Car"/>
                <w:b w:val="0"/>
                <w:sz w:val="20"/>
                <w:szCs w:val="20"/>
                <w:lang w:bidi="es-ES"/>
              </w:rPr>
            </w:pPr>
            <w:r>
              <w:rPr>
                <w:rStyle w:val="Ttulo2Car"/>
                <w:b w:val="0"/>
                <w:color w:val="auto"/>
                <w:sz w:val="20"/>
                <w:szCs w:val="20"/>
                <w:lang w:bidi="es-ES"/>
              </w:rPr>
              <w:t xml:space="preserve">Localizable, </w:t>
            </w:r>
            <w:r w:rsidR="00B43464">
              <w:rPr>
                <w:rStyle w:val="Ttulo2Car"/>
                <w:b w:val="0"/>
                <w:color w:val="auto"/>
                <w:sz w:val="20"/>
                <w:szCs w:val="20"/>
                <w:lang w:bidi="es-ES"/>
              </w:rPr>
              <w:t>en</w:t>
            </w:r>
            <w:r>
              <w:rPr>
                <w:rStyle w:val="Ttulo2Car"/>
                <w:b w:val="0"/>
                <w:color w:val="auto"/>
                <w:sz w:val="20"/>
                <w:szCs w:val="20"/>
                <w:lang w:bidi="es-ES"/>
              </w:rPr>
              <w:t xml:space="preserve"> </w:t>
            </w:r>
            <w:r w:rsidR="00B43464">
              <w:rPr>
                <w:rStyle w:val="Ttulo2Car"/>
                <w:b w:val="0"/>
                <w:color w:val="auto"/>
                <w:sz w:val="20"/>
                <w:szCs w:val="20"/>
                <w:lang w:bidi="es-ES"/>
              </w:rPr>
              <w:t>el acceso</w:t>
            </w:r>
            <w:r>
              <w:rPr>
                <w:rStyle w:val="Ttulo2Car"/>
                <w:b w:val="0"/>
                <w:color w:val="auto"/>
                <w:sz w:val="20"/>
                <w:szCs w:val="20"/>
                <w:lang w:bidi="es-ES"/>
              </w:rPr>
              <w:t xml:space="preserve"> Órganos, solo el perfil del Presidente de la Comisión Nacional del Mercado de Valores de España</w:t>
            </w:r>
            <w:r w:rsidR="005278E7" w:rsidRPr="00073111">
              <w:rPr>
                <w:rStyle w:val="Ttulo2Car"/>
                <w:b w:val="0"/>
                <w:color w:val="auto"/>
                <w:sz w:val="20"/>
                <w:szCs w:val="20"/>
                <w:lang w:bidi="es-ES"/>
              </w:rPr>
              <w:t>.</w:t>
            </w:r>
            <w:r w:rsidR="007B3939">
              <w:rPr>
                <w:rStyle w:val="Ttulo2Car"/>
                <w:b w:val="0"/>
                <w:color w:val="auto"/>
                <w:sz w:val="20"/>
                <w:szCs w:val="20"/>
                <w:lang w:bidi="es-ES"/>
              </w:rPr>
              <w:t xml:space="preserve"> </w:t>
            </w:r>
            <w:r w:rsidR="00B43464" w:rsidRPr="007B3939">
              <w:rPr>
                <w:rStyle w:val="Ttulo2Car"/>
                <w:b w:val="0"/>
                <w:color w:val="auto"/>
                <w:sz w:val="20"/>
                <w:szCs w:val="20"/>
                <w:lang w:bidi="es-ES"/>
              </w:rPr>
              <w:t>Por otra parte, las personas que integran los diferentes órganos de gobierno, forman parte de ellos representando a di</w:t>
            </w:r>
            <w:r w:rsidR="00C251BF">
              <w:rPr>
                <w:rStyle w:val="Ttulo2Car"/>
                <w:b w:val="0"/>
                <w:color w:val="auto"/>
                <w:sz w:val="20"/>
                <w:szCs w:val="20"/>
                <w:lang w:bidi="es-ES"/>
              </w:rPr>
              <w:t>ferentes instituciones públicas.</w:t>
            </w:r>
            <w:r w:rsidR="00B43464" w:rsidRPr="007B3939">
              <w:rPr>
                <w:rStyle w:val="Ttulo2Car"/>
                <w:b w:val="0"/>
                <w:color w:val="auto"/>
                <w:sz w:val="20"/>
                <w:szCs w:val="20"/>
                <w:lang w:bidi="es-ES"/>
              </w:rPr>
              <w:t xml:space="preserve"> No se publica </w:t>
            </w:r>
            <w:r w:rsidR="00BF1FCE" w:rsidRPr="007B3939">
              <w:rPr>
                <w:rStyle w:val="Ttulo2Car"/>
                <w:b w:val="0"/>
                <w:color w:val="auto"/>
                <w:sz w:val="20"/>
                <w:szCs w:val="20"/>
                <w:lang w:bidi="es-ES"/>
              </w:rPr>
              <w:t>el perfil y la trayectoria profesional del secretario general</w:t>
            </w:r>
            <w:r w:rsidR="007B3939">
              <w:rPr>
                <w:rStyle w:val="Ttulo2Car"/>
                <w:b w:val="0"/>
                <w:color w:val="auto"/>
                <w:sz w:val="20"/>
                <w:szCs w:val="20"/>
                <w:lang w:bidi="es-ES"/>
              </w:rPr>
              <w:t>.</w:t>
            </w:r>
          </w:p>
        </w:tc>
      </w:tr>
    </w:tbl>
    <w:p w:rsidR="00073111" w:rsidRDefault="00073111" w:rsidP="00E3088D">
      <w:pPr>
        <w:pStyle w:val="Cuerpodelboletn"/>
        <w:spacing w:before="120" w:after="120" w:line="312" w:lineRule="auto"/>
        <w:ind w:left="360"/>
        <w:rPr>
          <w:rStyle w:val="Ttulo2Car"/>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editId="36B11C9B">
                <wp:simplePos x="0" y="0"/>
                <wp:positionH relativeFrom="column">
                  <wp:align>center</wp:align>
                </wp:positionH>
                <wp:positionV relativeFrom="paragraph">
                  <wp:posOffset>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BF2DB4" w:rsidRDefault="00BF2DB4">
                            <w:pPr>
                              <w:rPr>
                                <w:b/>
                                <w:color w:val="00642D"/>
                              </w:rPr>
                            </w:pPr>
                            <w:r w:rsidRPr="00BD4582">
                              <w:rPr>
                                <w:b/>
                                <w:color w:val="00642D"/>
                              </w:rPr>
                              <w:t>Contenidos</w:t>
                            </w:r>
                          </w:p>
                          <w:p w:rsidR="00BF2DB4" w:rsidRPr="00026650" w:rsidRDefault="00BF2DB4" w:rsidP="00073111">
                            <w:pPr>
                              <w:jc w:val="both"/>
                              <w:rPr>
                                <w:sz w:val="20"/>
                                <w:szCs w:val="20"/>
                              </w:rPr>
                            </w:pPr>
                            <w:r w:rsidRPr="00026650">
                              <w:rPr>
                                <w:sz w:val="20"/>
                                <w:szCs w:val="20"/>
                              </w:rPr>
                              <w:t>La información publicada no recoge la totalidad de los contenidos obligatorios establecidos en el artículo 6 y 6 bis de la LTAIBG.</w:t>
                            </w:r>
                          </w:p>
                          <w:p w:rsidR="00BF2DB4" w:rsidRDefault="00BF2DB4" w:rsidP="00073111">
                            <w:pPr>
                              <w:pStyle w:val="Prrafodelista"/>
                              <w:numPr>
                                <w:ilvl w:val="0"/>
                                <w:numId w:val="5"/>
                              </w:numPr>
                              <w:ind w:left="851"/>
                              <w:jc w:val="both"/>
                              <w:rPr>
                                <w:sz w:val="20"/>
                                <w:szCs w:val="20"/>
                              </w:rPr>
                            </w:pPr>
                            <w:r>
                              <w:rPr>
                                <w:sz w:val="20"/>
                                <w:szCs w:val="20"/>
                              </w:rPr>
                              <w:t>No se ha localizado el Registro de Actividades de Tratamiento</w:t>
                            </w:r>
                            <w:r w:rsidRPr="00AE4516">
                              <w:rPr>
                                <w:sz w:val="20"/>
                                <w:szCs w:val="20"/>
                              </w:rPr>
                              <w:t>.</w:t>
                            </w:r>
                          </w:p>
                          <w:p w:rsidR="00BF2DB4" w:rsidRPr="007B3939" w:rsidRDefault="00BF2DB4" w:rsidP="00073111">
                            <w:pPr>
                              <w:pStyle w:val="Prrafodelista"/>
                              <w:numPr>
                                <w:ilvl w:val="0"/>
                                <w:numId w:val="5"/>
                              </w:numPr>
                              <w:ind w:left="851"/>
                              <w:jc w:val="both"/>
                              <w:rPr>
                                <w:b/>
                              </w:rPr>
                            </w:pPr>
                            <w:r w:rsidRPr="007B3939">
                              <w:rPr>
                                <w:sz w:val="20"/>
                                <w:szCs w:val="20"/>
                              </w:rPr>
                              <w:t xml:space="preserve">La información sobre el  perfil y trayectoria profesional de los responsables, no está completa, ya que no se publica información sobre el secretario general. </w:t>
                            </w:r>
                          </w:p>
                          <w:p w:rsidR="00BF2DB4" w:rsidRPr="003B263C" w:rsidRDefault="00BF2DB4" w:rsidP="00073111">
                            <w:pPr>
                              <w:jc w:val="both"/>
                              <w:rPr>
                                <w:b/>
                                <w:color w:val="00642D"/>
                              </w:rPr>
                            </w:pPr>
                            <w:r w:rsidRPr="003B263C">
                              <w:rPr>
                                <w:b/>
                                <w:color w:val="00642D"/>
                              </w:rPr>
                              <w:t>Calidad de la Información</w:t>
                            </w:r>
                          </w:p>
                          <w:p w:rsidR="00BF2DB4" w:rsidRPr="007B3939" w:rsidRDefault="00BF2DB4" w:rsidP="00073111">
                            <w:pPr>
                              <w:pStyle w:val="Prrafodelista"/>
                              <w:numPr>
                                <w:ilvl w:val="0"/>
                                <w:numId w:val="6"/>
                              </w:numPr>
                              <w:jc w:val="both"/>
                              <w:rPr>
                                <w:b/>
                              </w:rPr>
                            </w:pPr>
                            <w:r w:rsidRPr="007B3939">
                              <w:rPr>
                                <w:sz w:val="20"/>
                                <w:szCs w:val="20"/>
                              </w:rPr>
                              <w:t>Algunas informaciones no están datas y no en todos los casos se publica la fecha de la última revisión o actualización de la información</w:t>
                            </w:r>
                            <w:r>
                              <w:rPr>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uadro de texto 2" o:spid="_x0000_s1028" type="#_x0000_t202" style="position:absolute;left:0;text-align:left;margin-left:0;margin-top:0;width:433.8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yhu+6ywCAABVBAAADgAAAAAAAAAAAAAAAAAuAgAAZHJzL2Uy&#10;b0RvYy54bWxQSwECLQAUAAYACAAAACEA7qRah9sAAAAFAQAADwAAAAAAAAAAAAAAAACGBAAAZHJz&#10;L2Rvd25yZXYueG1sUEsFBgAAAAAEAAQA8wAAAI4FAAAAAA==&#10;">
                <v:textbox style="mso-fit-shape-to-text:t">
                  <w:txbxContent>
                    <w:p w:rsidR="007B3939" w:rsidRDefault="007B3939">
                      <w:pPr>
                        <w:rPr>
                          <w:b/>
                          <w:color w:val="00642D"/>
                        </w:rPr>
                      </w:pPr>
                      <w:r w:rsidRPr="00BD4582">
                        <w:rPr>
                          <w:b/>
                          <w:color w:val="00642D"/>
                        </w:rPr>
                        <w:t>Contenidos</w:t>
                      </w:r>
                    </w:p>
                    <w:p w:rsidR="007B3939" w:rsidRPr="00026650" w:rsidRDefault="007B3939" w:rsidP="00073111">
                      <w:pPr>
                        <w:jc w:val="both"/>
                        <w:rPr>
                          <w:sz w:val="20"/>
                          <w:szCs w:val="20"/>
                        </w:rPr>
                      </w:pPr>
                      <w:r w:rsidRPr="00026650">
                        <w:rPr>
                          <w:sz w:val="20"/>
                          <w:szCs w:val="20"/>
                        </w:rPr>
                        <w:t>La información publicada no recoge la totalidad de los contenidos obligatorios establecidos en el artículo 6 y 6 bis de la LTAIBG.</w:t>
                      </w:r>
                    </w:p>
                    <w:p w:rsidR="007B3939" w:rsidRDefault="007B3939" w:rsidP="00073111">
                      <w:pPr>
                        <w:pStyle w:val="Prrafodelista"/>
                        <w:numPr>
                          <w:ilvl w:val="0"/>
                          <w:numId w:val="5"/>
                        </w:numPr>
                        <w:ind w:left="851"/>
                        <w:jc w:val="both"/>
                        <w:rPr>
                          <w:sz w:val="20"/>
                          <w:szCs w:val="20"/>
                        </w:rPr>
                      </w:pPr>
                      <w:r>
                        <w:rPr>
                          <w:sz w:val="20"/>
                          <w:szCs w:val="20"/>
                        </w:rPr>
                        <w:t>No se ha localizado el Registro de Actividades de Tratamiento</w:t>
                      </w:r>
                      <w:r w:rsidRPr="00AE4516">
                        <w:rPr>
                          <w:sz w:val="20"/>
                          <w:szCs w:val="20"/>
                        </w:rPr>
                        <w:t>.</w:t>
                      </w:r>
                    </w:p>
                    <w:p w:rsidR="007B3939" w:rsidRPr="007B3939" w:rsidRDefault="007B3939" w:rsidP="00073111">
                      <w:pPr>
                        <w:pStyle w:val="Prrafodelista"/>
                        <w:numPr>
                          <w:ilvl w:val="0"/>
                          <w:numId w:val="5"/>
                        </w:numPr>
                        <w:ind w:left="851"/>
                        <w:jc w:val="both"/>
                        <w:rPr>
                          <w:b/>
                        </w:rPr>
                      </w:pPr>
                      <w:r w:rsidRPr="007B3939">
                        <w:rPr>
                          <w:sz w:val="20"/>
                          <w:szCs w:val="20"/>
                        </w:rPr>
                        <w:t xml:space="preserve">La información sobre el  perfil y trayectoria profesional de los responsables, no está completa, ya que no se publica información sobre el secretario general. </w:t>
                      </w:r>
                    </w:p>
                    <w:p w:rsidR="007B3939" w:rsidRPr="003B263C" w:rsidRDefault="007B3939" w:rsidP="00073111">
                      <w:pPr>
                        <w:jc w:val="both"/>
                        <w:rPr>
                          <w:b/>
                          <w:color w:val="00642D"/>
                        </w:rPr>
                      </w:pPr>
                      <w:r w:rsidRPr="003B263C">
                        <w:rPr>
                          <w:b/>
                          <w:color w:val="00642D"/>
                        </w:rPr>
                        <w:t>Calidad de la Información</w:t>
                      </w:r>
                    </w:p>
                    <w:p w:rsidR="007B3939" w:rsidRPr="007B3939" w:rsidRDefault="007B3939" w:rsidP="00073111">
                      <w:pPr>
                        <w:pStyle w:val="Prrafodelista"/>
                        <w:numPr>
                          <w:ilvl w:val="0"/>
                          <w:numId w:val="6"/>
                        </w:numPr>
                        <w:jc w:val="both"/>
                        <w:rPr>
                          <w:b/>
                        </w:rPr>
                      </w:pPr>
                      <w:r w:rsidRPr="007B3939">
                        <w:rPr>
                          <w:sz w:val="20"/>
                          <w:szCs w:val="20"/>
                        </w:rPr>
                        <w:t>Algunas informaciones no están datas y no en todos los casos se publica la fecha de la última revisión o actualización de la información</w:t>
                      </w:r>
                      <w:r>
                        <w:rPr>
                          <w:sz w:val="20"/>
                          <w:szCs w:val="20"/>
                        </w:rPr>
                        <w:t>.</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BF1FCE" w:rsidRDefault="00BF1FCE">
      <w:pPr>
        <w:rPr>
          <w:rStyle w:val="Ttulo2Car"/>
          <w:lang w:bidi="es-ES"/>
        </w:rPr>
      </w:pPr>
    </w:p>
    <w:p w:rsidR="00BF1FCE" w:rsidRDefault="00BF1FCE">
      <w:pPr>
        <w:rPr>
          <w:rStyle w:val="Ttulo2Car"/>
          <w:lang w:bidi="es-ES"/>
        </w:rPr>
      </w:pPr>
    </w:p>
    <w:p w:rsidR="00BF1FCE" w:rsidRDefault="00BF1FCE">
      <w:pPr>
        <w:rPr>
          <w:rStyle w:val="Ttulo2Car"/>
          <w:lang w:bidi="es-ES"/>
        </w:rPr>
      </w:pPr>
    </w:p>
    <w:p w:rsidR="00BF1FCE" w:rsidRDefault="00BF1FCE">
      <w:pPr>
        <w:rPr>
          <w:rStyle w:val="Ttulo2Car"/>
          <w:lang w:bidi="es-ES"/>
        </w:rPr>
      </w:pPr>
    </w:p>
    <w:p w:rsidR="00BF1FCE" w:rsidRDefault="00BF1FCE">
      <w:pPr>
        <w:rPr>
          <w:rStyle w:val="Ttulo2Car"/>
          <w:lang w:bidi="es-ES"/>
        </w:rPr>
      </w:pPr>
    </w:p>
    <w:p w:rsidR="00BF1FCE" w:rsidRDefault="00BF1FCE">
      <w:pPr>
        <w:rPr>
          <w:rStyle w:val="Ttulo2Car"/>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II.</w:t>
      </w:r>
      <w:r w:rsidR="00DD58B3">
        <w:rPr>
          <w:rStyle w:val="Ttulo2Car"/>
          <w:color w:val="00642D"/>
          <w:lang w:bidi="es-ES"/>
        </w:rPr>
        <w:t>2</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709"/>
        <w:gridCol w:w="5187"/>
      </w:tblGrid>
      <w:tr w:rsidR="00C33A23" w:rsidRPr="00E34195" w:rsidTr="00BF1FCE">
        <w:trPr>
          <w:cantSplit/>
          <w:trHeight w:val="1612"/>
          <w:tblHeader/>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09"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187"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6069C8">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C33A23" w:rsidP="00CB543F">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r w:rsidR="00CB543F">
              <w:rPr>
                <w:rStyle w:val="Ttulo2Car"/>
                <w:b w:val="0"/>
                <w:color w:val="auto"/>
                <w:sz w:val="20"/>
                <w:szCs w:val="20"/>
                <w:lang w:bidi="es-ES"/>
              </w:rPr>
              <w:t xml:space="preserve"> </w:t>
            </w:r>
          </w:p>
        </w:tc>
        <w:tc>
          <w:tcPr>
            <w:tcW w:w="709" w:type="dxa"/>
            <w:tcBorders>
              <w:top w:val="single" w:sz="4" w:space="0" w:color="00642D"/>
              <w:left w:val="single" w:sz="4" w:space="0" w:color="00642D"/>
              <w:bottom w:val="single" w:sz="4" w:space="0" w:color="00642D"/>
              <w:right w:val="single" w:sz="4" w:space="0" w:color="00642D"/>
            </w:tcBorders>
          </w:tcPr>
          <w:p w:rsidR="00C33A23" w:rsidRPr="00CB5511" w:rsidRDefault="00C33A23" w:rsidP="00131F15">
            <w:pPr>
              <w:pStyle w:val="Cuerpodelboletn"/>
              <w:spacing w:before="120" w:after="120" w:line="312" w:lineRule="auto"/>
              <w:ind w:left="360"/>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BF1FCE" w:rsidRPr="008742FD" w:rsidRDefault="008742FD" w:rsidP="00BF1FCE">
            <w:pPr>
              <w:pStyle w:val="Cuerpodelboletn"/>
              <w:spacing w:before="120" w:after="120" w:line="312" w:lineRule="auto"/>
              <w:rPr>
                <w:rStyle w:val="Ttulo2Car"/>
                <w:b w:val="0"/>
                <w:sz w:val="20"/>
                <w:szCs w:val="20"/>
                <w:lang w:bidi="es-ES"/>
              </w:rPr>
            </w:pPr>
            <w:r w:rsidRPr="00BF2DB4">
              <w:rPr>
                <w:rStyle w:val="Ttulo2Car"/>
                <w:b w:val="0"/>
                <w:color w:val="auto"/>
                <w:sz w:val="20"/>
                <w:szCs w:val="20"/>
                <w:lang w:bidi="es-ES"/>
              </w:rPr>
              <w:t>Se publican dos enlaces que redirigen a la página inicial de la Plataforma de Contratación del Sector Público. Esta forma de publicar la información</w:t>
            </w:r>
            <w:r w:rsidR="001F0DC3" w:rsidRPr="00BF2DB4">
              <w:rPr>
                <w:rStyle w:val="Ttulo2Car"/>
                <w:b w:val="0"/>
                <w:color w:val="auto"/>
                <w:sz w:val="20"/>
                <w:szCs w:val="20"/>
                <w:lang w:bidi="es-ES"/>
              </w:rPr>
              <w:t>,</w:t>
            </w:r>
            <w:r w:rsidRPr="00BF2DB4">
              <w:rPr>
                <w:rStyle w:val="Ttulo2Car"/>
                <w:b w:val="0"/>
                <w:color w:val="auto"/>
                <w:sz w:val="20"/>
                <w:szCs w:val="20"/>
                <w:lang w:bidi="es-ES"/>
              </w:rPr>
              <w:t xml:space="preserve"> supone una auténtica barrera para su localización, por las dificultades de manejo que presenta para un ciudadano medio. Por esta razón se ha considerado no cumplida la obligación.</w:t>
            </w:r>
          </w:p>
        </w:tc>
      </w:tr>
      <w:tr w:rsidR="00C33A23" w:rsidRPr="00CB5511" w:rsidTr="006069C8">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709"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C33A23" w:rsidRPr="006069C8" w:rsidRDefault="006069C8" w:rsidP="009609E9">
            <w:pPr>
              <w:pStyle w:val="Cuerpodelboletn"/>
              <w:spacing w:before="120" w:after="120" w:line="312" w:lineRule="auto"/>
              <w:rPr>
                <w:rStyle w:val="Ttulo2Car"/>
                <w:b w:val="0"/>
                <w:sz w:val="20"/>
                <w:szCs w:val="20"/>
                <w:lang w:bidi="es-ES"/>
              </w:rPr>
            </w:pPr>
            <w:r w:rsidRPr="006069C8">
              <w:rPr>
                <w:rStyle w:val="Ttulo2Car"/>
                <w:b w:val="0"/>
                <w:color w:val="auto"/>
                <w:sz w:val="20"/>
                <w:szCs w:val="20"/>
                <w:lang w:bidi="es-ES"/>
              </w:rPr>
              <w:t>No se ha localizado información.</w:t>
            </w:r>
          </w:p>
        </w:tc>
      </w:tr>
      <w:tr w:rsidR="00C33A23" w:rsidRPr="00CB5511" w:rsidTr="006069C8">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709" w:type="dxa"/>
            <w:tcBorders>
              <w:top w:val="single" w:sz="4" w:space="0" w:color="00642D"/>
              <w:left w:val="single" w:sz="4" w:space="0" w:color="00642D"/>
              <w:bottom w:val="single" w:sz="4" w:space="0" w:color="00642D"/>
              <w:right w:val="single" w:sz="4" w:space="0" w:color="00642D"/>
            </w:tcBorders>
          </w:tcPr>
          <w:p w:rsidR="00C33A23" w:rsidRPr="00CB5511" w:rsidRDefault="00C33A23" w:rsidP="00131F15">
            <w:pPr>
              <w:pStyle w:val="Cuerpodelboletn"/>
              <w:spacing w:before="120" w:after="120" w:line="312" w:lineRule="auto"/>
              <w:ind w:left="360"/>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C33A23" w:rsidRPr="00131F15" w:rsidRDefault="007B3939" w:rsidP="009609E9">
            <w:pPr>
              <w:pStyle w:val="Cuerpodelboletn"/>
              <w:spacing w:before="120" w:after="120" w:line="312" w:lineRule="auto"/>
              <w:rPr>
                <w:rStyle w:val="Ttulo2Car"/>
                <w:strike/>
                <w:sz w:val="20"/>
                <w:szCs w:val="20"/>
                <w:lang w:bidi="es-ES"/>
              </w:rPr>
            </w:pPr>
            <w:r w:rsidRPr="007B3939">
              <w:rPr>
                <w:rStyle w:val="Ttulo2Car"/>
                <w:b w:val="0"/>
                <w:color w:val="auto"/>
                <w:sz w:val="20"/>
                <w:szCs w:val="20"/>
                <w:lang w:bidi="es-ES"/>
              </w:rPr>
              <w:t>No se ha localizado información.</w:t>
            </w:r>
          </w:p>
        </w:tc>
      </w:tr>
      <w:tr w:rsidR="003D6063" w:rsidRPr="00CB5511" w:rsidTr="006069C8">
        <w:tc>
          <w:tcPr>
            <w:tcW w:w="1024" w:type="dxa"/>
            <w:vMerge/>
            <w:tcBorders>
              <w:right w:val="single" w:sz="4" w:space="0" w:color="00642D"/>
            </w:tcBorders>
            <w:shd w:val="clear" w:color="auto" w:fill="00642D"/>
          </w:tcPr>
          <w:p w:rsidR="003D6063" w:rsidRPr="00E34195" w:rsidRDefault="003D606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3D6063" w:rsidRDefault="003D6063" w:rsidP="003D6063">
            <w:pPr>
              <w:jc w:val="both"/>
              <w:rPr>
                <w:rStyle w:val="Ttulo2Car"/>
                <w:b w:val="0"/>
                <w:color w:val="auto"/>
                <w:sz w:val="20"/>
                <w:szCs w:val="20"/>
                <w:lang w:bidi="es-ES"/>
              </w:rPr>
            </w:pPr>
            <w:r w:rsidRPr="003D6063">
              <w:rPr>
                <w:rStyle w:val="Ttulo2Car"/>
                <w:b w:val="0"/>
                <w:color w:val="auto"/>
                <w:sz w:val="20"/>
                <w:szCs w:val="20"/>
                <w:lang w:bidi="es-ES"/>
              </w:rPr>
              <w:t>Datos estadísticos sobre contratos</w:t>
            </w:r>
          </w:p>
        </w:tc>
        <w:tc>
          <w:tcPr>
            <w:tcW w:w="709" w:type="dxa"/>
            <w:tcBorders>
              <w:top w:val="single" w:sz="4" w:space="0" w:color="00642D"/>
              <w:left w:val="single" w:sz="4" w:space="0" w:color="00642D"/>
              <w:bottom w:val="single" w:sz="4" w:space="0" w:color="00642D"/>
              <w:right w:val="single" w:sz="4" w:space="0" w:color="00642D"/>
            </w:tcBorders>
          </w:tcPr>
          <w:p w:rsidR="003D6063" w:rsidRPr="00CB5511" w:rsidRDefault="003D6063" w:rsidP="009609E9">
            <w:pPr>
              <w:pStyle w:val="Cuerpodelboletn"/>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3D6063" w:rsidRPr="00DF028B" w:rsidRDefault="00DF028B" w:rsidP="009609E9">
            <w:pPr>
              <w:pStyle w:val="Cuerpodelboletn"/>
              <w:spacing w:before="120" w:after="120" w:line="312" w:lineRule="auto"/>
              <w:rPr>
                <w:rStyle w:val="Ttulo2Car"/>
                <w:b w:val="0"/>
                <w:sz w:val="20"/>
                <w:szCs w:val="20"/>
                <w:lang w:bidi="es-ES"/>
              </w:rPr>
            </w:pPr>
            <w:r w:rsidRPr="00DF028B">
              <w:rPr>
                <w:rStyle w:val="Ttulo2Car"/>
                <w:b w:val="0"/>
                <w:color w:val="auto"/>
                <w:sz w:val="20"/>
                <w:szCs w:val="20"/>
                <w:lang w:bidi="es-ES"/>
              </w:rPr>
              <w:t>No se ha localizado información.</w:t>
            </w:r>
          </w:p>
        </w:tc>
      </w:tr>
      <w:tr w:rsidR="00C33A23" w:rsidRPr="00CB5511" w:rsidTr="006069C8">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Contratos Menores</w:t>
            </w:r>
          </w:p>
        </w:tc>
        <w:tc>
          <w:tcPr>
            <w:tcW w:w="709" w:type="dxa"/>
            <w:tcBorders>
              <w:top w:val="single" w:sz="4" w:space="0" w:color="00642D"/>
              <w:left w:val="single" w:sz="4" w:space="0" w:color="00642D"/>
              <w:bottom w:val="single" w:sz="4" w:space="0" w:color="00642D"/>
              <w:right w:val="single" w:sz="4" w:space="0" w:color="00642D"/>
            </w:tcBorders>
          </w:tcPr>
          <w:p w:rsidR="00C33A23" w:rsidRPr="00CB5511" w:rsidRDefault="00C33A23" w:rsidP="00DF028B">
            <w:pPr>
              <w:pStyle w:val="Cuerpodelboletn"/>
              <w:numPr>
                <w:ilvl w:val="0"/>
                <w:numId w:val="4"/>
              </w:numPr>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C33A23" w:rsidRPr="00CB5511" w:rsidRDefault="00DF028B" w:rsidP="009609E9">
            <w:pPr>
              <w:pStyle w:val="Cuerpodelboletn"/>
              <w:spacing w:before="120" w:after="120" w:line="312" w:lineRule="auto"/>
              <w:rPr>
                <w:rStyle w:val="Ttulo2Car"/>
                <w:sz w:val="20"/>
                <w:szCs w:val="20"/>
                <w:lang w:bidi="es-ES"/>
              </w:rPr>
            </w:pPr>
            <w:r>
              <w:rPr>
                <w:rStyle w:val="Ttulo2Car"/>
                <w:b w:val="0"/>
                <w:color w:val="auto"/>
                <w:sz w:val="20"/>
                <w:szCs w:val="20"/>
                <w:lang w:bidi="es-ES"/>
              </w:rPr>
              <w:t>Localizable en el Portal de Transparencia/Información económica, presupuestaria y estadística/Contratación. Datos de 2022.</w:t>
            </w:r>
          </w:p>
        </w:tc>
      </w:tr>
      <w:tr w:rsidR="00C33A23" w:rsidRPr="00CB5511" w:rsidTr="006069C8">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w:t>
            </w:r>
            <w:r w:rsidRPr="00571783">
              <w:rPr>
                <w:rStyle w:val="Ttulo2Car"/>
                <w:b w:val="0"/>
                <w:color w:val="auto"/>
                <w:sz w:val="20"/>
                <w:szCs w:val="20"/>
                <w:lang w:bidi="es-ES"/>
              </w:rPr>
              <w:t>lación</w:t>
            </w:r>
            <w:r w:rsidRPr="009609E9">
              <w:rPr>
                <w:rStyle w:val="Ttulo2Car"/>
                <w:b w:val="0"/>
                <w:color w:val="auto"/>
                <w:sz w:val="20"/>
                <w:szCs w:val="20"/>
                <w:lang w:bidi="es-ES"/>
              </w:rPr>
              <w:t xml:space="preserve"> de los convenios suscritos</w:t>
            </w:r>
          </w:p>
        </w:tc>
        <w:tc>
          <w:tcPr>
            <w:tcW w:w="709" w:type="dxa"/>
            <w:tcBorders>
              <w:top w:val="single" w:sz="4" w:space="0" w:color="00642D"/>
              <w:left w:val="single" w:sz="4" w:space="0" w:color="00642D"/>
              <w:bottom w:val="single" w:sz="4" w:space="0" w:color="00642D"/>
              <w:right w:val="single" w:sz="4" w:space="0" w:color="00642D"/>
            </w:tcBorders>
          </w:tcPr>
          <w:p w:rsidR="00C33A23" w:rsidRPr="00CB5511" w:rsidRDefault="00C33A23" w:rsidP="00571783">
            <w:pPr>
              <w:pStyle w:val="Cuerpodelboletn"/>
              <w:numPr>
                <w:ilvl w:val="0"/>
                <w:numId w:val="4"/>
              </w:numPr>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C33A23" w:rsidRPr="00CB5511" w:rsidRDefault="00571783" w:rsidP="00571783">
            <w:pPr>
              <w:pStyle w:val="Cuerpodelboletn"/>
              <w:spacing w:before="120" w:after="120" w:line="312" w:lineRule="auto"/>
              <w:rPr>
                <w:rStyle w:val="Ttulo2Car"/>
                <w:sz w:val="20"/>
                <w:szCs w:val="20"/>
                <w:lang w:bidi="es-ES"/>
              </w:rPr>
            </w:pPr>
            <w:r>
              <w:rPr>
                <w:rStyle w:val="Ttulo2Car"/>
                <w:b w:val="0"/>
                <w:color w:val="auto"/>
                <w:sz w:val="20"/>
                <w:szCs w:val="20"/>
                <w:lang w:bidi="es-ES"/>
              </w:rPr>
              <w:t>Localizable en el Portal de Transparencia/Información económica, presupuestaria y estadística/Convenios. Datos de 2023.</w:t>
            </w:r>
          </w:p>
        </w:tc>
      </w:tr>
      <w:tr w:rsidR="009609E9" w:rsidRPr="00CB5511" w:rsidTr="006069C8">
        <w:trPr>
          <w:trHeight w:val="1675"/>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709" w:type="dxa"/>
            <w:tcBorders>
              <w:top w:val="single" w:sz="4" w:space="0" w:color="00642D"/>
              <w:left w:val="single" w:sz="4" w:space="0" w:color="00642D"/>
              <w:bottom w:val="single" w:sz="4" w:space="0" w:color="00642D"/>
              <w:right w:val="single" w:sz="4" w:space="0" w:color="00642D"/>
            </w:tcBorders>
          </w:tcPr>
          <w:p w:rsidR="009609E9" w:rsidRPr="00CB5511" w:rsidRDefault="009609E9" w:rsidP="00571783">
            <w:pPr>
              <w:pStyle w:val="Cuerpodelboletn"/>
              <w:numPr>
                <w:ilvl w:val="0"/>
                <w:numId w:val="4"/>
              </w:numPr>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9609E9" w:rsidRPr="00CB5511" w:rsidRDefault="00571783" w:rsidP="009609E9">
            <w:pPr>
              <w:pStyle w:val="Cuerpodelboletn"/>
              <w:spacing w:before="120" w:after="120" w:line="312" w:lineRule="auto"/>
              <w:rPr>
                <w:rStyle w:val="Ttulo2Car"/>
                <w:sz w:val="20"/>
                <w:szCs w:val="20"/>
                <w:lang w:bidi="es-ES"/>
              </w:rPr>
            </w:pPr>
            <w:r>
              <w:rPr>
                <w:rStyle w:val="Ttulo2Car"/>
                <w:b w:val="0"/>
                <w:color w:val="auto"/>
                <w:sz w:val="20"/>
                <w:szCs w:val="20"/>
                <w:lang w:bidi="es-ES"/>
              </w:rPr>
              <w:t>En el Portal de Transparencia/Información económica, presupuestaria y estadística/Subvenciones se dice expresamente que la Fundación no concede subvenciones.</w:t>
            </w:r>
          </w:p>
        </w:tc>
      </w:tr>
      <w:tr w:rsidR="00F47C3B" w:rsidRPr="00CB5511" w:rsidTr="006069C8">
        <w:trPr>
          <w:trHeight w:val="1595"/>
        </w:trPr>
        <w:tc>
          <w:tcPr>
            <w:tcW w:w="1024" w:type="dxa"/>
            <w:tcBorders>
              <w:right w:val="single" w:sz="4" w:space="0" w:color="00642D"/>
            </w:tcBorders>
            <w:shd w:val="clear" w:color="auto" w:fill="00642D"/>
            <w:textDirection w:val="btLr"/>
          </w:tcPr>
          <w:p w:rsidR="00F47C3B"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F47C3B" w:rsidRDefault="00F47C3B" w:rsidP="009609E9">
            <w:pPr>
              <w:pStyle w:val="Cuerpodelboletn"/>
              <w:spacing w:before="120" w:after="120" w:line="312" w:lineRule="auto"/>
              <w:rPr>
                <w:rStyle w:val="Ttulo2Car"/>
                <w:b w:val="0"/>
                <w:color w:val="auto"/>
                <w:sz w:val="20"/>
                <w:szCs w:val="20"/>
                <w:lang w:bidi="es-ES"/>
              </w:rPr>
            </w:pPr>
          </w:p>
        </w:tc>
        <w:tc>
          <w:tcPr>
            <w:tcW w:w="709" w:type="dxa"/>
            <w:tcBorders>
              <w:top w:val="single" w:sz="4" w:space="0" w:color="00642D"/>
              <w:left w:val="single" w:sz="4" w:space="0" w:color="00642D"/>
              <w:bottom w:val="single" w:sz="4" w:space="0" w:color="00642D"/>
              <w:right w:val="single" w:sz="4" w:space="0" w:color="00642D"/>
            </w:tcBorders>
          </w:tcPr>
          <w:p w:rsidR="00F47C3B" w:rsidRPr="00CB5511" w:rsidRDefault="00F47C3B" w:rsidP="00CC459B">
            <w:pPr>
              <w:pStyle w:val="Cuerpodelboletn"/>
              <w:numPr>
                <w:ilvl w:val="0"/>
                <w:numId w:val="4"/>
              </w:numPr>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F47C3B" w:rsidRPr="00CB5511" w:rsidRDefault="00CC459B" w:rsidP="00CC459B">
            <w:pPr>
              <w:pStyle w:val="Cuerpodelboletn"/>
              <w:spacing w:before="120" w:after="120" w:line="312" w:lineRule="auto"/>
              <w:rPr>
                <w:rStyle w:val="Ttulo2Car"/>
                <w:sz w:val="20"/>
                <w:szCs w:val="20"/>
                <w:lang w:bidi="es-ES"/>
              </w:rPr>
            </w:pPr>
            <w:r>
              <w:rPr>
                <w:rStyle w:val="Ttulo2Car"/>
                <w:b w:val="0"/>
                <w:color w:val="auto"/>
                <w:sz w:val="20"/>
                <w:szCs w:val="20"/>
                <w:lang w:bidi="es-ES"/>
              </w:rPr>
              <w:t>Localizable en el Portal de Transparencia/Información económica, presupuestaria y estadística/Presupuestos. Datos de 2023.</w:t>
            </w:r>
          </w:p>
        </w:tc>
      </w:tr>
      <w:tr w:rsidR="00F47C3B" w:rsidRPr="00CB5511" w:rsidTr="006069C8">
        <w:trPr>
          <w:trHeight w:val="1114"/>
        </w:trPr>
        <w:tc>
          <w:tcPr>
            <w:tcW w:w="1024" w:type="dxa"/>
            <w:vMerge w:val="restart"/>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709" w:type="dxa"/>
            <w:tcBorders>
              <w:top w:val="single" w:sz="4" w:space="0" w:color="00642D"/>
              <w:left w:val="single" w:sz="4" w:space="0" w:color="00642D"/>
              <w:bottom w:val="single" w:sz="4" w:space="0" w:color="00642D"/>
              <w:right w:val="single" w:sz="4" w:space="0" w:color="00642D"/>
            </w:tcBorders>
          </w:tcPr>
          <w:p w:rsidR="00F47C3B" w:rsidRPr="00CB5511" w:rsidRDefault="00F47C3B" w:rsidP="00B17BB8">
            <w:pPr>
              <w:pStyle w:val="Cuerpodelboletn"/>
              <w:numPr>
                <w:ilvl w:val="0"/>
                <w:numId w:val="4"/>
              </w:numPr>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F47C3B" w:rsidRPr="00CB5511" w:rsidRDefault="00B17BB8" w:rsidP="00BF2DB4">
            <w:pPr>
              <w:pStyle w:val="Cuerpodelboletn"/>
              <w:spacing w:before="120" w:after="120" w:line="312" w:lineRule="auto"/>
              <w:rPr>
                <w:rStyle w:val="Ttulo2Car"/>
                <w:sz w:val="20"/>
                <w:szCs w:val="20"/>
                <w:lang w:bidi="es-ES"/>
              </w:rPr>
            </w:pPr>
            <w:r>
              <w:rPr>
                <w:rStyle w:val="Ttulo2Car"/>
                <w:b w:val="0"/>
                <w:color w:val="auto"/>
                <w:sz w:val="20"/>
                <w:szCs w:val="20"/>
                <w:lang w:bidi="es-ES"/>
              </w:rPr>
              <w:t xml:space="preserve">Localizable en el Portal de Transparencia/Información económica, presupuestaria y estadística/Cuentas anuales. </w:t>
            </w:r>
          </w:p>
        </w:tc>
      </w:tr>
      <w:tr w:rsidR="00F47C3B" w:rsidRPr="00CB5511" w:rsidTr="006069C8">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709" w:type="dxa"/>
            <w:tcBorders>
              <w:top w:val="single" w:sz="4" w:space="0" w:color="00642D"/>
              <w:left w:val="single" w:sz="4" w:space="0" w:color="00642D"/>
              <w:bottom w:val="single" w:sz="4" w:space="0" w:color="00642D"/>
              <w:right w:val="single" w:sz="4" w:space="0" w:color="00642D"/>
            </w:tcBorders>
          </w:tcPr>
          <w:p w:rsidR="00F47C3B" w:rsidRPr="00CB5511" w:rsidRDefault="00F47C3B" w:rsidP="00B17BB8">
            <w:pPr>
              <w:pStyle w:val="Cuerpodelboletn"/>
              <w:numPr>
                <w:ilvl w:val="0"/>
                <w:numId w:val="4"/>
              </w:numPr>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F47C3B" w:rsidRPr="00CB5511" w:rsidRDefault="00B17BB8" w:rsidP="00BF2DB4">
            <w:pPr>
              <w:pStyle w:val="Cuerpodelboletn"/>
              <w:spacing w:before="120" w:after="120" w:line="312" w:lineRule="auto"/>
              <w:rPr>
                <w:rStyle w:val="Ttulo2Car"/>
                <w:sz w:val="20"/>
                <w:szCs w:val="20"/>
                <w:lang w:bidi="es-ES"/>
              </w:rPr>
            </w:pPr>
            <w:r>
              <w:rPr>
                <w:rStyle w:val="Ttulo2Car"/>
                <w:b w:val="0"/>
                <w:color w:val="auto"/>
                <w:sz w:val="20"/>
                <w:szCs w:val="20"/>
                <w:lang w:bidi="es-ES"/>
              </w:rPr>
              <w:t xml:space="preserve">Localizable en el Portal de Transparencia/Información económica, presupuestaria y estadística/Informes emitidos por órganos de control externo. </w:t>
            </w:r>
            <w:r w:rsidR="00BF2DB4">
              <w:rPr>
                <w:rStyle w:val="Ttulo2Car"/>
                <w:b w:val="0"/>
                <w:color w:val="auto"/>
                <w:sz w:val="20"/>
                <w:szCs w:val="20"/>
                <w:lang w:bidi="es-ES"/>
              </w:rPr>
              <w:t>Se publica un informe sobre fiscalización del patrimonio inmobiliario</w:t>
            </w:r>
            <w:r>
              <w:rPr>
                <w:rStyle w:val="Ttulo2Car"/>
                <w:b w:val="0"/>
                <w:color w:val="auto"/>
                <w:sz w:val="20"/>
                <w:szCs w:val="20"/>
                <w:lang w:bidi="es-ES"/>
              </w:rPr>
              <w:t xml:space="preserve"> </w:t>
            </w:r>
            <w:r w:rsidR="00BF2DB4">
              <w:rPr>
                <w:rStyle w:val="Ttulo2Car"/>
                <w:b w:val="0"/>
                <w:color w:val="auto"/>
                <w:sz w:val="20"/>
                <w:szCs w:val="20"/>
                <w:lang w:bidi="es-ES"/>
              </w:rPr>
              <w:t>elaborado</w:t>
            </w:r>
            <w:r>
              <w:rPr>
                <w:rStyle w:val="Ttulo2Car"/>
                <w:b w:val="0"/>
                <w:color w:val="auto"/>
                <w:sz w:val="20"/>
                <w:szCs w:val="20"/>
                <w:lang w:bidi="es-ES"/>
              </w:rPr>
              <w:t xml:space="preserve"> por el TCU.</w:t>
            </w:r>
          </w:p>
        </w:tc>
      </w:tr>
      <w:tr w:rsidR="00BD4582" w:rsidRPr="00CB5511" w:rsidTr="006069C8">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709" w:type="dxa"/>
            <w:tcBorders>
              <w:top w:val="single" w:sz="4" w:space="0" w:color="00642D"/>
              <w:left w:val="single" w:sz="4" w:space="0" w:color="00642D"/>
              <w:bottom w:val="single" w:sz="4" w:space="0" w:color="00642D"/>
              <w:right w:val="single" w:sz="4" w:space="0" w:color="00642D"/>
            </w:tcBorders>
          </w:tcPr>
          <w:p w:rsidR="00BD4582" w:rsidRPr="00CB5511" w:rsidRDefault="00BD4582" w:rsidP="00B17BB8">
            <w:pPr>
              <w:pStyle w:val="Cuerpodelboletn"/>
              <w:numPr>
                <w:ilvl w:val="0"/>
                <w:numId w:val="4"/>
              </w:numPr>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BD4582" w:rsidRPr="00CB5511" w:rsidRDefault="00B17BB8" w:rsidP="00BF2DB4">
            <w:pPr>
              <w:pStyle w:val="Cuerpodelboletn"/>
              <w:spacing w:before="120" w:after="120" w:line="312" w:lineRule="auto"/>
              <w:rPr>
                <w:rStyle w:val="Ttulo2Car"/>
                <w:sz w:val="20"/>
                <w:szCs w:val="20"/>
                <w:lang w:bidi="es-ES"/>
              </w:rPr>
            </w:pPr>
            <w:r>
              <w:rPr>
                <w:rStyle w:val="Ttulo2Car"/>
                <w:b w:val="0"/>
                <w:color w:val="auto"/>
                <w:sz w:val="20"/>
                <w:szCs w:val="20"/>
                <w:lang w:bidi="es-ES"/>
              </w:rPr>
              <w:t>Localizable en el Portal de Transparencia/Información económica, presupuestaria y estadística/Altos directivos.</w:t>
            </w:r>
            <w:r w:rsidR="00BF2DB4">
              <w:rPr>
                <w:rStyle w:val="Ttulo2Car"/>
                <w:b w:val="0"/>
                <w:color w:val="auto"/>
                <w:sz w:val="20"/>
                <w:szCs w:val="20"/>
                <w:lang w:bidi="es-ES"/>
              </w:rPr>
              <w:t xml:space="preserve"> </w:t>
            </w:r>
          </w:p>
        </w:tc>
      </w:tr>
      <w:tr w:rsidR="00BD4582" w:rsidRPr="00CB5511" w:rsidTr="006069C8">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Indemnizaciones percibidas por Altos Cargos con ocasión del abandono del cargo</w:t>
            </w:r>
          </w:p>
        </w:tc>
        <w:tc>
          <w:tcPr>
            <w:tcW w:w="709" w:type="dxa"/>
            <w:tcBorders>
              <w:top w:val="single" w:sz="4" w:space="0" w:color="00642D"/>
              <w:left w:val="single" w:sz="4" w:space="0" w:color="00642D"/>
              <w:bottom w:val="single" w:sz="4" w:space="0" w:color="00642D"/>
              <w:right w:val="single" w:sz="4" w:space="0" w:color="00642D"/>
            </w:tcBorders>
          </w:tcPr>
          <w:p w:rsidR="00BD4582" w:rsidRPr="00CB5511" w:rsidRDefault="00BD4582" w:rsidP="00114793">
            <w:pPr>
              <w:pStyle w:val="Cuerpodelboletn"/>
              <w:numPr>
                <w:ilvl w:val="0"/>
                <w:numId w:val="4"/>
              </w:numPr>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BD4582" w:rsidRPr="00CB5511" w:rsidRDefault="00114793" w:rsidP="00114793">
            <w:pPr>
              <w:pStyle w:val="Cuerpodelboletn"/>
              <w:spacing w:before="120" w:after="120" w:line="312" w:lineRule="auto"/>
              <w:rPr>
                <w:rStyle w:val="Ttulo2Car"/>
                <w:sz w:val="20"/>
                <w:szCs w:val="20"/>
                <w:lang w:bidi="es-ES"/>
              </w:rPr>
            </w:pPr>
            <w:r>
              <w:rPr>
                <w:rStyle w:val="Ttulo2Car"/>
                <w:b w:val="0"/>
                <w:color w:val="auto"/>
                <w:sz w:val="20"/>
                <w:szCs w:val="20"/>
                <w:lang w:bidi="es-ES"/>
              </w:rPr>
              <w:t xml:space="preserve">Localizable en el Portal de Transparencia/Información económica, presupuestaria y </w:t>
            </w:r>
            <w:r w:rsidRPr="00114793">
              <w:rPr>
                <w:rStyle w:val="Ttulo2Car"/>
                <w:b w:val="0"/>
                <w:color w:val="auto"/>
                <w:sz w:val="20"/>
                <w:szCs w:val="20"/>
                <w:lang w:bidi="es-ES"/>
              </w:rPr>
              <w:t>estadística/Altos directivos. Allí se especifica que no existen indemnizaciones percibidas por los altos cargos y máximos responsables con</w:t>
            </w:r>
            <w:r>
              <w:rPr>
                <w:rStyle w:val="Ttulo2Car"/>
                <w:b w:val="0"/>
                <w:color w:val="auto"/>
                <w:sz w:val="20"/>
                <w:szCs w:val="20"/>
                <w:lang w:bidi="es-ES"/>
              </w:rPr>
              <w:t xml:space="preserve"> ocasión del abandono del cargo.</w:t>
            </w:r>
          </w:p>
        </w:tc>
      </w:tr>
      <w:tr w:rsidR="00F86BF2" w:rsidRPr="00CB5511" w:rsidTr="006069C8">
        <w:trPr>
          <w:trHeight w:val="1703"/>
        </w:trPr>
        <w:tc>
          <w:tcPr>
            <w:tcW w:w="1024" w:type="dxa"/>
            <w:vMerge w:val="restart"/>
            <w:tcBorders>
              <w:right w:val="single" w:sz="4" w:space="0" w:color="00642D"/>
            </w:tcBorders>
            <w:shd w:val="clear" w:color="auto" w:fill="00642D"/>
            <w:textDirection w:val="btLr"/>
          </w:tcPr>
          <w:p w:rsidR="00F86BF2" w:rsidRDefault="00F86BF2" w:rsidP="00F86BF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F86BF2" w:rsidRPr="00665CC1" w:rsidRDefault="00F86BF2" w:rsidP="0006666A">
            <w:pPr>
              <w:pStyle w:val="Cuerpodelboletn"/>
              <w:spacing w:before="120" w:after="120" w:line="312" w:lineRule="auto"/>
              <w:rPr>
                <w:rStyle w:val="Ttulo2Car"/>
                <w:b w:val="0"/>
                <w:color w:val="auto"/>
                <w:sz w:val="20"/>
                <w:szCs w:val="20"/>
                <w:lang w:bidi="es-ES"/>
              </w:rPr>
            </w:pPr>
            <w:r w:rsidRPr="00665CC1">
              <w:rPr>
                <w:rStyle w:val="Ttulo2Car"/>
                <w:b w:val="0"/>
                <w:color w:val="auto"/>
                <w:sz w:val="20"/>
                <w:szCs w:val="20"/>
                <w:lang w:bidi="es-ES"/>
              </w:rPr>
              <w:t>Resoluciones de autorización o reconocimiento de compatibilidad que afecten a los empleados.</w:t>
            </w:r>
          </w:p>
        </w:tc>
        <w:tc>
          <w:tcPr>
            <w:tcW w:w="709" w:type="dxa"/>
            <w:tcBorders>
              <w:top w:val="single" w:sz="4" w:space="0" w:color="00642D"/>
              <w:left w:val="single" w:sz="4" w:space="0" w:color="00642D"/>
              <w:bottom w:val="single" w:sz="4" w:space="0" w:color="00642D"/>
              <w:right w:val="single" w:sz="4" w:space="0" w:color="00642D"/>
            </w:tcBorders>
          </w:tcPr>
          <w:p w:rsidR="00F86BF2" w:rsidRPr="00CB5511" w:rsidRDefault="00F86BF2" w:rsidP="007B3BB0">
            <w:pPr>
              <w:pStyle w:val="Cuerpodelboletn"/>
              <w:numPr>
                <w:ilvl w:val="0"/>
                <w:numId w:val="4"/>
              </w:numPr>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F86BF2" w:rsidRPr="00AD29E8" w:rsidRDefault="00114793" w:rsidP="007B3BB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Localizable en el Portal de Transparencia/Información económica, presupuestaria y </w:t>
            </w:r>
            <w:r w:rsidRPr="00114793">
              <w:rPr>
                <w:rStyle w:val="Ttulo2Car"/>
                <w:b w:val="0"/>
                <w:color w:val="auto"/>
                <w:sz w:val="20"/>
                <w:szCs w:val="20"/>
                <w:lang w:bidi="es-ES"/>
              </w:rPr>
              <w:t xml:space="preserve">estadística/Altos directivos. Allí se especifica que </w:t>
            </w:r>
            <w:r>
              <w:rPr>
                <w:rStyle w:val="Ttulo2Car"/>
                <w:b w:val="0"/>
                <w:color w:val="auto"/>
                <w:sz w:val="20"/>
                <w:szCs w:val="20"/>
                <w:lang w:bidi="es-ES"/>
              </w:rPr>
              <w:t xml:space="preserve">no </w:t>
            </w:r>
            <w:r w:rsidR="007B3BB0">
              <w:rPr>
                <w:rStyle w:val="Ttulo2Car"/>
                <w:b w:val="0"/>
                <w:color w:val="auto"/>
                <w:sz w:val="20"/>
                <w:szCs w:val="20"/>
                <w:lang w:bidi="es-ES"/>
              </w:rPr>
              <w:t>se han producido reconocimientos de compatibilidad que afecten a los empleados desde la entrada en vigor de la Ley de Transparencia</w:t>
            </w:r>
            <w:r>
              <w:rPr>
                <w:rFonts w:ascii="Arial" w:hAnsi="Arial" w:cs="Arial"/>
                <w:color w:val="555555"/>
                <w:shd w:val="clear" w:color="auto" w:fill="FFFFFF"/>
              </w:rPr>
              <w:t>.</w:t>
            </w:r>
          </w:p>
        </w:tc>
      </w:tr>
      <w:tr w:rsidR="00F86BF2" w:rsidRPr="00CB5511" w:rsidTr="006069C8">
        <w:trPr>
          <w:trHeight w:val="1703"/>
        </w:trPr>
        <w:tc>
          <w:tcPr>
            <w:tcW w:w="1024" w:type="dxa"/>
            <w:vMerge/>
            <w:tcBorders>
              <w:right w:val="single" w:sz="4" w:space="0" w:color="00642D"/>
            </w:tcBorders>
            <w:shd w:val="clear" w:color="auto" w:fill="00642D"/>
            <w:textDirection w:val="btLr"/>
          </w:tcPr>
          <w:p w:rsidR="00F86BF2" w:rsidRDefault="00F86BF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86BF2" w:rsidRPr="00665CC1" w:rsidRDefault="00F86BF2" w:rsidP="00A86859">
            <w:pPr>
              <w:pStyle w:val="Cuerpodelboletn"/>
              <w:spacing w:before="120" w:after="120" w:line="312" w:lineRule="auto"/>
              <w:rPr>
                <w:rStyle w:val="Ttulo2Car"/>
                <w:b w:val="0"/>
                <w:color w:val="auto"/>
                <w:sz w:val="20"/>
                <w:szCs w:val="20"/>
                <w:lang w:bidi="es-ES"/>
              </w:rPr>
            </w:pPr>
            <w:r w:rsidRPr="00665CC1">
              <w:rPr>
                <w:rStyle w:val="Ttulo2Car"/>
                <w:b w:val="0"/>
                <w:color w:val="auto"/>
                <w:sz w:val="20"/>
                <w:szCs w:val="20"/>
                <w:lang w:bidi="es-ES"/>
              </w:rPr>
              <w:t>Autorización para actividad privada al cese de altos cargos en la AGE o asimilados en CCAA o EELL</w:t>
            </w:r>
          </w:p>
        </w:tc>
        <w:tc>
          <w:tcPr>
            <w:tcW w:w="709" w:type="dxa"/>
            <w:tcBorders>
              <w:top w:val="single" w:sz="4" w:space="0" w:color="00642D"/>
              <w:left w:val="single" w:sz="4" w:space="0" w:color="00642D"/>
              <w:bottom w:val="single" w:sz="4" w:space="0" w:color="00642D"/>
              <w:right w:val="single" w:sz="4" w:space="0" w:color="00642D"/>
            </w:tcBorders>
          </w:tcPr>
          <w:p w:rsidR="00F86BF2" w:rsidRPr="00665CC1" w:rsidRDefault="00F86BF2" w:rsidP="00114793">
            <w:pPr>
              <w:pStyle w:val="Cuerpodelboletn"/>
              <w:numPr>
                <w:ilvl w:val="0"/>
                <w:numId w:val="4"/>
              </w:numPr>
              <w:spacing w:before="120" w:after="120" w:line="312" w:lineRule="auto"/>
              <w:rPr>
                <w:rStyle w:val="Ttulo2Car"/>
                <w:b w:val="0"/>
                <w:sz w:val="24"/>
                <w:szCs w:val="24"/>
                <w:lang w:bidi="es-ES"/>
              </w:rPr>
            </w:pPr>
          </w:p>
        </w:tc>
        <w:tc>
          <w:tcPr>
            <w:tcW w:w="5187" w:type="dxa"/>
            <w:tcBorders>
              <w:top w:val="single" w:sz="4" w:space="0" w:color="00642D"/>
              <w:left w:val="single" w:sz="4" w:space="0" w:color="00642D"/>
              <w:bottom w:val="single" w:sz="4" w:space="0" w:color="00642D"/>
              <w:right w:val="single" w:sz="4" w:space="0" w:color="00642D"/>
            </w:tcBorders>
          </w:tcPr>
          <w:p w:rsidR="00F86BF2" w:rsidRPr="00AD29E8" w:rsidRDefault="00114793" w:rsidP="00114793">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Localizable en el Portal de Transparencia/Información económica, presupuestaria y </w:t>
            </w:r>
            <w:r w:rsidRPr="00114793">
              <w:rPr>
                <w:rStyle w:val="Ttulo2Car"/>
                <w:b w:val="0"/>
                <w:color w:val="auto"/>
                <w:sz w:val="20"/>
                <w:szCs w:val="20"/>
                <w:lang w:bidi="es-ES"/>
              </w:rPr>
              <w:t xml:space="preserve">estadística/Altos directivos. Allí se especifica que </w:t>
            </w:r>
            <w:r w:rsidR="007B3BB0">
              <w:rPr>
                <w:rStyle w:val="Ttulo2Car"/>
                <w:b w:val="0"/>
                <w:color w:val="auto"/>
                <w:sz w:val="20"/>
                <w:szCs w:val="20"/>
                <w:lang w:bidi="es-ES"/>
              </w:rPr>
              <w:t xml:space="preserve">no </w:t>
            </w:r>
            <w:r w:rsidR="007B3BB0" w:rsidRPr="00114793">
              <w:rPr>
                <w:rStyle w:val="Ttulo2Car"/>
                <w:b w:val="0"/>
                <w:color w:val="auto"/>
                <w:sz w:val="20"/>
                <w:szCs w:val="20"/>
                <w:lang w:bidi="es-ES"/>
              </w:rPr>
              <w:t>existen resoluciones de autorización</w:t>
            </w:r>
            <w:r w:rsidR="007B3BB0">
              <w:rPr>
                <w:rStyle w:val="Ttulo2Car"/>
                <w:b w:val="0"/>
                <w:color w:val="auto"/>
                <w:sz w:val="20"/>
                <w:szCs w:val="20"/>
                <w:lang w:bidi="es-ES"/>
              </w:rPr>
              <w:t xml:space="preserve"> o </w:t>
            </w:r>
            <w:r w:rsidR="007B3BB0" w:rsidRPr="00114793">
              <w:rPr>
                <w:rStyle w:val="Ttulo2Car"/>
                <w:b w:val="0"/>
                <w:color w:val="auto"/>
                <w:sz w:val="20"/>
                <w:szCs w:val="20"/>
                <w:lang w:bidi="es-ES"/>
              </w:rPr>
              <w:t>reconocimiento de compatibilidad que afecten al ejercicio de actividad privada al cese de los altos cargos</w:t>
            </w:r>
            <w:r w:rsidR="007B3BB0">
              <w:rPr>
                <w:rFonts w:ascii="Arial" w:hAnsi="Arial" w:cs="Arial"/>
                <w:color w:val="555555"/>
                <w:shd w:val="clear" w:color="auto" w:fill="FFFFFF"/>
              </w:rPr>
              <w:t>.</w:t>
            </w:r>
          </w:p>
        </w:tc>
      </w:tr>
    </w:tbl>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1B6ECD" w:rsidP="00C33A23">
      <w:pPr>
        <w:pStyle w:val="Cuerpodelboletn"/>
        <w:spacing w:before="120" w:after="120" w:line="312" w:lineRule="auto"/>
        <w:ind w:left="360"/>
        <w:rPr>
          <w:b/>
          <w:color w:val="00642D"/>
          <w:szCs w:val="22"/>
        </w:rPr>
      </w:pPr>
      <w:r w:rsidRPr="006A2766">
        <w:rPr>
          <w:rStyle w:val="Ttulo2Car"/>
          <w:noProof/>
        </w:rPr>
        <mc:AlternateContent>
          <mc:Choice Requires="wps">
            <w:drawing>
              <wp:anchor distT="0" distB="0" distL="114300" distR="114300" simplePos="0" relativeHeight="251675648" behindDoc="0" locked="0" layoutInCell="1" allowOverlap="1" wp14:anchorId="320E9AC5" wp14:editId="75545287">
                <wp:simplePos x="0" y="0"/>
                <wp:positionH relativeFrom="column">
                  <wp:posOffset>713105</wp:posOffset>
                </wp:positionH>
                <wp:positionV relativeFrom="paragraph">
                  <wp:posOffset>152400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BF2DB4" w:rsidRDefault="00BF2DB4" w:rsidP="001B6ECD">
                            <w:pPr>
                              <w:rPr>
                                <w:b/>
                                <w:color w:val="00642D"/>
                              </w:rPr>
                            </w:pPr>
                            <w:r w:rsidRPr="00BD4582">
                              <w:rPr>
                                <w:b/>
                                <w:color w:val="00642D"/>
                              </w:rPr>
                              <w:t>Contenidos</w:t>
                            </w:r>
                          </w:p>
                          <w:p w:rsidR="00BF2DB4" w:rsidRPr="00EF7E5C" w:rsidRDefault="00BF2DB4" w:rsidP="001B6ECD">
                            <w:pPr>
                              <w:jc w:val="both"/>
                              <w:rPr>
                                <w:sz w:val="20"/>
                                <w:szCs w:val="20"/>
                              </w:rPr>
                            </w:pPr>
                            <w:r w:rsidRPr="00EF7E5C">
                              <w:rPr>
                                <w:sz w:val="20"/>
                                <w:szCs w:val="20"/>
                              </w:rPr>
                              <w:t>La información publicada no contempla la totalidad de los contenidos obligatorios establecidos en el artículo 8 de la LTAIBG.</w:t>
                            </w:r>
                          </w:p>
                          <w:p w:rsidR="00BF2DB4" w:rsidRPr="007B3939" w:rsidRDefault="00BF2DB4" w:rsidP="001B6ECD">
                            <w:pPr>
                              <w:pStyle w:val="Prrafodelista"/>
                              <w:numPr>
                                <w:ilvl w:val="0"/>
                                <w:numId w:val="7"/>
                              </w:numPr>
                              <w:jc w:val="both"/>
                              <w:rPr>
                                <w:sz w:val="20"/>
                                <w:szCs w:val="20"/>
                              </w:rPr>
                            </w:pPr>
                            <w:r w:rsidRPr="007B3939">
                              <w:rPr>
                                <w:sz w:val="20"/>
                                <w:szCs w:val="20"/>
                              </w:rPr>
                              <w:t>No se ha localizado información sobre contratos mayores</w:t>
                            </w:r>
                          </w:p>
                          <w:p w:rsidR="00BF2DB4" w:rsidRPr="007B3939" w:rsidRDefault="00BF2DB4" w:rsidP="001B6ECD">
                            <w:pPr>
                              <w:pStyle w:val="Prrafodelista"/>
                              <w:numPr>
                                <w:ilvl w:val="0"/>
                                <w:numId w:val="7"/>
                              </w:numPr>
                              <w:jc w:val="both"/>
                              <w:rPr>
                                <w:sz w:val="20"/>
                                <w:szCs w:val="20"/>
                              </w:rPr>
                            </w:pPr>
                            <w:r w:rsidRPr="007B3939">
                              <w:rPr>
                                <w:sz w:val="20"/>
                                <w:szCs w:val="20"/>
                              </w:rPr>
                              <w:t>No se ha localizado información sobre modificaciones de contratos adjudicados.</w:t>
                            </w:r>
                          </w:p>
                          <w:p w:rsidR="00BF2DB4" w:rsidRPr="007B3939" w:rsidRDefault="00BF2DB4" w:rsidP="001B6ECD">
                            <w:pPr>
                              <w:pStyle w:val="Prrafodelista"/>
                              <w:numPr>
                                <w:ilvl w:val="0"/>
                                <w:numId w:val="7"/>
                              </w:numPr>
                              <w:jc w:val="both"/>
                              <w:rPr>
                                <w:sz w:val="20"/>
                                <w:szCs w:val="20"/>
                              </w:rPr>
                            </w:pPr>
                            <w:r w:rsidRPr="007B3939">
                              <w:rPr>
                                <w:sz w:val="20"/>
                                <w:szCs w:val="20"/>
                              </w:rPr>
                              <w:t>No se ha localizado información sobre desistimientos y renuncias a contratos  adjudicados.</w:t>
                            </w:r>
                          </w:p>
                          <w:p w:rsidR="00BF2DB4" w:rsidRDefault="00BF2DB4" w:rsidP="001B6ECD">
                            <w:pPr>
                              <w:pStyle w:val="Prrafodelista"/>
                              <w:numPr>
                                <w:ilvl w:val="0"/>
                                <w:numId w:val="7"/>
                              </w:numPr>
                              <w:jc w:val="both"/>
                              <w:rPr>
                                <w:sz w:val="20"/>
                                <w:szCs w:val="20"/>
                              </w:rPr>
                            </w:pPr>
                            <w:r>
                              <w:rPr>
                                <w:sz w:val="20"/>
                                <w:szCs w:val="20"/>
                              </w:rPr>
                              <w:t>No se ha localizado información estadística sobre los contratos adjudicados según procedimiento de licitación.</w:t>
                            </w:r>
                          </w:p>
                          <w:p w:rsidR="00BF2DB4" w:rsidRDefault="00BF2DB4" w:rsidP="001B6ECD">
                            <w:pPr>
                              <w:jc w:val="both"/>
                              <w:rPr>
                                <w:b/>
                                <w:color w:val="00642D"/>
                              </w:rPr>
                            </w:pPr>
                            <w:r w:rsidRPr="00C01380">
                              <w:rPr>
                                <w:b/>
                                <w:color w:val="00642D"/>
                              </w:rPr>
                              <w:t>Calidad de la Información</w:t>
                            </w:r>
                          </w:p>
                          <w:p w:rsidR="00BF2DB4" w:rsidRPr="007B3939" w:rsidRDefault="00BF2DB4" w:rsidP="001B6ECD">
                            <w:pPr>
                              <w:pStyle w:val="Prrafodelista"/>
                              <w:numPr>
                                <w:ilvl w:val="0"/>
                                <w:numId w:val="8"/>
                              </w:numPr>
                              <w:jc w:val="both"/>
                              <w:rPr>
                                <w:sz w:val="20"/>
                                <w:szCs w:val="20"/>
                              </w:rPr>
                            </w:pPr>
                            <w:r w:rsidRPr="007B3939">
                              <w:rPr>
                                <w:sz w:val="20"/>
                                <w:szCs w:val="20"/>
                              </w:rPr>
                              <w:t xml:space="preserve">La forma de publicación de la información contractual – redirección a la página inicial de la Plataforma de Contratación del Sector Público – dificulta enormemente la localización y accesibilidad a la información.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56.15pt;margin-top:12pt;width:433.8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">
                <v:textbox style="mso-fit-shape-to-text:t">
                  <w:txbxContent>
                    <w:p w:rsidR="007B3939" w:rsidRDefault="007B3939" w:rsidP="001B6ECD">
                      <w:pPr>
                        <w:rPr>
                          <w:b/>
                          <w:color w:val="00642D"/>
                        </w:rPr>
                      </w:pPr>
                      <w:r w:rsidRPr="00BD4582">
                        <w:rPr>
                          <w:b/>
                          <w:color w:val="00642D"/>
                        </w:rPr>
                        <w:t>Contenidos</w:t>
                      </w:r>
                    </w:p>
                    <w:p w:rsidR="007B3939" w:rsidRPr="00EF7E5C" w:rsidRDefault="007B3939" w:rsidP="001B6ECD">
                      <w:pPr>
                        <w:jc w:val="both"/>
                        <w:rPr>
                          <w:sz w:val="20"/>
                          <w:szCs w:val="20"/>
                        </w:rPr>
                      </w:pPr>
                      <w:r w:rsidRPr="00EF7E5C">
                        <w:rPr>
                          <w:sz w:val="20"/>
                          <w:szCs w:val="20"/>
                        </w:rPr>
                        <w:t>La información publicada no contempla la totalidad de los contenidos obligatorios establecidos en el artículo 8 de la LTAIBG.</w:t>
                      </w:r>
                    </w:p>
                    <w:p w:rsidR="007B3939" w:rsidRPr="007B3939" w:rsidRDefault="007B3939" w:rsidP="001B6ECD">
                      <w:pPr>
                        <w:pStyle w:val="Prrafodelista"/>
                        <w:numPr>
                          <w:ilvl w:val="0"/>
                          <w:numId w:val="7"/>
                        </w:numPr>
                        <w:jc w:val="both"/>
                        <w:rPr>
                          <w:sz w:val="20"/>
                          <w:szCs w:val="20"/>
                        </w:rPr>
                      </w:pPr>
                      <w:r w:rsidRPr="007B3939">
                        <w:rPr>
                          <w:sz w:val="20"/>
                          <w:szCs w:val="20"/>
                        </w:rPr>
                        <w:t>No se ha localizado información sobre contratos mayores</w:t>
                      </w:r>
                    </w:p>
                    <w:p w:rsidR="007B3939" w:rsidRPr="007B3939" w:rsidRDefault="007B3939" w:rsidP="001B6ECD">
                      <w:pPr>
                        <w:pStyle w:val="Prrafodelista"/>
                        <w:numPr>
                          <w:ilvl w:val="0"/>
                          <w:numId w:val="7"/>
                        </w:numPr>
                        <w:jc w:val="both"/>
                        <w:rPr>
                          <w:sz w:val="20"/>
                          <w:szCs w:val="20"/>
                        </w:rPr>
                      </w:pPr>
                      <w:r w:rsidRPr="007B3939">
                        <w:rPr>
                          <w:sz w:val="20"/>
                          <w:szCs w:val="20"/>
                        </w:rPr>
                        <w:t>No se ha localizado información sobre modificaciones de contratos adjudicados.</w:t>
                      </w:r>
                    </w:p>
                    <w:p w:rsidR="007B3939" w:rsidRPr="007B3939" w:rsidRDefault="007B3939" w:rsidP="001B6ECD">
                      <w:pPr>
                        <w:pStyle w:val="Prrafodelista"/>
                        <w:numPr>
                          <w:ilvl w:val="0"/>
                          <w:numId w:val="7"/>
                        </w:numPr>
                        <w:jc w:val="both"/>
                        <w:rPr>
                          <w:sz w:val="20"/>
                          <w:szCs w:val="20"/>
                        </w:rPr>
                      </w:pPr>
                      <w:r w:rsidRPr="007B3939">
                        <w:rPr>
                          <w:sz w:val="20"/>
                          <w:szCs w:val="20"/>
                        </w:rPr>
                        <w:t>No se ha localizado información sobre desistimientos y renuncias a contratos  adjudicados.</w:t>
                      </w:r>
                    </w:p>
                    <w:p w:rsidR="007B3939" w:rsidRDefault="007B3939" w:rsidP="001B6ECD">
                      <w:pPr>
                        <w:pStyle w:val="Prrafodelista"/>
                        <w:numPr>
                          <w:ilvl w:val="0"/>
                          <w:numId w:val="7"/>
                        </w:numPr>
                        <w:jc w:val="both"/>
                        <w:rPr>
                          <w:sz w:val="20"/>
                          <w:szCs w:val="20"/>
                        </w:rPr>
                      </w:pPr>
                      <w:r>
                        <w:rPr>
                          <w:sz w:val="20"/>
                          <w:szCs w:val="20"/>
                        </w:rPr>
                        <w:t>No se ha localizado información estadística sobre los contratos adjudicados según procedimiento de licitación.</w:t>
                      </w:r>
                    </w:p>
                    <w:p w:rsidR="007B3939" w:rsidRDefault="007B3939" w:rsidP="001B6ECD">
                      <w:pPr>
                        <w:jc w:val="both"/>
                        <w:rPr>
                          <w:b/>
                          <w:color w:val="00642D"/>
                        </w:rPr>
                      </w:pPr>
                      <w:r w:rsidRPr="00C01380">
                        <w:rPr>
                          <w:b/>
                          <w:color w:val="00642D"/>
                        </w:rPr>
                        <w:t>Calidad de la Información</w:t>
                      </w:r>
                    </w:p>
                    <w:p w:rsidR="007B3939" w:rsidRPr="007B3939" w:rsidRDefault="007B3939" w:rsidP="001B6ECD">
                      <w:pPr>
                        <w:pStyle w:val="Prrafodelista"/>
                        <w:numPr>
                          <w:ilvl w:val="0"/>
                          <w:numId w:val="8"/>
                        </w:numPr>
                        <w:jc w:val="both"/>
                        <w:rPr>
                          <w:sz w:val="20"/>
                          <w:szCs w:val="20"/>
                        </w:rPr>
                      </w:pPr>
                      <w:r w:rsidRPr="007B3939">
                        <w:rPr>
                          <w:sz w:val="20"/>
                          <w:szCs w:val="20"/>
                        </w:rPr>
                        <w:t xml:space="preserve">La forma de publicación de la información contractual – redirección a la página inicial de la Plataforma de Contratación del Sector Público – dificulta enormemente la localización y accesibilidad a la información. </w:t>
                      </w:r>
                    </w:p>
                  </w:txbxContent>
                </v:textbox>
              </v:shape>
            </w:pict>
          </mc:Fallback>
        </mc:AlternateContent>
      </w:r>
    </w:p>
    <w:p w:rsidR="001B6ECD" w:rsidRDefault="001B6ECD" w:rsidP="00C33A23">
      <w:pPr>
        <w:pStyle w:val="Cuerpodelboletn"/>
        <w:spacing w:before="120" w:after="120" w:line="312" w:lineRule="auto"/>
        <w:ind w:left="360"/>
        <w:rPr>
          <w:b/>
          <w:color w:val="00642D"/>
          <w:szCs w:val="22"/>
        </w:rPr>
      </w:pPr>
    </w:p>
    <w:p w:rsidR="001B6ECD" w:rsidRDefault="001B6ECD" w:rsidP="00C33A23">
      <w:pPr>
        <w:pStyle w:val="Cuerpodelboletn"/>
        <w:spacing w:before="120" w:after="120" w:line="312" w:lineRule="auto"/>
        <w:ind w:left="360"/>
        <w:rPr>
          <w:b/>
          <w:color w:val="00642D"/>
          <w:szCs w:val="22"/>
        </w:rPr>
      </w:pPr>
    </w:p>
    <w:p w:rsidR="001B6ECD" w:rsidRDefault="001B6ECD" w:rsidP="00C33A23">
      <w:pPr>
        <w:pStyle w:val="Cuerpodelboletn"/>
        <w:spacing w:before="120" w:after="120" w:line="312" w:lineRule="auto"/>
        <w:ind w:left="360"/>
        <w:rPr>
          <w:b/>
          <w:color w:val="00642D"/>
          <w:szCs w:val="22"/>
        </w:rPr>
      </w:pPr>
    </w:p>
    <w:p w:rsidR="001B6ECD" w:rsidRDefault="001B6ECD" w:rsidP="00C33A23">
      <w:pPr>
        <w:pStyle w:val="Cuerpodelboletn"/>
        <w:spacing w:before="120" w:after="120" w:line="312" w:lineRule="auto"/>
        <w:ind w:left="360"/>
        <w:rPr>
          <w:b/>
          <w:color w:val="00642D"/>
          <w:szCs w:val="22"/>
        </w:rPr>
      </w:pPr>
    </w:p>
    <w:p w:rsidR="001B6ECD" w:rsidRDefault="001B6ECD" w:rsidP="00C33A23">
      <w:pPr>
        <w:pStyle w:val="Cuerpodelboletn"/>
        <w:spacing w:before="120" w:after="120" w:line="312" w:lineRule="auto"/>
        <w:ind w:left="360"/>
        <w:rPr>
          <w:b/>
          <w:color w:val="00642D"/>
          <w:szCs w:val="22"/>
        </w:rPr>
      </w:pPr>
    </w:p>
    <w:p w:rsidR="001B6ECD" w:rsidRDefault="001B6ECD" w:rsidP="00C33A23">
      <w:pPr>
        <w:pStyle w:val="Cuerpodelboletn"/>
        <w:spacing w:before="120" w:after="120" w:line="312" w:lineRule="auto"/>
        <w:ind w:left="360"/>
        <w:rPr>
          <w:b/>
          <w:color w:val="00642D"/>
          <w:szCs w:val="22"/>
        </w:rPr>
      </w:pPr>
    </w:p>
    <w:p w:rsidR="001B6ECD" w:rsidRDefault="001B6ECD" w:rsidP="00C33A23">
      <w:pPr>
        <w:pStyle w:val="Cuerpodelboletn"/>
        <w:spacing w:before="120" w:after="120" w:line="312" w:lineRule="auto"/>
        <w:ind w:left="360"/>
        <w:rPr>
          <w:b/>
          <w:color w:val="00642D"/>
          <w:szCs w:val="22"/>
        </w:rPr>
      </w:pPr>
    </w:p>
    <w:p w:rsidR="001B6ECD" w:rsidRDefault="001B6ECD" w:rsidP="00C33A23">
      <w:pPr>
        <w:pStyle w:val="Cuerpodelboletn"/>
        <w:spacing w:before="120" w:after="120" w:line="312" w:lineRule="auto"/>
        <w:ind w:left="360"/>
        <w:rPr>
          <w:b/>
          <w:color w:val="00642D"/>
          <w:szCs w:val="22"/>
        </w:rPr>
      </w:pPr>
    </w:p>
    <w:p w:rsidR="001B6ECD" w:rsidRDefault="001B6ECD" w:rsidP="00C33A23">
      <w:pPr>
        <w:pStyle w:val="Cuerpodelboletn"/>
        <w:spacing w:before="120" w:after="120" w:line="312" w:lineRule="auto"/>
        <w:ind w:left="360"/>
        <w:rPr>
          <w:b/>
          <w:color w:val="00642D"/>
          <w:szCs w:val="22"/>
        </w:rPr>
      </w:pPr>
    </w:p>
    <w:p w:rsidR="001B6ECD" w:rsidRDefault="001B6ECD" w:rsidP="00C33A23">
      <w:pPr>
        <w:pStyle w:val="Cuerpodelboletn"/>
        <w:spacing w:before="120" w:after="120" w:line="312" w:lineRule="auto"/>
        <w:ind w:left="360"/>
        <w:rPr>
          <w:b/>
          <w:color w:val="00642D"/>
          <w:szCs w:val="22"/>
        </w:rPr>
      </w:pPr>
    </w:p>
    <w:p w:rsidR="001B6ECD" w:rsidRDefault="001B6ECD" w:rsidP="00C33A23">
      <w:pPr>
        <w:pStyle w:val="Cuerpodelboletn"/>
        <w:spacing w:before="120" w:after="120" w:line="312" w:lineRule="auto"/>
        <w:ind w:left="360"/>
        <w:rPr>
          <w:b/>
          <w:color w:val="00642D"/>
          <w:szCs w:val="22"/>
        </w:rPr>
      </w:pPr>
    </w:p>
    <w:p w:rsidR="00BF2DB4" w:rsidRDefault="00BF2DB4" w:rsidP="00C33A23">
      <w:pPr>
        <w:pStyle w:val="Cuerpodelboletn"/>
        <w:spacing w:before="120" w:after="120" w:line="312" w:lineRule="auto"/>
        <w:ind w:left="360"/>
        <w:rPr>
          <w:b/>
          <w:color w:val="00642D"/>
          <w:szCs w:val="22"/>
        </w:rPr>
      </w:pPr>
    </w:p>
    <w:p w:rsidR="00BF2DB4" w:rsidRDefault="00BF2DB4" w:rsidP="00C33A23">
      <w:pPr>
        <w:pStyle w:val="Cuerpodelboletn"/>
        <w:spacing w:before="120" w:after="120" w:line="312" w:lineRule="auto"/>
        <w:ind w:left="360"/>
        <w:rPr>
          <w:b/>
          <w:color w:val="00642D"/>
          <w:szCs w:val="22"/>
        </w:rPr>
      </w:pPr>
    </w:p>
    <w:p w:rsidR="00BF2DB4" w:rsidRDefault="00BF2DB4" w:rsidP="00C33A23">
      <w:pPr>
        <w:pStyle w:val="Cuerpodelboletn"/>
        <w:spacing w:before="120" w:after="120" w:line="312" w:lineRule="auto"/>
        <w:ind w:left="360"/>
        <w:rPr>
          <w:b/>
          <w:color w:val="00642D"/>
          <w:szCs w:val="22"/>
        </w:rPr>
      </w:pPr>
    </w:p>
    <w:p w:rsidR="001B6ECD" w:rsidRDefault="001B6ECD" w:rsidP="00C33A23">
      <w:pPr>
        <w:pStyle w:val="Cuerpodelboletn"/>
        <w:spacing w:before="120" w:after="120" w:line="312" w:lineRule="auto"/>
        <w:ind w:left="360"/>
        <w:rPr>
          <w:b/>
          <w:color w:val="00642D"/>
          <w:szCs w:val="22"/>
        </w:rPr>
      </w:pPr>
    </w:p>
    <w:p w:rsidR="00BD4582" w:rsidRPr="00BD4582" w:rsidRDefault="001B6ECD" w:rsidP="00932008">
      <w:pPr>
        <w:pStyle w:val="Cuerpodelboletn"/>
        <w:numPr>
          <w:ilvl w:val="0"/>
          <w:numId w:val="1"/>
        </w:numPr>
        <w:spacing w:before="120" w:after="120" w:line="312" w:lineRule="auto"/>
        <w:rPr>
          <w:b/>
          <w:color w:val="00642D"/>
          <w:sz w:val="32"/>
        </w:rPr>
      </w:pPr>
      <w:r>
        <w:rPr>
          <w:b/>
          <w:color w:val="00642D"/>
          <w:sz w:val="32"/>
        </w:rPr>
        <w:lastRenderedPageBreak/>
        <w:t>Ín</w:t>
      </w:r>
      <w:r w:rsidR="00BD4582" w:rsidRPr="00BD4582">
        <w:rPr>
          <w:b/>
          <w:color w:val="00642D"/>
          <w:sz w:val="32"/>
        </w:rPr>
        <w:t>dice de Cumplimiento de la Información Obligatoria</w:t>
      </w:r>
    </w:p>
    <w:tbl>
      <w:tblPr>
        <w:tblStyle w:val="Sombreadomedio2-nfasis3"/>
        <w:tblW w:w="11121" w:type="dxa"/>
        <w:tblInd w:w="108" w:type="dxa"/>
        <w:tblLook w:val="04A0" w:firstRow="1" w:lastRow="0" w:firstColumn="1" w:lastColumn="0" w:noHBand="0" w:noVBand="1"/>
      </w:tblPr>
      <w:tblGrid>
        <w:gridCol w:w="5001"/>
        <w:gridCol w:w="765"/>
        <w:gridCol w:w="765"/>
        <w:gridCol w:w="765"/>
        <w:gridCol w:w="765"/>
        <w:gridCol w:w="765"/>
        <w:gridCol w:w="765"/>
        <w:gridCol w:w="765"/>
        <w:gridCol w:w="765"/>
      </w:tblGrid>
      <w:tr w:rsidR="002A154B" w:rsidRPr="00FD0689" w:rsidTr="002A154B">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5001"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A12295" w:rsidRPr="00FD0689" w:rsidTr="00692C29">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A12295" w:rsidRPr="00FD0689" w:rsidRDefault="00A12295"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A12295" w:rsidRPr="00692C29" w:rsidRDefault="00A12295" w:rsidP="00692C29">
            <w:pPr>
              <w:jc w:val="center"/>
              <w:cnfStyle w:val="000000100000" w:firstRow="0" w:lastRow="0" w:firstColumn="0" w:lastColumn="0" w:oddVBand="0" w:evenVBand="0" w:oddHBand="1" w:evenHBand="0" w:firstRowFirstColumn="0" w:firstRowLastColumn="0" w:lastRowFirstColumn="0" w:lastRowLastColumn="0"/>
              <w:rPr>
                <w:sz w:val="16"/>
              </w:rPr>
            </w:pPr>
            <w:r w:rsidRPr="00692C29">
              <w:rPr>
                <w:sz w:val="16"/>
              </w:rPr>
              <w:t>78,6</w:t>
            </w:r>
          </w:p>
        </w:tc>
        <w:tc>
          <w:tcPr>
            <w:tcW w:w="0" w:type="auto"/>
            <w:noWrap/>
            <w:vAlign w:val="center"/>
          </w:tcPr>
          <w:p w:rsidR="00A12295" w:rsidRPr="00692C29" w:rsidRDefault="00A12295" w:rsidP="00692C29">
            <w:pPr>
              <w:jc w:val="center"/>
              <w:cnfStyle w:val="000000100000" w:firstRow="0" w:lastRow="0" w:firstColumn="0" w:lastColumn="0" w:oddVBand="0" w:evenVBand="0" w:oddHBand="1" w:evenHBand="0" w:firstRowFirstColumn="0" w:firstRowLastColumn="0" w:lastRowFirstColumn="0" w:lastRowLastColumn="0"/>
              <w:rPr>
                <w:sz w:val="16"/>
              </w:rPr>
            </w:pPr>
            <w:r w:rsidRPr="00692C29">
              <w:rPr>
                <w:sz w:val="16"/>
              </w:rPr>
              <w:t>78,6</w:t>
            </w:r>
          </w:p>
        </w:tc>
        <w:tc>
          <w:tcPr>
            <w:tcW w:w="0" w:type="auto"/>
            <w:noWrap/>
            <w:vAlign w:val="center"/>
          </w:tcPr>
          <w:p w:rsidR="00A12295" w:rsidRPr="00692C29" w:rsidRDefault="00A12295" w:rsidP="00692C29">
            <w:pPr>
              <w:jc w:val="center"/>
              <w:cnfStyle w:val="000000100000" w:firstRow="0" w:lastRow="0" w:firstColumn="0" w:lastColumn="0" w:oddVBand="0" w:evenVBand="0" w:oddHBand="1" w:evenHBand="0" w:firstRowFirstColumn="0" w:firstRowLastColumn="0" w:lastRowFirstColumn="0" w:lastRowLastColumn="0"/>
              <w:rPr>
                <w:sz w:val="16"/>
              </w:rPr>
            </w:pPr>
            <w:r w:rsidRPr="00692C29">
              <w:rPr>
                <w:sz w:val="16"/>
              </w:rPr>
              <w:t>78,6</w:t>
            </w:r>
          </w:p>
        </w:tc>
        <w:tc>
          <w:tcPr>
            <w:tcW w:w="0" w:type="auto"/>
            <w:noWrap/>
            <w:vAlign w:val="center"/>
          </w:tcPr>
          <w:p w:rsidR="00A12295" w:rsidRPr="00692C29" w:rsidRDefault="00A12295" w:rsidP="00692C29">
            <w:pPr>
              <w:jc w:val="center"/>
              <w:cnfStyle w:val="000000100000" w:firstRow="0" w:lastRow="0" w:firstColumn="0" w:lastColumn="0" w:oddVBand="0" w:evenVBand="0" w:oddHBand="1" w:evenHBand="0" w:firstRowFirstColumn="0" w:firstRowLastColumn="0" w:lastRowFirstColumn="0" w:lastRowLastColumn="0"/>
              <w:rPr>
                <w:sz w:val="16"/>
              </w:rPr>
            </w:pPr>
            <w:r w:rsidRPr="00692C29">
              <w:rPr>
                <w:sz w:val="16"/>
              </w:rPr>
              <w:t>78,6</w:t>
            </w:r>
          </w:p>
        </w:tc>
        <w:tc>
          <w:tcPr>
            <w:tcW w:w="0" w:type="auto"/>
            <w:noWrap/>
            <w:vAlign w:val="center"/>
          </w:tcPr>
          <w:p w:rsidR="00A12295" w:rsidRPr="00692C29" w:rsidRDefault="00A12295" w:rsidP="00692C29">
            <w:pPr>
              <w:jc w:val="center"/>
              <w:cnfStyle w:val="000000100000" w:firstRow="0" w:lastRow="0" w:firstColumn="0" w:lastColumn="0" w:oddVBand="0" w:evenVBand="0" w:oddHBand="1" w:evenHBand="0" w:firstRowFirstColumn="0" w:firstRowLastColumn="0" w:lastRowFirstColumn="0" w:lastRowLastColumn="0"/>
              <w:rPr>
                <w:sz w:val="16"/>
              </w:rPr>
            </w:pPr>
            <w:r w:rsidRPr="00692C29">
              <w:rPr>
                <w:sz w:val="16"/>
              </w:rPr>
              <w:t>78,6</w:t>
            </w:r>
          </w:p>
        </w:tc>
        <w:tc>
          <w:tcPr>
            <w:tcW w:w="0" w:type="auto"/>
            <w:noWrap/>
            <w:vAlign w:val="center"/>
          </w:tcPr>
          <w:p w:rsidR="00A12295" w:rsidRPr="00692C29" w:rsidRDefault="00A12295" w:rsidP="00692C29">
            <w:pPr>
              <w:jc w:val="center"/>
              <w:cnfStyle w:val="000000100000" w:firstRow="0" w:lastRow="0" w:firstColumn="0" w:lastColumn="0" w:oddVBand="0" w:evenVBand="0" w:oddHBand="1" w:evenHBand="0" w:firstRowFirstColumn="0" w:firstRowLastColumn="0" w:lastRowFirstColumn="0" w:lastRowLastColumn="0"/>
              <w:rPr>
                <w:sz w:val="16"/>
              </w:rPr>
            </w:pPr>
            <w:r w:rsidRPr="00692C29">
              <w:rPr>
                <w:sz w:val="16"/>
              </w:rPr>
              <w:t>78,6</w:t>
            </w:r>
          </w:p>
        </w:tc>
        <w:tc>
          <w:tcPr>
            <w:tcW w:w="0" w:type="auto"/>
            <w:noWrap/>
            <w:vAlign w:val="center"/>
          </w:tcPr>
          <w:p w:rsidR="00A12295" w:rsidRPr="00692C29" w:rsidRDefault="00A12295" w:rsidP="00692C29">
            <w:pPr>
              <w:jc w:val="center"/>
              <w:cnfStyle w:val="000000100000" w:firstRow="0" w:lastRow="0" w:firstColumn="0" w:lastColumn="0" w:oddVBand="0" w:evenVBand="0" w:oddHBand="1" w:evenHBand="0" w:firstRowFirstColumn="0" w:firstRowLastColumn="0" w:lastRowFirstColumn="0" w:lastRowLastColumn="0"/>
              <w:rPr>
                <w:sz w:val="16"/>
              </w:rPr>
            </w:pPr>
            <w:r w:rsidRPr="00692C29">
              <w:rPr>
                <w:sz w:val="16"/>
              </w:rPr>
              <w:t>14,3</w:t>
            </w:r>
          </w:p>
        </w:tc>
        <w:tc>
          <w:tcPr>
            <w:tcW w:w="0" w:type="auto"/>
            <w:noWrap/>
            <w:vAlign w:val="center"/>
          </w:tcPr>
          <w:p w:rsidR="00A12295" w:rsidRPr="00692C29" w:rsidRDefault="00A12295" w:rsidP="00692C29">
            <w:pPr>
              <w:jc w:val="center"/>
              <w:cnfStyle w:val="000000100000" w:firstRow="0" w:lastRow="0" w:firstColumn="0" w:lastColumn="0" w:oddVBand="0" w:evenVBand="0" w:oddHBand="1" w:evenHBand="0" w:firstRowFirstColumn="0" w:firstRowLastColumn="0" w:lastRowFirstColumn="0" w:lastRowLastColumn="0"/>
              <w:rPr>
                <w:sz w:val="16"/>
              </w:rPr>
            </w:pPr>
            <w:r w:rsidRPr="00692C29">
              <w:rPr>
                <w:sz w:val="16"/>
              </w:rPr>
              <w:t>69,4</w:t>
            </w:r>
          </w:p>
        </w:tc>
      </w:tr>
      <w:tr w:rsidR="00A12295" w:rsidRPr="00FD0689" w:rsidTr="00692C29">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A12295" w:rsidRPr="00FD0689" w:rsidRDefault="00A12295"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A12295" w:rsidRPr="00692C29" w:rsidRDefault="00A12295" w:rsidP="00692C29">
            <w:pPr>
              <w:jc w:val="center"/>
              <w:cnfStyle w:val="000000000000" w:firstRow="0" w:lastRow="0" w:firstColumn="0" w:lastColumn="0" w:oddVBand="0" w:evenVBand="0" w:oddHBand="0" w:evenHBand="0" w:firstRowFirstColumn="0" w:firstRowLastColumn="0" w:lastRowFirstColumn="0" w:lastRowLastColumn="0"/>
              <w:rPr>
                <w:sz w:val="16"/>
              </w:rPr>
            </w:pPr>
            <w:r w:rsidRPr="00692C29">
              <w:rPr>
                <w:sz w:val="16"/>
              </w:rPr>
              <w:t>60,0</w:t>
            </w:r>
          </w:p>
        </w:tc>
        <w:tc>
          <w:tcPr>
            <w:tcW w:w="0" w:type="auto"/>
            <w:noWrap/>
            <w:vAlign w:val="center"/>
          </w:tcPr>
          <w:p w:rsidR="00A12295" w:rsidRPr="00692C29" w:rsidRDefault="00A12295" w:rsidP="00692C29">
            <w:pPr>
              <w:jc w:val="center"/>
              <w:cnfStyle w:val="000000000000" w:firstRow="0" w:lastRow="0" w:firstColumn="0" w:lastColumn="0" w:oddVBand="0" w:evenVBand="0" w:oddHBand="0" w:evenHBand="0" w:firstRowFirstColumn="0" w:firstRowLastColumn="0" w:lastRowFirstColumn="0" w:lastRowLastColumn="0"/>
              <w:rPr>
                <w:sz w:val="16"/>
              </w:rPr>
            </w:pPr>
            <w:r w:rsidRPr="00692C29">
              <w:rPr>
                <w:sz w:val="16"/>
              </w:rPr>
              <w:t>60,0</w:t>
            </w:r>
          </w:p>
        </w:tc>
        <w:tc>
          <w:tcPr>
            <w:tcW w:w="0" w:type="auto"/>
            <w:noWrap/>
            <w:vAlign w:val="center"/>
          </w:tcPr>
          <w:p w:rsidR="00A12295" w:rsidRPr="00692C29" w:rsidRDefault="00A12295" w:rsidP="00692C29">
            <w:pPr>
              <w:jc w:val="center"/>
              <w:cnfStyle w:val="000000000000" w:firstRow="0" w:lastRow="0" w:firstColumn="0" w:lastColumn="0" w:oddVBand="0" w:evenVBand="0" w:oddHBand="0" w:evenHBand="0" w:firstRowFirstColumn="0" w:firstRowLastColumn="0" w:lastRowFirstColumn="0" w:lastRowLastColumn="0"/>
              <w:rPr>
                <w:sz w:val="16"/>
              </w:rPr>
            </w:pPr>
            <w:r w:rsidRPr="00692C29">
              <w:rPr>
                <w:sz w:val="16"/>
              </w:rPr>
              <w:t>60,0</w:t>
            </w:r>
          </w:p>
        </w:tc>
        <w:tc>
          <w:tcPr>
            <w:tcW w:w="0" w:type="auto"/>
            <w:noWrap/>
            <w:vAlign w:val="center"/>
          </w:tcPr>
          <w:p w:rsidR="00A12295" w:rsidRPr="00692C29" w:rsidRDefault="00A12295" w:rsidP="00692C29">
            <w:pPr>
              <w:jc w:val="center"/>
              <w:cnfStyle w:val="000000000000" w:firstRow="0" w:lastRow="0" w:firstColumn="0" w:lastColumn="0" w:oddVBand="0" w:evenVBand="0" w:oddHBand="0" w:evenHBand="0" w:firstRowFirstColumn="0" w:firstRowLastColumn="0" w:lastRowFirstColumn="0" w:lastRowLastColumn="0"/>
              <w:rPr>
                <w:sz w:val="16"/>
              </w:rPr>
            </w:pPr>
            <w:r w:rsidRPr="00692C29">
              <w:rPr>
                <w:sz w:val="16"/>
              </w:rPr>
              <w:t>60,0</w:t>
            </w:r>
          </w:p>
        </w:tc>
        <w:tc>
          <w:tcPr>
            <w:tcW w:w="0" w:type="auto"/>
            <w:noWrap/>
            <w:vAlign w:val="center"/>
          </w:tcPr>
          <w:p w:rsidR="00A12295" w:rsidRPr="00692C29" w:rsidRDefault="00A12295" w:rsidP="00692C29">
            <w:pPr>
              <w:jc w:val="center"/>
              <w:cnfStyle w:val="000000000000" w:firstRow="0" w:lastRow="0" w:firstColumn="0" w:lastColumn="0" w:oddVBand="0" w:evenVBand="0" w:oddHBand="0" w:evenHBand="0" w:firstRowFirstColumn="0" w:firstRowLastColumn="0" w:lastRowFirstColumn="0" w:lastRowLastColumn="0"/>
              <w:rPr>
                <w:sz w:val="16"/>
              </w:rPr>
            </w:pPr>
            <w:r w:rsidRPr="00692C29">
              <w:rPr>
                <w:sz w:val="16"/>
              </w:rPr>
              <w:t>60,0</w:t>
            </w:r>
          </w:p>
        </w:tc>
        <w:tc>
          <w:tcPr>
            <w:tcW w:w="0" w:type="auto"/>
            <w:noWrap/>
            <w:vAlign w:val="center"/>
          </w:tcPr>
          <w:p w:rsidR="00A12295" w:rsidRPr="00692C29" w:rsidRDefault="00A12295" w:rsidP="00692C29">
            <w:pPr>
              <w:jc w:val="center"/>
              <w:cnfStyle w:val="000000000000" w:firstRow="0" w:lastRow="0" w:firstColumn="0" w:lastColumn="0" w:oddVBand="0" w:evenVBand="0" w:oddHBand="0" w:evenHBand="0" w:firstRowFirstColumn="0" w:firstRowLastColumn="0" w:lastRowFirstColumn="0" w:lastRowLastColumn="0"/>
              <w:rPr>
                <w:sz w:val="16"/>
              </w:rPr>
            </w:pPr>
            <w:r w:rsidRPr="00692C29">
              <w:rPr>
                <w:sz w:val="16"/>
              </w:rPr>
              <w:t>60,0</w:t>
            </w:r>
          </w:p>
        </w:tc>
        <w:tc>
          <w:tcPr>
            <w:tcW w:w="0" w:type="auto"/>
            <w:noWrap/>
            <w:vAlign w:val="center"/>
          </w:tcPr>
          <w:p w:rsidR="00A12295" w:rsidRPr="00692C29" w:rsidRDefault="00A12295" w:rsidP="00692C29">
            <w:pPr>
              <w:jc w:val="center"/>
              <w:cnfStyle w:val="000000000000" w:firstRow="0" w:lastRow="0" w:firstColumn="0" w:lastColumn="0" w:oddVBand="0" w:evenVBand="0" w:oddHBand="0" w:evenHBand="0" w:firstRowFirstColumn="0" w:firstRowLastColumn="0" w:lastRowFirstColumn="0" w:lastRowLastColumn="0"/>
              <w:rPr>
                <w:sz w:val="16"/>
              </w:rPr>
            </w:pPr>
            <w:r w:rsidRPr="00692C29">
              <w:rPr>
                <w:sz w:val="16"/>
              </w:rPr>
              <w:t>60,0</w:t>
            </w:r>
          </w:p>
        </w:tc>
        <w:tc>
          <w:tcPr>
            <w:tcW w:w="0" w:type="auto"/>
            <w:noWrap/>
            <w:vAlign w:val="center"/>
          </w:tcPr>
          <w:p w:rsidR="00A12295" w:rsidRPr="00692C29" w:rsidRDefault="00A12295" w:rsidP="00692C29">
            <w:pPr>
              <w:jc w:val="center"/>
              <w:cnfStyle w:val="000000000000" w:firstRow="0" w:lastRow="0" w:firstColumn="0" w:lastColumn="0" w:oddVBand="0" w:evenVBand="0" w:oddHBand="0" w:evenHBand="0" w:firstRowFirstColumn="0" w:firstRowLastColumn="0" w:lastRowFirstColumn="0" w:lastRowLastColumn="0"/>
              <w:rPr>
                <w:sz w:val="16"/>
              </w:rPr>
            </w:pPr>
            <w:r w:rsidRPr="00692C29">
              <w:rPr>
                <w:sz w:val="16"/>
              </w:rPr>
              <w:t>60,0</w:t>
            </w:r>
          </w:p>
        </w:tc>
      </w:tr>
      <w:tr w:rsidR="00A12295" w:rsidRPr="00A94BCA" w:rsidTr="00692C29">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A12295" w:rsidRPr="002A154B" w:rsidRDefault="00A12295"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A12295" w:rsidRPr="00692C29" w:rsidRDefault="00A12295" w:rsidP="00692C29">
            <w:pPr>
              <w:jc w:val="center"/>
              <w:cnfStyle w:val="000000100000" w:firstRow="0" w:lastRow="0" w:firstColumn="0" w:lastColumn="0" w:oddVBand="0" w:evenVBand="0" w:oddHBand="1" w:evenHBand="0" w:firstRowFirstColumn="0" w:firstRowLastColumn="0" w:lastRowFirstColumn="0" w:lastRowLastColumn="0"/>
              <w:rPr>
                <w:b/>
                <w:i/>
                <w:sz w:val="16"/>
              </w:rPr>
            </w:pPr>
            <w:r w:rsidRPr="00692C29">
              <w:rPr>
                <w:b/>
                <w:i/>
                <w:sz w:val="16"/>
              </w:rPr>
              <w:t>67,6</w:t>
            </w:r>
          </w:p>
        </w:tc>
        <w:tc>
          <w:tcPr>
            <w:tcW w:w="0" w:type="auto"/>
            <w:noWrap/>
            <w:vAlign w:val="center"/>
          </w:tcPr>
          <w:p w:rsidR="00A12295" w:rsidRPr="00692C29" w:rsidRDefault="00A12295" w:rsidP="00692C29">
            <w:pPr>
              <w:jc w:val="center"/>
              <w:cnfStyle w:val="000000100000" w:firstRow="0" w:lastRow="0" w:firstColumn="0" w:lastColumn="0" w:oddVBand="0" w:evenVBand="0" w:oddHBand="1" w:evenHBand="0" w:firstRowFirstColumn="0" w:firstRowLastColumn="0" w:lastRowFirstColumn="0" w:lastRowLastColumn="0"/>
              <w:rPr>
                <w:b/>
                <w:i/>
                <w:sz w:val="16"/>
              </w:rPr>
            </w:pPr>
            <w:r w:rsidRPr="00692C29">
              <w:rPr>
                <w:b/>
                <w:i/>
                <w:sz w:val="16"/>
              </w:rPr>
              <w:t>67,6</w:t>
            </w:r>
          </w:p>
        </w:tc>
        <w:tc>
          <w:tcPr>
            <w:tcW w:w="0" w:type="auto"/>
            <w:noWrap/>
            <w:vAlign w:val="center"/>
          </w:tcPr>
          <w:p w:rsidR="00A12295" w:rsidRPr="00692C29" w:rsidRDefault="00A12295" w:rsidP="00692C29">
            <w:pPr>
              <w:jc w:val="center"/>
              <w:cnfStyle w:val="000000100000" w:firstRow="0" w:lastRow="0" w:firstColumn="0" w:lastColumn="0" w:oddVBand="0" w:evenVBand="0" w:oddHBand="1" w:evenHBand="0" w:firstRowFirstColumn="0" w:firstRowLastColumn="0" w:lastRowFirstColumn="0" w:lastRowLastColumn="0"/>
              <w:rPr>
                <w:b/>
                <w:i/>
                <w:sz w:val="16"/>
              </w:rPr>
            </w:pPr>
            <w:r w:rsidRPr="00692C29">
              <w:rPr>
                <w:b/>
                <w:i/>
                <w:sz w:val="16"/>
              </w:rPr>
              <w:t>67,6</w:t>
            </w:r>
          </w:p>
        </w:tc>
        <w:tc>
          <w:tcPr>
            <w:tcW w:w="0" w:type="auto"/>
            <w:noWrap/>
            <w:vAlign w:val="center"/>
          </w:tcPr>
          <w:p w:rsidR="00A12295" w:rsidRPr="00692C29" w:rsidRDefault="00A12295" w:rsidP="00692C29">
            <w:pPr>
              <w:jc w:val="center"/>
              <w:cnfStyle w:val="000000100000" w:firstRow="0" w:lastRow="0" w:firstColumn="0" w:lastColumn="0" w:oddVBand="0" w:evenVBand="0" w:oddHBand="1" w:evenHBand="0" w:firstRowFirstColumn="0" w:firstRowLastColumn="0" w:lastRowFirstColumn="0" w:lastRowLastColumn="0"/>
              <w:rPr>
                <w:b/>
                <w:i/>
                <w:sz w:val="16"/>
              </w:rPr>
            </w:pPr>
            <w:r w:rsidRPr="00692C29">
              <w:rPr>
                <w:b/>
                <w:i/>
                <w:sz w:val="16"/>
              </w:rPr>
              <w:t>67,6</w:t>
            </w:r>
          </w:p>
        </w:tc>
        <w:tc>
          <w:tcPr>
            <w:tcW w:w="0" w:type="auto"/>
            <w:noWrap/>
            <w:vAlign w:val="center"/>
          </w:tcPr>
          <w:p w:rsidR="00A12295" w:rsidRPr="00692C29" w:rsidRDefault="00A12295" w:rsidP="00692C29">
            <w:pPr>
              <w:jc w:val="center"/>
              <w:cnfStyle w:val="000000100000" w:firstRow="0" w:lastRow="0" w:firstColumn="0" w:lastColumn="0" w:oddVBand="0" w:evenVBand="0" w:oddHBand="1" w:evenHBand="0" w:firstRowFirstColumn="0" w:firstRowLastColumn="0" w:lastRowFirstColumn="0" w:lastRowLastColumn="0"/>
              <w:rPr>
                <w:b/>
                <w:i/>
                <w:sz w:val="16"/>
              </w:rPr>
            </w:pPr>
            <w:r w:rsidRPr="00692C29">
              <w:rPr>
                <w:b/>
                <w:i/>
                <w:sz w:val="16"/>
              </w:rPr>
              <w:t>67,6</w:t>
            </w:r>
          </w:p>
        </w:tc>
        <w:tc>
          <w:tcPr>
            <w:tcW w:w="0" w:type="auto"/>
            <w:noWrap/>
            <w:vAlign w:val="center"/>
          </w:tcPr>
          <w:p w:rsidR="00A12295" w:rsidRPr="00692C29" w:rsidRDefault="00A12295" w:rsidP="00692C29">
            <w:pPr>
              <w:jc w:val="center"/>
              <w:cnfStyle w:val="000000100000" w:firstRow="0" w:lastRow="0" w:firstColumn="0" w:lastColumn="0" w:oddVBand="0" w:evenVBand="0" w:oddHBand="1" w:evenHBand="0" w:firstRowFirstColumn="0" w:firstRowLastColumn="0" w:lastRowFirstColumn="0" w:lastRowLastColumn="0"/>
              <w:rPr>
                <w:b/>
                <w:i/>
                <w:sz w:val="16"/>
              </w:rPr>
            </w:pPr>
            <w:r w:rsidRPr="00692C29">
              <w:rPr>
                <w:b/>
                <w:i/>
                <w:sz w:val="16"/>
              </w:rPr>
              <w:t>67,6</w:t>
            </w:r>
          </w:p>
        </w:tc>
        <w:tc>
          <w:tcPr>
            <w:tcW w:w="0" w:type="auto"/>
            <w:noWrap/>
            <w:vAlign w:val="center"/>
          </w:tcPr>
          <w:p w:rsidR="00A12295" w:rsidRPr="00692C29" w:rsidRDefault="00A12295" w:rsidP="00692C29">
            <w:pPr>
              <w:jc w:val="center"/>
              <w:cnfStyle w:val="000000100000" w:firstRow="0" w:lastRow="0" w:firstColumn="0" w:lastColumn="0" w:oddVBand="0" w:evenVBand="0" w:oddHBand="1" w:evenHBand="0" w:firstRowFirstColumn="0" w:firstRowLastColumn="0" w:lastRowFirstColumn="0" w:lastRowLastColumn="0"/>
              <w:rPr>
                <w:b/>
                <w:i/>
                <w:sz w:val="16"/>
              </w:rPr>
            </w:pPr>
            <w:r w:rsidRPr="00692C29">
              <w:rPr>
                <w:b/>
                <w:i/>
                <w:sz w:val="16"/>
              </w:rPr>
              <w:t>41,2</w:t>
            </w:r>
          </w:p>
        </w:tc>
        <w:tc>
          <w:tcPr>
            <w:tcW w:w="0" w:type="auto"/>
            <w:noWrap/>
            <w:vAlign w:val="center"/>
          </w:tcPr>
          <w:p w:rsidR="00A12295" w:rsidRPr="00692C29" w:rsidRDefault="00A12295" w:rsidP="00692C29">
            <w:pPr>
              <w:jc w:val="center"/>
              <w:cnfStyle w:val="000000100000" w:firstRow="0" w:lastRow="0" w:firstColumn="0" w:lastColumn="0" w:oddVBand="0" w:evenVBand="0" w:oddHBand="1" w:evenHBand="0" w:firstRowFirstColumn="0" w:firstRowLastColumn="0" w:lastRowFirstColumn="0" w:lastRowLastColumn="0"/>
              <w:rPr>
                <w:b/>
                <w:i/>
                <w:sz w:val="16"/>
              </w:rPr>
            </w:pPr>
            <w:r w:rsidRPr="00692C29">
              <w:rPr>
                <w:b/>
                <w:i/>
                <w:sz w:val="16"/>
              </w:rPr>
              <w:t>64,7</w:t>
            </w:r>
          </w:p>
        </w:tc>
      </w:tr>
    </w:tbl>
    <w:p w:rsidR="00BD4582" w:rsidRDefault="00BD4582" w:rsidP="00BD4582">
      <w:pPr>
        <w:pStyle w:val="Cuerpodelboletn"/>
        <w:spacing w:before="120" w:after="120" w:line="312" w:lineRule="auto"/>
        <w:ind w:left="720"/>
        <w:rPr>
          <w:b/>
          <w:color w:val="50866C"/>
          <w:sz w:val="32"/>
        </w:rPr>
      </w:pPr>
    </w:p>
    <w:p w:rsidR="006F2DCF" w:rsidRDefault="006F2DCF" w:rsidP="006F2DCF">
      <w:pPr>
        <w:pStyle w:val="Cuerpodelboletn"/>
        <w:spacing w:before="120" w:after="120" w:line="312" w:lineRule="auto"/>
      </w:pPr>
      <w:r w:rsidRPr="006F3CBB">
        <w:rPr>
          <w:color w:val="auto"/>
          <w:szCs w:val="22"/>
        </w:rPr>
        <w:t>El Índice de Cumplimiento de la Información Obligatoria</w:t>
      </w:r>
      <w:r>
        <w:rPr>
          <w:color w:val="auto"/>
          <w:szCs w:val="22"/>
        </w:rPr>
        <w:t xml:space="preserve"> (ICIO) se sitúa en el </w:t>
      </w:r>
      <w:r w:rsidR="00692C29">
        <w:rPr>
          <w:color w:val="auto"/>
          <w:szCs w:val="22"/>
        </w:rPr>
        <w:t>64,7</w:t>
      </w:r>
      <w:r>
        <w:rPr>
          <w:color w:val="auto"/>
          <w:szCs w:val="22"/>
        </w:rPr>
        <w:t xml:space="preserve">%. </w:t>
      </w:r>
      <w:r w:rsidRPr="00E833C7">
        <w:t xml:space="preserve">La falta de publicación de informaciones obligatorias – no se publica el </w:t>
      </w:r>
      <w:r w:rsidR="00692C29">
        <w:t>32,4</w:t>
      </w:r>
      <w:r>
        <w:t xml:space="preserve">% de ellas </w:t>
      </w:r>
      <w:r w:rsidR="00307F2C">
        <w:t>–</w:t>
      </w:r>
      <w:r w:rsidR="00692C29">
        <w:t xml:space="preserve"> </w:t>
      </w:r>
      <w:r w:rsidR="00BF2DB4">
        <w:t xml:space="preserve">el recurso a fuentes centralizadas para la publicación de algunas informaciones económicas </w:t>
      </w:r>
      <w:r w:rsidR="00692C29" w:rsidRPr="000B0EA1">
        <w:rPr>
          <w:color w:val="auto"/>
        </w:rPr>
        <w:t>y la falta de datación y de referencias a la fecha de actualización de la información en el bloque de Información Institucional, Organizativa y de Planificación</w:t>
      </w:r>
      <w:r w:rsidR="00692C29">
        <w:t xml:space="preserve">, son los </w:t>
      </w:r>
      <w:r w:rsidR="00307F2C">
        <w:t>factor</w:t>
      </w:r>
      <w:r w:rsidR="00692C29">
        <w:t>es</w:t>
      </w:r>
      <w:r w:rsidR="00307F2C">
        <w:t xml:space="preserve"> que explica</w:t>
      </w:r>
      <w:r w:rsidR="00692C29">
        <w:t>n</w:t>
      </w:r>
      <w:r w:rsidRPr="009A519C">
        <w:t xml:space="preserve"> el nivel de cumplimiento alcanzado</w:t>
      </w:r>
      <w:r w:rsidRPr="00E833C7">
        <w:t>.</w:t>
      </w: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56132B">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editId="36B11C9B">
                <wp:simplePos x="0" y="0"/>
                <wp:positionH relativeFrom="column">
                  <wp:align>center</wp:align>
                </wp:positionH>
                <wp:positionV relativeFrom="paragraph">
                  <wp:posOffset>0</wp:posOffset>
                </wp:positionV>
                <wp:extent cx="6264910" cy="1403985"/>
                <wp:effectExtent l="0" t="0" r="21590" b="1968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BF2DB4" w:rsidRDefault="00BF2DB4">
                            <w:pPr>
                              <w:rPr>
                                <w:b/>
                                <w:color w:val="00642D"/>
                              </w:rPr>
                            </w:pPr>
                            <w:r w:rsidRPr="002A154B">
                              <w:rPr>
                                <w:b/>
                                <w:color w:val="00642D"/>
                              </w:rPr>
                              <w:t xml:space="preserve">Transparencia </w:t>
                            </w:r>
                            <w:r>
                              <w:rPr>
                                <w:b/>
                                <w:color w:val="00642D"/>
                              </w:rPr>
                              <w:t>Voluntaria</w:t>
                            </w:r>
                          </w:p>
                          <w:p w:rsidR="00BF2DB4" w:rsidRDefault="00BF2DB4" w:rsidP="00B93F8D">
                            <w:pPr>
                              <w:jc w:val="both"/>
                              <w:rPr>
                                <w:sz w:val="20"/>
                                <w:szCs w:val="20"/>
                              </w:rPr>
                            </w:pPr>
                            <w:r>
                              <w:rPr>
                                <w:sz w:val="20"/>
                                <w:szCs w:val="20"/>
                              </w:rPr>
                              <w:t>El Instituto Iberoamericano de Mercados de Valores publica informaciones adicionales a las obligatorias que son relevantes desde el punto de vista de la transparencia y la rendición de cuentas:</w:t>
                            </w:r>
                          </w:p>
                          <w:p w:rsidR="00BF2DB4" w:rsidRDefault="00BF2DB4" w:rsidP="00B93F8D">
                            <w:pPr>
                              <w:pStyle w:val="Prrafodelista"/>
                              <w:numPr>
                                <w:ilvl w:val="0"/>
                                <w:numId w:val="9"/>
                              </w:numPr>
                              <w:rPr>
                                <w:sz w:val="20"/>
                                <w:szCs w:val="20"/>
                              </w:rPr>
                            </w:pPr>
                            <w:r>
                              <w:rPr>
                                <w:sz w:val="20"/>
                                <w:szCs w:val="20"/>
                              </w:rPr>
                              <w:t>Plan de Actuación 2023 (obligación no aplicable a Fundaciones Públicas).</w:t>
                            </w:r>
                          </w:p>
                          <w:p w:rsidR="00BF2DB4" w:rsidRDefault="00BF2DB4" w:rsidP="00B93F8D">
                            <w:pPr>
                              <w:pStyle w:val="Prrafodelista"/>
                              <w:numPr>
                                <w:ilvl w:val="0"/>
                                <w:numId w:val="9"/>
                              </w:numPr>
                              <w:rPr>
                                <w:sz w:val="20"/>
                                <w:szCs w:val="20"/>
                              </w:rPr>
                            </w:pPr>
                            <w:r>
                              <w:rPr>
                                <w:sz w:val="20"/>
                                <w:szCs w:val="20"/>
                              </w:rPr>
                              <w:t>Datos sobre pago a proveedores.</w:t>
                            </w:r>
                          </w:p>
                          <w:p w:rsidR="00BF2DB4" w:rsidRPr="000B0EA1" w:rsidRDefault="00BF2DB4" w:rsidP="00B93F8D">
                            <w:pPr>
                              <w:pStyle w:val="Prrafodelista"/>
                              <w:numPr>
                                <w:ilvl w:val="0"/>
                                <w:numId w:val="9"/>
                              </w:numPr>
                              <w:rPr>
                                <w:sz w:val="20"/>
                                <w:szCs w:val="20"/>
                              </w:rPr>
                            </w:pPr>
                            <w:r w:rsidRPr="000B0EA1">
                              <w:rPr>
                                <w:sz w:val="20"/>
                                <w:szCs w:val="20"/>
                              </w:rPr>
                              <w:t>Informes de Auditoría de la IGAE</w:t>
                            </w:r>
                            <w:r>
                              <w:rPr>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0;margin-top:0;width:493.3pt;height:110.5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">
                <v:textbox style="mso-fit-shape-to-text:t">
                  <w:txbxContent>
                    <w:p w:rsidR="007B3939" w:rsidRDefault="007B3939">
                      <w:pPr>
                        <w:rPr>
                          <w:b/>
                          <w:color w:val="00642D"/>
                        </w:rPr>
                      </w:pPr>
                      <w:r w:rsidRPr="002A154B">
                        <w:rPr>
                          <w:b/>
                          <w:color w:val="00642D"/>
                        </w:rPr>
                        <w:t xml:space="preserve">Transparencia </w:t>
                      </w:r>
                      <w:r>
                        <w:rPr>
                          <w:b/>
                          <w:color w:val="00642D"/>
                        </w:rPr>
                        <w:t>Voluntaria</w:t>
                      </w:r>
                    </w:p>
                    <w:p w:rsidR="007B3939" w:rsidRDefault="007B3939" w:rsidP="00B93F8D">
                      <w:pPr>
                        <w:jc w:val="both"/>
                        <w:rPr>
                          <w:sz w:val="20"/>
                          <w:szCs w:val="20"/>
                        </w:rPr>
                      </w:pPr>
                      <w:r>
                        <w:rPr>
                          <w:sz w:val="20"/>
                          <w:szCs w:val="20"/>
                        </w:rPr>
                        <w:t>El Instituto Iberoamericano de Mercados de Valores publica informaciones adicionales a las obligatorias que son relevantes desde el punto de vista de la transparencia y la rendición de cuentas:</w:t>
                      </w:r>
                    </w:p>
                    <w:p w:rsidR="007B3939" w:rsidRDefault="007B3939" w:rsidP="00B93F8D">
                      <w:pPr>
                        <w:pStyle w:val="Prrafodelista"/>
                        <w:numPr>
                          <w:ilvl w:val="0"/>
                          <w:numId w:val="9"/>
                        </w:numPr>
                        <w:rPr>
                          <w:sz w:val="20"/>
                          <w:szCs w:val="20"/>
                        </w:rPr>
                      </w:pPr>
                      <w:r>
                        <w:rPr>
                          <w:sz w:val="20"/>
                          <w:szCs w:val="20"/>
                        </w:rPr>
                        <w:t>Plan de Actuación 2023 (obligación no aplicable a Fundaciones Públicas).</w:t>
                      </w:r>
                    </w:p>
                    <w:p w:rsidR="007B3939" w:rsidRDefault="007B3939" w:rsidP="00B93F8D">
                      <w:pPr>
                        <w:pStyle w:val="Prrafodelista"/>
                        <w:numPr>
                          <w:ilvl w:val="0"/>
                          <w:numId w:val="9"/>
                        </w:numPr>
                        <w:rPr>
                          <w:sz w:val="20"/>
                          <w:szCs w:val="20"/>
                        </w:rPr>
                      </w:pPr>
                      <w:r>
                        <w:rPr>
                          <w:sz w:val="20"/>
                          <w:szCs w:val="20"/>
                        </w:rPr>
                        <w:t>Datos sobre pago a proveedores.</w:t>
                      </w:r>
                    </w:p>
                    <w:p w:rsidR="007B3939" w:rsidRPr="000B0EA1" w:rsidRDefault="007B3939" w:rsidP="00B93F8D">
                      <w:pPr>
                        <w:pStyle w:val="Prrafodelista"/>
                        <w:numPr>
                          <w:ilvl w:val="0"/>
                          <w:numId w:val="9"/>
                        </w:numPr>
                        <w:rPr>
                          <w:sz w:val="20"/>
                          <w:szCs w:val="20"/>
                        </w:rPr>
                      </w:pPr>
                      <w:r w:rsidRPr="000B0EA1">
                        <w:rPr>
                          <w:sz w:val="20"/>
                          <w:szCs w:val="20"/>
                        </w:rPr>
                        <w:t>Informes de Auditoría de la IGAE</w:t>
                      </w:r>
                      <w:r w:rsidR="000B0EA1">
                        <w:rPr>
                          <w:sz w:val="20"/>
                          <w:szCs w:val="20"/>
                        </w:rPr>
                        <w:t>.</w:t>
                      </w:r>
                    </w:p>
                  </w:txbxContent>
                </v:textbox>
              </v:shape>
            </w:pict>
          </mc:Fallback>
        </mc:AlternateContent>
      </w:r>
    </w:p>
    <w:p w:rsidR="00932008" w:rsidRDefault="00932008"/>
    <w:p w:rsidR="00932008" w:rsidRDefault="00932008"/>
    <w:p w:rsidR="00932008" w:rsidRDefault="00932008"/>
    <w:p w:rsidR="00932008" w:rsidRDefault="00932008"/>
    <w:p w:rsidR="00932008" w:rsidRDefault="00932008"/>
    <w:p w:rsidR="000C6CFF" w:rsidRDefault="006F2DCF">
      <w:r w:rsidRPr="002A154B">
        <w:rPr>
          <w:noProof/>
          <w:u w:val="single"/>
        </w:rPr>
        <mc:AlternateContent>
          <mc:Choice Requires="wps">
            <w:drawing>
              <wp:anchor distT="0" distB="0" distL="114300" distR="114300" simplePos="0" relativeHeight="251673600" behindDoc="0" locked="0" layoutInCell="1" allowOverlap="1" wp14:anchorId="3CD1CA01" wp14:editId="573F6B58">
                <wp:simplePos x="0" y="0"/>
                <wp:positionH relativeFrom="column">
                  <wp:posOffset>180975</wp:posOffset>
                </wp:positionH>
                <wp:positionV relativeFrom="paragraph">
                  <wp:posOffset>241301</wp:posOffset>
                </wp:positionV>
                <wp:extent cx="6217285" cy="2095500"/>
                <wp:effectExtent l="0" t="0" r="12065" b="1905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285" cy="2095500"/>
                        </a:xfrm>
                        <a:prstGeom prst="rect">
                          <a:avLst/>
                        </a:prstGeom>
                        <a:solidFill>
                          <a:srgbClr val="FFFFFF"/>
                        </a:solidFill>
                        <a:ln w="9525">
                          <a:solidFill>
                            <a:srgbClr val="000000"/>
                          </a:solidFill>
                          <a:miter lim="800000"/>
                          <a:headEnd/>
                          <a:tailEnd/>
                        </a:ln>
                      </wps:spPr>
                      <wps:txbx>
                        <w:txbxContent>
                          <w:p w:rsidR="00BF2DB4" w:rsidRDefault="00BF2DB4" w:rsidP="002A154B">
                            <w:pPr>
                              <w:rPr>
                                <w:b/>
                                <w:color w:val="00642D"/>
                              </w:rPr>
                            </w:pPr>
                            <w:r>
                              <w:rPr>
                                <w:b/>
                                <w:color w:val="00642D"/>
                              </w:rPr>
                              <w:t>Buenas Prácticas</w:t>
                            </w:r>
                          </w:p>
                          <w:p w:rsidR="00BF2DB4" w:rsidRDefault="00BF2DB4" w:rsidP="006F2DCF">
                            <w:pPr>
                              <w:pStyle w:val="Prrafodelista"/>
                              <w:numPr>
                                <w:ilvl w:val="0"/>
                                <w:numId w:val="10"/>
                              </w:numPr>
                              <w:jc w:val="both"/>
                              <w:rPr>
                                <w:sz w:val="20"/>
                                <w:szCs w:val="20"/>
                              </w:rPr>
                            </w:pPr>
                            <w:r>
                              <w:rPr>
                                <w:sz w:val="20"/>
                                <w:szCs w:val="20"/>
                              </w:rPr>
                              <w:t xml:space="preserve">En cada uno de los apartados del Portal de Transparencia, aparece un texto introductorio que aclara su contenido. </w:t>
                            </w:r>
                          </w:p>
                          <w:p w:rsidR="00BF2DB4" w:rsidRPr="000B0EA1" w:rsidRDefault="00BF2DB4" w:rsidP="006F2DCF">
                            <w:pPr>
                              <w:pStyle w:val="Prrafodelista"/>
                              <w:numPr>
                                <w:ilvl w:val="0"/>
                                <w:numId w:val="10"/>
                              </w:numPr>
                              <w:jc w:val="both"/>
                              <w:rPr>
                                <w:sz w:val="20"/>
                                <w:szCs w:val="20"/>
                              </w:rPr>
                            </w:pPr>
                            <w:r w:rsidRPr="003100BF">
                              <w:rPr>
                                <w:sz w:val="20"/>
                                <w:szCs w:val="20"/>
                              </w:rPr>
                              <w:t xml:space="preserve">El </w:t>
                            </w:r>
                            <w:r>
                              <w:rPr>
                                <w:sz w:val="20"/>
                                <w:szCs w:val="20"/>
                              </w:rPr>
                              <w:t>Instituto Iberoamericano del Mercados de Valores</w:t>
                            </w:r>
                            <w:r w:rsidRPr="003100BF">
                              <w:rPr>
                                <w:sz w:val="20"/>
                                <w:szCs w:val="20"/>
                              </w:rPr>
                              <w:t xml:space="preserve"> hace mención explícita de la </w:t>
                            </w:r>
                            <w:r>
                              <w:rPr>
                                <w:sz w:val="20"/>
                                <w:szCs w:val="20"/>
                              </w:rPr>
                              <w:t xml:space="preserve">razón de la </w:t>
                            </w:r>
                            <w:r w:rsidRPr="003100BF">
                              <w:rPr>
                                <w:sz w:val="20"/>
                                <w:szCs w:val="20"/>
                              </w:rPr>
                              <w:t>falta de información sobre determinados ítems obligatorios por ley</w:t>
                            </w:r>
                            <w:r>
                              <w:rPr>
                                <w:sz w:val="20"/>
                                <w:szCs w:val="20"/>
                              </w:rPr>
                              <w:t xml:space="preserve"> </w:t>
                            </w:r>
                            <w:r w:rsidRPr="000B0EA1">
                              <w:rPr>
                                <w:sz w:val="20"/>
                                <w:szCs w:val="20"/>
                              </w:rPr>
                              <w:t>e incluso sobre otros, como los bienes patrimoniales, que no constituyen obligaciones de publicidad activa aplicables a las Fundaciones.</w:t>
                            </w:r>
                          </w:p>
                          <w:p w:rsidR="00BF2DB4" w:rsidRPr="00AE4516" w:rsidRDefault="00BF2DB4" w:rsidP="006F2DCF">
                            <w:pPr>
                              <w:pStyle w:val="Prrafodelista"/>
                              <w:numPr>
                                <w:ilvl w:val="0"/>
                                <w:numId w:val="10"/>
                              </w:numPr>
                              <w:jc w:val="both"/>
                              <w:rPr>
                                <w:sz w:val="20"/>
                                <w:szCs w:val="20"/>
                              </w:rPr>
                            </w:pPr>
                            <w:r w:rsidRPr="00AE4516">
                              <w:rPr>
                                <w:sz w:val="20"/>
                                <w:szCs w:val="20"/>
                              </w:rPr>
                              <w:t>Habilitación de un espacio para la presentación de solicitudes de información pública de la entidad. En este espacio se informa sobre los canales de presentación de las solicitudes</w:t>
                            </w:r>
                            <w:r>
                              <w:rPr>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14.25pt;margin-top:19pt;width:489.5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">
                <v:textbox>
                  <w:txbxContent>
                    <w:p w:rsidR="00BF2DB4" w:rsidRDefault="00BF2DB4" w:rsidP="002A154B">
                      <w:pPr>
                        <w:rPr>
                          <w:b/>
                          <w:color w:val="00642D"/>
                        </w:rPr>
                      </w:pPr>
                      <w:r>
                        <w:rPr>
                          <w:b/>
                          <w:color w:val="00642D"/>
                        </w:rPr>
                        <w:t>Buenas Prácticas</w:t>
                      </w:r>
                    </w:p>
                    <w:p w:rsidR="00BF2DB4" w:rsidRDefault="00BF2DB4" w:rsidP="006F2DCF">
                      <w:pPr>
                        <w:pStyle w:val="Prrafodelista"/>
                        <w:numPr>
                          <w:ilvl w:val="0"/>
                          <w:numId w:val="10"/>
                        </w:numPr>
                        <w:jc w:val="both"/>
                        <w:rPr>
                          <w:sz w:val="20"/>
                          <w:szCs w:val="20"/>
                        </w:rPr>
                      </w:pPr>
                      <w:r>
                        <w:rPr>
                          <w:sz w:val="20"/>
                          <w:szCs w:val="20"/>
                        </w:rPr>
                        <w:t xml:space="preserve">En cada uno de los apartados del Portal de Transparencia, aparece un texto introductorio que aclara su contenido. </w:t>
                      </w:r>
                    </w:p>
                    <w:p w:rsidR="00BF2DB4" w:rsidRPr="000B0EA1" w:rsidRDefault="00BF2DB4" w:rsidP="006F2DCF">
                      <w:pPr>
                        <w:pStyle w:val="Prrafodelista"/>
                        <w:numPr>
                          <w:ilvl w:val="0"/>
                          <w:numId w:val="10"/>
                        </w:numPr>
                        <w:jc w:val="both"/>
                        <w:rPr>
                          <w:sz w:val="20"/>
                          <w:szCs w:val="20"/>
                        </w:rPr>
                      </w:pPr>
                      <w:r w:rsidRPr="003100BF">
                        <w:rPr>
                          <w:sz w:val="20"/>
                          <w:szCs w:val="20"/>
                        </w:rPr>
                        <w:t xml:space="preserve">El </w:t>
                      </w:r>
                      <w:r>
                        <w:rPr>
                          <w:sz w:val="20"/>
                          <w:szCs w:val="20"/>
                        </w:rPr>
                        <w:t>Instituto Iberoamericano del Mercados de Valores</w:t>
                      </w:r>
                      <w:r w:rsidRPr="003100BF">
                        <w:rPr>
                          <w:sz w:val="20"/>
                          <w:szCs w:val="20"/>
                        </w:rPr>
                        <w:t xml:space="preserve"> hace mención explícita de la </w:t>
                      </w:r>
                      <w:r>
                        <w:rPr>
                          <w:sz w:val="20"/>
                          <w:szCs w:val="20"/>
                        </w:rPr>
                        <w:t xml:space="preserve">razón de la </w:t>
                      </w:r>
                      <w:r w:rsidRPr="003100BF">
                        <w:rPr>
                          <w:sz w:val="20"/>
                          <w:szCs w:val="20"/>
                        </w:rPr>
                        <w:t>falta de información sobre determinados ítems obligatorios por ley</w:t>
                      </w:r>
                      <w:r>
                        <w:rPr>
                          <w:sz w:val="20"/>
                          <w:szCs w:val="20"/>
                        </w:rPr>
                        <w:t xml:space="preserve"> </w:t>
                      </w:r>
                      <w:r w:rsidRPr="000B0EA1">
                        <w:rPr>
                          <w:sz w:val="20"/>
                          <w:szCs w:val="20"/>
                        </w:rPr>
                        <w:t>e incluso sobre otros, como los bienes patrimoniales, que no constituyen obligaciones de publicidad activa aplicables a las Fundaciones.</w:t>
                      </w:r>
                    </w:p>
                    <w:p w:rsidR="00BF2DB4" w:rsidRPr="00AE4516" w:rsidRDefault="00BF2DB4" w:rsidP="006F2DCF">
                      <w:pPr>
                        <w:pStyle w:val="Prrafodelista"/>
                        <w:numPr>
                          <w:ilvl w:val="0"/>
                          <w:numId w:val="10"/>
                        </w:numPr>
                        <w:jc w:val="both"/>
                        <w:rPr>
                          <w:sz w:val="20"/>
                          <w:szCs w:val="20"/>
                        </w:rPr>
                      </w:pPr>
                      <w:r w:rsidRPr="00AE4516">
                        <w:rPr>
                          <w:sz w:val="20"/>
                          <w:szCs w:val="20"/>
                        </w:rPr>
                        <w:t>Habilitación de un espacio para la presentación de solicitudes de información pública de la entidad. En este espacio se informa sobre los canales de presentación de las solicitudes</w:t>
                      </w:r>
                      <w:r>
                        <w:rPr>
                          <w:sz w:val="20"/>
                          <w:szCs w:val="20"/>
                        </w:rPr>
                        <w:t>.</w:t>
                      </w:r>
                    </w:p>
                  </w:txbxContent>
                </v:textbox>
              </v:shape>
            </w:pict>
          </mc:Fallback>
        </mc:AlternateContent>
      </w:r>
    </w:p>
    <w:p w:rsidR="008C1E1E" w:rsidRDefault="008C1E1E"/>
    <w:p w:rsidR="00B40246" w:rsidRDefault="00B40246"/>
    <w:p w:rsidR="00561402" w:rsidRDefault="00561402"/>
    <w:p w:rsidR="00B93F8D" w:rsidRDefault="00B93F8D"/>
    <w:p w:rsidR="00B93F8D" w:rsidRDefault="00B93F8D"/>
    <w:p w:rsidR="00692C29" w:rsidRDefault="00692C29"/>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lastRenderedPageBreak/>
        <w:t>Conclusiones y Recomendaciones</w:t>
      </w:r>
    </w:p>
    <w:p w:rsidR="00B40246" w:rsidRDefault="00B40246"/>
    <w:p w:rsidR="006F2DCF" w:rsidRPr="00CA6E55" w:rsidRDefault="006F2DCF" w:rsidP="006F2DCF">
      <w:pPr>
        <w:jc w:val="both"/>
      </w:pPr>
      <w:r w:rsidRPr="00CA6E55">
        <w:t>Como se ha indicado el cumplimiento de las obligaciones de transparencia de la LTAIBG por parte de</w:t>
      </w:r>
      <w:r>
        <w:t xml:space="preserve">l </w:t>
      </w:r>
      <w:r w:rsidR="00307F2C">
        <w:t>Instituto Iberoamericano de Mercados de Valores</w:t>
      </w:r>
      <w:r w:rsidRPr="00CA6E55">
        <w:t>, en función de la información disponible en su web, alcanza el</w:t>
      </w:r>
      <w:r>
        <w:t xml:space="preserve"> </w:t>
      </w:r>
      <w:r w:rsidR="00692C29">
        <w:t>64,7</w:t>
      </w:r>
      <w:r>
        <w:t>%.</w:t>
      </w:r>
    </w:p>
    <w:p w:rsidR="006F2DCF" w:rsidRPr="00CA6E55" w:rsidRDefault="006F2DCF" w:rsidP="006F2DCF">
      <w:pPr>
        <w:jc w:val="both"/>
      </w:pPr>
      <w:r w:rsidRPr="00CA6E55">
        <w:t>A lo largo del informe se han señalado una serie de carencias. Por ello y para procurar avances en el grado de cumplimiento de la LTAIBG por parte de</w:t>
      </w:r>
      <w:r>
        <w:t xml:space="preserve">l </w:t>
      </w:r>
      <w:r w:rsidR="009D3003" w:rsidRPr="009D3003">
        <w:t>Instituto Iberoamericano de Mercados de Valores</w:t>
      </w:r>
      <w:r w:rsidRPr="00CA6E55">
        <w:t xml:space="preserve">, este CTBG </w:t>
      </w:r>
      <w:r w:rsidRPr="0091626D">
        <w:rPr>
          <w:b/>
          <w:color w:val="00642D"/>
        </w:rPr>
        <w:t>recomienda:</w:t>
      </w:r>
    </w:p>
    <w:p w:rsidR="006F2DCF" w:rsidRPr="0091626D" w:rsidRDefault="006F2DCF" w:rsidP="006F2DCF">
      <w:pPr>
        <w:spacing w:before="120" w:after="120" w:line="312" w:lineRule="auto"/>
        <w:jc w:val="both"/>
        <w:rPr>
          <w:b/>
          <w:color w:val="00642D"/>
        </w:rPr>
      </w:pPr>
      <w:r w:rsidRPr="0091626D">
        <w:rPr>
          <w:b/>
          <w:color w:val="00642D"/>
        </w:rPr>
        <w:t>Localización</w:t>
      </w:r>
      <w:r w:rsidRPr="00CA6E55">
        <w:rPr>
          <w:b/>
        </w:rPr>
        <w:t xml:space="preserve"> </w:t>
      </w:r>
      <w:r w:rsidRPr="0091626D">
        <w:rPr>
          <w:b/>
          <w:color w:val="00642D"/>
        </w:rPr>
        <w:t>y Estructuración de la información</w:t>
      </w:r>
    </w:p>
    <w:p w:rsidR="009D3003" w:rsidRDefault="009D3003" w:rsidP="006F2DCF">
      <w:pPr>
        <w:spacing w:before="120" w:after="120" w:line="312" w:lineRule="auto"/>
        <w:jc w:val="both"/>
      </w:pPr>
      <w:r w:rsidRPr="000B0EA1">
        <w:t>El Instituto Iberoamericano de Valores debería valorar la reubicación del enlace al Portal de Transparencia, a un lugar más visible de su web institucional para facilitar e</w:t>
      </w:r>
      <w:r w:rsidR="004B6DF1" w:rsidRPr="000B0EA1">
        <w:t>l</w:t>
      </w:r>
      <w:r w:rsidRPr="000B0EA1">
        <w:t xml:space="preserve"> acceso de los ciudadanos a la información obligatoria.</w:t>
      </w:r>
    </w:p>
    <w:p w:rsidR="006F2DCF" w:rsidRPr="0091626D" w:rsidRDefault="006F2DCF" w:rsidP="006F2DCF">
      <w:pPr>
        <w:spacing w:before="120" w:after="120" w:line="312" w:lineRule="auto"/>
        <w:jc w:val="both"/>
        <w:rPr>
          <w:b/>
          <w:color w:val="00642D"/>
        </w:rPr>
      </w:pPr>
      <w:r w:rsidRPr="0091626D">
        <w:rPr>
          <w:b/>
          <w:color w:val="00642D"/>
        </w:rPr>
        <w:t>Incorporación de información</w:t>
      </w:r>
    </w:p>
    <w:p w:rsidR="006F2DCF" w:rsidRPr="0091626D" w:rsidRDefault="006F2DCF" w:rsidP="006F2DCF">
      <w:pPr>
        <w:spacing w:before="120" w:after="120" w:line="312" w:lineRule="auto"/>
        <w:jc w:val="both"/>
        <w:outlineLvl w:val="1"/>
        <w:rPr>
          <w:b/>
          <w:color w:val="00642D"/>
        </w:rPr>
      </w:pPr>
      <w:r w:rsidRPr="0091626D">
        <w:rPr>
          <w:b/>
          <w:color w:val="00642D"/>
        </w:rPr>
        <w:t xml:space="preserve">Información Institucional, Organizativa y de Planificación. </w:t>
      </w:r>
    </w:p>
    <w:p w:rsidR="006F2DCF" w:rsidRPr="000B0EA1" w:rsidRDefault="006F2DCF" w:rsidP="009D3003">
      <w:pPr>
        <w:pStyle w:val="Prrafodelista"/>
        <w:numPr>
          <w:ilvl w:val="0"/>
          <w:numId w:val="11"/>
        </w:numPr>
        <w:jc w:val="both"/>
      </w:pPr>
      <w:r w:rsidRPr="004D4A37">
        <w:t xml:space="preserve">Debe </w:t>
      </w:r>
      <w:r w:rsidR="00307F2C">
        <w:t>publicarse</w:t>
      </w:r>
      <w:r w:rsidRPr="004D4A37">
        <w:t xml:space="preserve"> el Registr</w:t>
      </w:r>
      <w:r w:rsidR="009D3003">
        <w:t xml:space="preserve">o de Actividades de Tratamiento, </w:t>
      </w:r>
      <w:r w:rsidR="009D3003" w:rsidRPr="000B0EA1">
        <w:t>incluyendo, para cada actividad de tratamiento, todos los ítems informativos que contempla el Reglamento Europeo de Protección de Datos.</w:t>
      </w:r>
    </w:p>
    <w:p w:rsidR="006F2DCF" w:rsidRPr="004D4A37" w:rsidRDefault="006F2DCF" w:rsidP="006F2DCF">
      <w:pPr>
        <w:pStyle w:val="Prrafodelista"/>
        <w:numPr>
          <w:ilvl w:val="0"/>
          <w:numId w:val="11"/>
        </w:numPr>
      </w:pPr>
      <w:r w:rsidRPr="000B0EA1">
        <w:t xml:space="preserve">Debe </w:t>
      </w:r>
      <w:r w:rsidR="009D3003" w:rsidRPr="000B0EA1">
        <w:t>completarse</w:t>
      </w:r>
      <w:r w:rsidR="00307F2C" w:rsidRPr="000B0EA1">
        <w:t xml:space="preserve"> </w:t>
      </w:r>
      <w:r w:rsidR="00307F2C">
        <w:t>el perfil y la trayectoria profesional de los responsables del organismo.</w:t>
      </w:r>
    </w:p>
    <w:p w:rsidR="006F2DCF" w:rsidRPr="0091626D" w:rsidRDefault="006F2DCF" w:rsidP="006F2DCF">
      <w:pPr>
        <w:rPr>
          <w:b/>
          <w:color w:val="00642D"/>
        </w:rPr>
      </w:pPr>
      <w:r w:rsidRPr="0091626D">
        <w:rPr>
          <w:b/>
          <w:color w:val="00642D"/>
        </w:rPr>
        <w:t>Información Económica, Presupuestaria y Estadística.</w:t>
      </w:r>
    </w:p>
    <w:p w:rsidR="009D3003" w:rsidRPr="000B0EA1" w:rsidRDefault="009D3003" w:rsidP="006F2DCF">
      <w:pPr>
        <w:pStyle w:val="Prrafodelista"/>
        <w:numPr>
          <w:ilvl w:val="0"/>
          <w:numId w:val="11"/>
        </w:numPr>
        <w:jc w:val="both"/>
      </w:pPr>
      <w:r w:rsidRPr="000B0EA1">
        <w:t>Debe publicarse en la web de la Fundación la información sobre contratos mayores, o al menos, si se opta por redirigir  en la Plataforma de Contratación del Sector Público, que el enlace posicione en el Perfil del Contratante de la Fundación, en dicha Plataforma.</w:t>
      </w:r>
    </w:p>
    <w:p w:rsidR="006F2DCF" w:rsidRDefault="00307F2C" w:rsidP="006F2DCF">
      <w:pPr>
        <w:pStyle w:val="Prrafodelista"/>
        <w:numPr>
          <w:ilvl w:val="0"/>
          <w:numId w:val="11"/>
        </w:numPr>
        <w:jc w:val="both"/>
      </w:pPr>
      <w:r>
        <w:t>Debe publicarse información sobre las modificaciones de contratos adjudicados. Esta información solo es accesible si se publica expresamente. La Plataforma de Contratación del Sector Público no incluye las modificaciones entre los criterios de búsqueda de licitaciones.</w:t>
      </w:r>
    </w:p>
    <w:p w:rsidR="009D3003" w:rsidRPr="000B0EA1" w:rsidRDefault="009D3003" w:rsidP="006F2DCF">
      <w:pPr>
        <w:pStyle w:val="Prrafodelista"/>
        <w:numPr>
          <w:ilvl w:val="0"/>
          <w:numId w:val="11"/>
        </w:numPr>
        <w:jc w:val="both"/>
      </w:pPr>
      <w:r w:rsidRPr="000B0EA1">
        <w:t>Debe publicarse información sobre los desistimientos y renuncias a contratos adjudicados</w:t>
      </w:r>
      <w:r w:rsidR="000B0EA1">
        <w:t>.</w:t>
      </w:r>
    </w:p>
    <w:p w:rsidR="00307F2C" w:rsidRPr="004D4A37" w:rsidRDefault="00307F2C" w:rsidP="006F2DCF">
      <w:pPr>
        <w:pStyle w:val="Prrafodelista"/>
        <w:numPr>
          <w:ilvl w:val="0"/>
          <w:numId w:val="11"/>
        </w:numPr>
        <w:jc w:val="both"/>
      </w:pPr>
      <w:r>
        <w:t>Debe publicarse la información estadística sobre el volumen de contratación según el procedimiento de licitación.</w:t>
      </w:r>
    </w:p>
    <w:p w:rsidR="006F2DCF" w:rsidRPr="00BF2DB4" w:rsidRDefault="006F2DCF" w:rsidP="006F2DCF">
      <w:pPr>
        <w:pStyle w:val="Prrafodelista"/>
        <w:numPr>
          <w:ilvl w:val="0"/>
          <w:numId w:val="11"/>
        </w:numPr>
        <w:jc w:val="both"/>
        <w:rPr>
          <w:color w:val="FF0000"/>
        </w:rPr>
      </w:pPr>
      <w:r>
        <w:t>Una cuestión adicional respecto de la información sobre contratos, es que la Ley 14/2022, de modificación de la Ley 19/2013, impone una nueva información obligatoria en esta materia. A partir de julio de 2023, será obligatorio publicar semestralmente “</w:t>
      </w:r>
      <w:r>
        <w:rPr>
          <w:i/>
        </w:rPr>
        <w:t>información estadística sobre el porcentaje de participación en contratos adjudicados, tanto en relación con su número como en relación con su valor, de la categoría de microempresas, pequeñas y medianas empresas (pymes), entendidas como tal según el anexo I del Reglamento (UE) n.º 651/2014 de la Comisión, de 17 de junio de 2014, para cada uno de los procedimientos y tipologías previstas en la legislación de contratos del sector público”</w:t>
      </w:r>
      <w:r>
        <w:t>.</w:t>
      </w:r>
    </w:p>
    <w:p w:rsidR="005803E0" w:rsidRDefault="005803E0" w:rsidP="005803E0">
      <w:pPr>
        <w:jc w:val="both"/>
        <w:rPr>
          <w:b/>
          <w:color w:val="00642D"/>
        </w:rPr>
      </w:pPr>
    </w:p>
    <w:p w:rsidR="005803E0" w:rsidRDefault="005803E0" w:rsidP="005803E0">
      <w:pPr>
        <w:jc w:val="both"/>
        <w:rPr>
          <w:b/>
          <w:color w:val="00642D"/>
        </w:rPr>
      </w:pPr>
    </w:p>
    <w:p w:rsidR="005803E0" w:rsidRDefault="005803E0" w:rsidP="005803E0">
      <w:pPr>
        <w:jc w:val="both"/>
        <w:rPr>
          <w:b/>
          <w:color w:val="00642D"/>
        </w:rPr>
      </w:pPr>
    </w:p>
    <w:p w:rsidR="005803E0" w:rsidRPr="005803E0" w:rsidRDefault="005803E0" w:rsidP="005803E0">
      <w:pPr>
        <w:jc w:val="both"/>
        <w:rPr>
          <w:b/>
          <w:color w:val="00642D"/>
        </w:rPr>
      </w:pPr>
      <w:r w:rsidRPr="005803E0">
        <w:rPr>
          <w:b/>
          <w:color w:val="00642D"/>
        </w:rPr>
        <w:t>Calidad de la Información.</w:t>
      </w:r>
    </w:p>
    <w:p w:rsidR="005803E0" w:rsidRPr="005803E0" w:rsidRDefault="005803E0" w:rsidP="005803E0">
      <w:pPr>
        <w:pStyle w:val="Prrafodelista"/>
        <w:numPr>
          <w:ilvl w:val="0"/>
          <w:numId w:val="15"/>
        </w:numPr>
        <w:jc w:val="both"/>
      </w:pPr>
      <w:r w:rsidRPr="005803E0">
        <w:t xml:space="preserve">Deben incluirse referencias a la fecha en que se revisó o actualizó por última vez la información. Para ello bastaría con que esta fecha se publicase en la página inicial del Portal de Transparencia </w:t>
      </w:r>
      <w:r>
        <w:t>de la Fundación</w:t>
      </w:r>
      <w:r w:rsidRPr="005803E0">
        <w:t>.</w:t>
      </w:r>
    </w:p>
    <w:p w:rsidR="005803E0" w:rsidRPr="005803E0" w:rsidRDefault="005803E0" w:rsidP="005803E0">
      <w:pPr>
        <w:pStyle w:val="Prrafodelista"/>
        <w:numPr>
          <w:ilvl w:val="0"/>
          <w:numId w:val="15"/>
        </w:numPr>
        <w:jc w:val="both"/>
      </w:pPr>
      <w:r w:rsidRPr="005803E0">
        <w:t>Deberían publicarse cuadros-resumen de aquellas informaciones (contratos, subvenciones) que generalmente se publican enlazando a fuentes centralizadas como la Plataforma de Contratación del Sector Público. Por parte de este Consejo se han señalado las dificultades de uso de este tipo de fuentes de información para usuarios no familiarizados con ellas, además del hecho de que no se ajustan a los requerimientos de la LTAIBG porque están diseñadas para otras finalidades.</w:t>
      </w:r>
    </w:p>
    <w:p w:rsidR="005803E0" w:rsidRPr="005803E0" w:rsidRDefault="005803E0" w:rsidP="005803E0">
      <w:pPr>
        <w:pStyle w:val="Prrafodelista"/>
        <w:numPr>
          <w:ilvl w:val="0"/>
          <w:numId w:val="15"/>
        </w:numPr>
        <w:jc w:val="both"/>
      </w:pPr>
      <w:r w:rsidRPr="005803E0">
        <w:t>Se reitera la recomendación de que en el caso de que no hubiera información que publicar, se señale expresamente esta circunstancia.</w:t>
      </w:r>
    </w:p>
    <w:p w:rsidR="00BF2DB4" w:rsidRPr="005803E0" w:rsidRDefault="005803E0" w:rsidP="005803E0">
      <w:pPr>
        <w:pStyle w:val="Prrafodelista"/>
        <w:numPr>
          <w:ilvl w:val="0"/>
          <w:numId w:val="15"/>
        </w:numPr>
        <w:jc w:val="both"/>
      </w:pPr>
      <w:r w:rsidRPr="005803E0">
        <w:t>La información debe publicarse en formatos reutiliza</w:t>
      </w:r>
      <w:bookmarkStart w:id="0" w:name="_GoBack"/>
      <w:bookmarkEnd w:id="0"/>
      <w:r w:rsidRPr="005803E0">
        <w:t>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rsidR="006F2DCF" w:rsidRDefault="006F2DCF" w:rsidP="006F2DCF">
      <w:pPr>
        <w:ind w:left="360"/>
        <w:jc w:val="both"/>
        <w:rPr>
          <w:b/>
          <w:color w:val="00642D"/>
        </w:rPr>
      </w:pPr>
    </w:p>
    <w:p w:rsidR="006F2DCF" w:rsidRDefault="006F2DCF" w:rsidP="005803E0">
      <w:pPr>
        <w:ind w:left="7788"/>
      </w:pPr>
      <w:r>
        <w:t>M</w:t>
      </w:r>
      <w:r w:rsidR="005803E0">
        <w:t>adrid, mayo</w:t>
      </w:r>
      <w:r>
        <w:t xml:space="preserve"> de 2023</w:t>
      </w:r>
    </w:p>
    <w:p w:rsidR="006F2DCF" w:rsidRDefault="006F2DCF"/>
    <w:p w:rsidR="00121C30" w:rsidRDefault="00121C30">
      <w:r>
        <w:br w:type="page"/>
      </w:r>
    </w:p>
    <w:p w:rsidR="00121C30" w:rsidRPr="00121C30" w:rsidRDefault="00187D25" w:rsidP="00121C30">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671BADD642894FC5A78B9471BC336C0B"/>
          </w:placeholder>
        </w:sdtPr>
        <w:sdtEndPr/>
        <w:sdtContent>
          <w:r w:rsidR="00121C30" w:rsidRPr="00121C30">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121C30" w:rsidRPr="00121C30" w:rsidTr="00A86859">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SIGNIFICADO</w:t>
            </w:r>
          </w:p>
        </w:tc>
      </w:tr>
      <w:tr w:rsidR="00121C30" w:rsidRPr="00121C30" w:rsidTr="00A86859">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SI se publica el contenido de la obligación exigida</w:t>
            </w:r>
          </w:p>
        </w:tc>
      </w:tr>
      <w:tr w:rsidR="00121C30" w:rsidRPr="00121C30" w:rsidTr="00A86859">
        <w:trPr>
          <w:trHeight w:val="323"/>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publica el contenido de la obligación exigida</w:t>
            </w:r>
          </w:p>
        </w:tc>
      </w:tr>
      <w:tr w:rsidR="00121C30" w:rsidRPr="00121C30" w:rsidTr="00A86859">
        <w:trPr>
          <w:trHeight w:val="427"/>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DIRECTA en la misma web o con enlace directo a la información</w:t>
            </w:r>
          </w:p>
        </w:tc>
      </w:tr>
      <w:tr w:rsidR="00121C30" w:rsidRPr="00121C30" w:rsidTr="00A86859">
        <w:trPr>
          <w:trHeight w:val="419"/>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INDIRECTA pero sin dirigir a la información a la que se refiere</w:t>
            </w:r>
          </w:p>
        </w:tc>
      </w:tr>
      <w:tr w:rsidR="00121C30" w:rsidRPr="00121C30" w:rsidTr="00A86859">
        <w:trPr>
          <w:trHeight w:val="411"/>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 y está dentro de los TRES meses previos a la fecha de consulta</w:t>
            </w:r>
          </w:p>
        </w:tc>
      </w:tr>
      <w:tr w:rsidR="00121C30" w:rsidRPr="00121C30" w:rsidTr="00A86859">
        <w:trPr>
          <w:trHeight w:val="416"/>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  pero NO ESTA ACTUALIZADO dentro de los tres meses</w:t>
            </w:r>
          </w:p>
        </w:tc>
      </w:tr>
      <w:tr w:rsidR="00121C30" w:rsidRPr="00121C30" w:rsidTr="00A86859">
        <w:trPr>
          <w:trHeight w:val="422"/>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CONOCE la fecha de publicación de la información</w:t>
            </w:r>
          </w:p>
        </w:tc>
      </w:tr>
      <w:tr w:rsidR="00121C30" w:rsidRPr="00121C30" w:rsidTr="00A86859">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3 clics como máximo</w:t>
            </w:r>
          </w:p>
        </w:tc>
      </w:tr>
      <w:tr w:rsidR="00121C30" w:rsidRPr="00121C30" w:rsidTr="00A86859">
        <w:trPr>
          <w:trHeight w:val="1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4</w:t>
            </w:r>
          </w:p>
        </w:tc>
      </w:tr>
      <w:tr w:rsidR="00121C30" w:rsidRPr="00121C30" w:rsidTr="00A86859">
        <w:trPr>
          <w:trHeight w:val="24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5</w:t>
            </w:r>
          </w:p>
        </w:tc>
      </w:tr>
      <w:tr w:rsidR="00121C30" w:rsidRPr="00121C30" w:rsidTr="00A86859">
        <w:trPr>
          <w:trHeight w:val="26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6</w:t>
            </w:r>
          </w:p>
        </w:tc>
      </w:tr>
      <w:tr w:rsidR="00121C30" w:rsidRPr="00121C30" w:rsidTr="00A86859">
        <w:trPr>
          <w:trHeight w:val="28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7</w:t>
            </w:r>
          </w:p>
        </w:tc>
      </w:tr>
      <w:tr w:rsidR="00121C30" w:rsidRPr="00121C30" w:rsidTr="00A86859">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8</w:t>
            </w:r>
          </w:p>
        </w:tc>
      </w:tr>
      <w:tr w:rsidR="00121C30" w:rsidRPr="00121C30" w:rsidTr="00A86859">
        <w:trPr>
          <w:trHeight w:val="13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9</w:t>
            </w:r>
          </w:p>
        </w:tc>
      </w:tr>
      <w:tr w:rsidR="00121C30" w:rsidRPr="00121C30" w:rsidTr="00A86859">
        <w:trPr>
          <w:trHeight w:val="20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10</w:t>
            </w:r>
          </w:p>
        </w:tc>
      </w:tr>
      <w:tr w:rsidR="00121C30" w:rsidRPr="00121C30" w:rsidTr="00A86859">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11</w:t>
            </w:r>
          </w:p>
        </w:tc>
      </w:tr>
      <w:tr w:rsidR="00121C30" w:rsidRPr="00121C30" w:rsidTr="00A86859">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12</w:t>
            </w:r>
          </w:p>
        </w:tc>
      </w:tr>
      <w:tr w:rsidR="00121C30" w:rsidRPr="00121C30" w:rsidTr="00A86859">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Más de 12 clics</w:t>
            </w:r>
          </w:p>
        </w:tc>
      </w:tr>
      <w:tr w:rsidR="00121C30" w:rsidRPr="00121C30" w:rsidTr="00A86859">
        <w:trPr>
          <w:trHeight w:val="26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MUY comprensible o con ayudas, en su caso</w:t>
            </w:r>
          </w:p>
        </w:tc>
      </w:tr>
      <w:tr w:rsidR="00121C30" w:rsidRPr="00121C30" w:rsidTr="00A86859">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A86859">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Comprensible</w:t>
            </w:r>
          </w:p>
        </w:tc>
      </w:tr>
      <w:tr w:rsidR="00121C30" w:rsidRPr="00121C30" w:rsidTr="00A86859">
        <w:trPr>
          <w:trHeight w:val="25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A86859">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Normal</w:t>
            </w:r>
          </w:p>
        </w:tc>
      </w:tr>
      <w:tr w:rsidR="00121C30" w:rsidRPr="00121C30" w:rsidTr="00A86859">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A86859">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Poco comprensible</w:t>
            </w:r>
          </w:p>
        </w:tc>
      </w:tr>
      <w:tr w:rsidR="00121C30" w:rsidRPr="00121C30" w:rsidTr="00A86859">
        <w:trPr>
          <w:trHeight w:val="18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A86859">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Difícilmente comprensible</w:t>
            </w:r>
          </w:p>
        </w:tc>
      </w:tr>
      <w:tr w:rsidR="00121C30" w:rsidRPr="00121C30" w:rsidTr="00A86859">
        <w:trPr>
          <w:trHeight w:val="24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A86859">
        <w:trPr>
          <w:trHeight w:val="12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NADA comprensible</w:t>
            </w:r>
          </w:p>
        </w:tc>
      </w:tr>
      <w:tr w:rsidR="00121C30" w:rsidRPr="00121C30" w:rsidTr="00A86859">
        <w:trPr>
          <w:trHeight w:val="57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encuentra ordenada en grupos de materias, temáticas o de acuerdo con los bloques o grupos de información de la ley</w:t>
            </w:r>
          </w:p>
        </w:tc>
      </w:tr>
      <w:tr w:rsidR="00121C30" w:rsidRPr="00121C30" w:rsidTr="00A86859">
        <w:trPr>
          <w:trHeight w:val="42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presenta dispersa sin agrupación ni ordenación alguna</w:t>
            </w:r>
          </w:p>
        </w:tc>
      </w:tr>
      <w:tr w:rsidR="00121C30" w:rsidRPr="00121C30" w:rsidTr="00A86859">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Es un formato reutilizable establecido</w:t>
            </w:r>
          </w:p>
        </w:tc>
      </w:tr>
      <w:tr w:rsidR="00121C30" w:rsidRPr="00121C30" w:rsidTr="00A86859">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es un formato reutilizable</w:t>
            </w:r>
          </w:p>
        </w:tc>
      </w:tr>
      <w:tr w:rsidR="00121C30" w:rsidRPr="00121C30" w:rsidTr="00A86859">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o banner en la página inicial del sitio</w:t>
            </w:r>
          </w:p>
        </w:tc>
      </w:tr>
      <w:tr w:rsidR="00121C30" w:rsidRPr="00121C30" w:rsidTr="00A86859">
        <w:trPr>
          <w:trHeight w:val="362"/>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pero NO en la página de inicio</w:t>
            </w:r>
          </w:p>
        </w:tc>
      </w:tr>
      <w:tr w:rsidR="00121C30" w:rsidRPr="00121C30" w:rsidTr="00A86859">
        <w:trPr>
          <w:trHeight w:val="6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existe un apartado específico de transparencia</w:t>
            </w:r>
          </w:p>
        </w:tc>
      </w:tr>
    </w:tbl>
    <w:p w:rsidR="00121C30" w:rsidRPr="00121C30" w:rsidRDefault="00121C30" w:rsidP="00121C30">
      <w:pPr>
        <w:spacing w:line="240" w:lineRule="auto"/>
        <w:jc w:val="both"/>
        <w:rPr>
          <w:rFonts w:eastAsia="Times New Roman" w:cs="Times New Roman"/>
          <w:color w:val="000000"/>
          <w:szCs w:val="24"/>
          <w:lang w:eastAsia="en-US"/>
        </w:rPr>
      </w:pPr>
    </w:p>
    <w:p w:rsidR="00B40246" w:rsidRDefault="00B40246"/>
    <w:sectPr w:rsidR="00B40246" w:rsidSect="00DF63E7">
      <w:headerReference w:type="even" r:id="rId20"/>
      <w:headerReference w:type="default" r:id="rId21"/>
      <w:footerReference w:type="even" r:id="rId22"/>
      <w:footerReference w:type="default" r:id="rId23"/>
      <w:headerReference w:type="first" r:id="rId24"/>
      <w:footerReference w:type="first" r:id="rId25"/>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DB4" w:rsidRDefault="00BF2DB4" w:rsidP="00932008">
      <w:pPr>
        <w:spacing w:after="0" w:line="240" w:lineRule="auto"/>
      </w:pPr>
      <w:r>
        <w:separator/>
      </w:r>
    </w:p>
  </w:endnote>
  <w:endnote w:type="continuationSeparator" w:id="0">
    <w:p w:rsidR="00BF2DB4" w:rsidRDefault="00BF2DB4"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DB4" w:rsidRDefault="00BF2DB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DB4" w:rsidRDefault="00BF2DB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DB4" w:rsidRDefault="00BF2DB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DB4" w:rsidRDefault="00BF2DB4" w:rsidP="00932008">
      <w:pPr>
        <w:spacing w:after="0" w:line="240" w:lineRule="auto"/>
      </w:pPr>
      <w:r>
        <w:separator/>
      </w:r>
    </w:p>
  </w:footnote>
  <w:footnote w:type="continuationSeparator" w:id="0">
    <w:p w:rsidR="00BF2DB4" w:rsidRDefault="00BF2DB4"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DB4" w:rsidRDefault="00187D2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6866" type="#_x0000_t136" style="position:absolute;margin-left:0;margin-top:0;width:624.25pt;height:113.5pt;rotation:315;z-index:-251655168;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DB4" w:rsidRDefault="00187D2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6867" type="#_x0000_t136" style="position:absolute;margin-left:0;margin-top:0;width:624.25pt;height:113.5pt;rotation:315;z-index:-251653120;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DB4" w:rsidRDefault="00187D2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36865" type="#_x0000_t136" style="position:absolute;margin-left:0;margin-top:0;width:624.25pt;height:113.5pt;rotation:315;z-index:-251657216;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66" type="#_x0000_t75" style="width:9pt;height:9pt" o:bullet="t">
        <v:imagedata r:id="rId1" o:title="BD14532_"/>
      </v:shape>
    </w:pict>
  </w:numPicBullet>
  <w:numPicBullet w:numPicBulletId="1">
    <w:pict>
      <v:shape id="_x0000_i1467" type="#_x0000_t75" style="width:11.25pt;height:11.25pt" o:bullet="t">
        <v:imagedata r:id="rId2" o:title="BD14654_"/>
      </v:shape>
    </w:pict>
  </w:numPicBullet>
  <w:numPicBullet w:numPicBulletId="2">
    <w:pict>
      <v:shape id="_x0000_i1468" type="#_x0000_t75" style="width:9pt;height:9pt" o:bullet="t">
        <v:imagedata r:id="rId3" o:title="BD14533_"/>
      </v:shape>
    </w:pict>
  </w:numPicBullet>
  <w:abstractNum w:abstractNumId="0">
    <w:nsid w:val="119E0DD8"/>
    <w:multiLevelType w:val="hybridMultilevel"/>
    <w:tmpl w:val="4A40DF9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4B91F8F"/>
    <w:multiLevelType w:val="hybridMultilevel"/>
    <w:tmpl w:val="F31649DC"/>
    <w:lvl w:ilvl="0" w:tplc="B7C2270E">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5865D34"/>
    <w:multiLevelType w:val="hybridMultilevel"/>
    <w:tmpl w:val="AAF640F0"/>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7152DAB"/>
    <w:multiLevelType w:val="hybridMultilevel"/>
    <w:tmpl w:val="514888C2"/>
    <w:lvl w:ilvl="0" w:tplc="FA7C346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C2B49C7"/>
    <w:multiLevelType w:val="hybridMultilevel"/>
    <w:tmpl w:val="277C377C"/>
    <w:lvl w:ilvl="0" w:tplc="B7C2270E">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F61766B"/>
    <w:multiLevelType w:val="hybridMultilevel"/>
    <w:tmpl w:val="5336BB7C"/>
    <w:lvl w:ilvl="0" w:tplc="D2549FDE">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nsid w:val="4D561A37"/>
    <w:multiLevelType w:val="hybridMultilevel"/>
    <w:tmpl w:val="DE3E83E8"/>
    <w:lvl w:ilvl="0" w:tplc="B7C2270E">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4405967"/>
    <w:multiLevelType w:val="hybridMultilevel"/>
    <w:tmpl w:val="2A2AEC26"/>
    <w:lvl w:ilvl="0" w:tplc="B7C2270E">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67D76003"/>
    <w:multiLevelType w:val="hybridMultilevel"/>
    <w:tmpl w:val="21981E20"/>
    <w:lvl w:ilvl="0" w:tplc="B7C2270E">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7EA5255"/>
    <w:multiLevelType w:val="hybridMultilevel"/>
    <w:tmpl w:val="83D4FF1C"/>
    <w:lvl w:ilvl="0" w:tplc="33280C98">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1732B4D"/>
    <w:multiLevelType w:val="hybridMultilevel"/>
    <w:tmpl w:val="A68A7694"/>
    <w:lvl w:ilvl="0" w:tplc="33280C98">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A4916EE"/>
    <w:multiLevelType w:val="hybridMultilevel"/>
    <w:tmpl w:val="42981D80"/>
    <w:lvl w:ilvl="0" w:tplc="B7C2270E">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4"/>
  </w:num>
  <w:num w:numId="4">
    <w:abstractNumId w:val="0"/>
  </w:num>
  <w:num w:numId="5">
    <w:abstractNumId w:val="6"/>
  </w:num>
  <w:num w:numId="6">
    <w:abstractNumId w:val="3"/>
  </w:num>
  <w:num w:numId="7">
    <w:abstractNumId w:val="7"/>
  </w:num>
  <w:num w:numId="8">
    <w:abstractNumId w:val="8"/>
  </w:num>
  <w:num w:numId="9">
    <w:abstractNumId w:val="13"/>
  </w:num>
  <w:num w:numId="10">
    <w:abstractNumId w:val="12"/>
  </w:num>
  <w:num w:numId="11">
    <w:abstractNumId w:val="11"/>
  </w:num>
  <w:num w:numId="12">
    <w:abstractNumId w:val="14"/>
  </w:num>
  <w:num w:numId="13">
    <w:abstractNumId w:val="1"/>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36868"/>
    <o:shapelayout v:ext="edit">
      <o:idmap v:ext="edit" data="36"/>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151"/>
    <w:rsid w:val="00000A44"/>
    <w:rsid w:val="00000DF7"/>
    <w:rsid w:val="000262A3"/>
    <w:rsid w:val="00045308"/>
    <w:rsid w:val="0006666A"/>
    <w:rsid w:val="00073111"/>
    <w:rsid w:val="000965B3"/>
    <w:rsid w:val="000B0EA1"/>
    <w:rsid w:val="000C6CFF"/>
    <w:rsid w:val="00102733"/>
    <w:rsid w:val="00114793"/>
    <w:rsid w:val="00121C30"/>
    <w:rsid w:val="00131F15"/>
    <w:rsid w:val="001561A4"/>
    <w:rsid w:val="00180905"/>
    <w:rsid w:val="00187D25"/>
    <w:rsid w:val="001B6ECD"/>
    <w:rsid w:val="001F0DC3"/>
    <w:rsid w:val="002069CA"/>
    <w:rsid w:val="002A154B"/>
    <w:rsid w:val="002A3BD9"/>
    <w:rsid w:val="00307F2C"/>
    <w:rsid w:val="003D6063"/>
    <w:rsid w:val="003F271E"/>
    <w:rsid w:val="003F2A83"/>
    <w:rsid w:val="003F572A"/>
    <w:rsid w:val="004B6DF1"/>
    <w:rsid w:val="004E3B52"/>
    <w:rsid w:val="004F2655"/>
    <w:rsid w:val="00521DA9"/>
    <w:rsid w:val="005278E7"/>
    <w:rsid w:val="00544E0C"/>
    <w:rsid w:val="0056132B"/>
    <w:rsid w:val="00561402"/>
    <w:rsid w:val="00571783"/>
    <w:rsid w:val="0057532F"/>
    <w:rsid w:val="005803E0"/>
    <w:rsid w:val="005B13BD"/>
    <w:rsid w:val="005B6CF5"/>
    <w:rsid w:val="005F29B8"/>
    <w:rsid w:val="006069C8"/>
    <w:rsid w:val="00692C29"/>
    <w:rsid w:val="006A2766"/>
    <w:rsid w:val="006F2DCF"/>
    <w:rsid w:val="006F6C7D"/>
    <w:rsid w:val="00710031"/>
    <w:rsid w:val="007143FA"/>
    <w:rsid w:val="00743756"/>
    <w:rsid w:val="00764C52"/>
    <w:rsid w:val="00781918"/>
    <w:rsid w:val="007B0F99"/>
    <w:rsid w:val="007B3939"/>
    <w:rsid w:val="007B3BB0"/>
    <w:rsid w:val="00843911"/>
    <w:rsid w:val="00844FA9"/>
    <w:rsid w:val="008742FD"/>
    <w:rsid w:val="008A54BC"/>
    <w:rsid w:val="008C1E1E"/>
    <w:rsid w:val="00932008"/>
    <w:rsid w:val="00933787"/>
    <w:rsid w:val="009540B5"/>
    <w:rsid w:val="00954905"/>
    <w:rsid w:val="009609E9"/>
    <w:rsid w:val="00997747"/>
    <w:rsid w:val="009D3003"/>
    <w:rsid w:val="00A12295"/>
    <w:rsid w:val="00A8146B"/>
    <w:rsid w:val="00A86859"/>
    <w:rsid w:val="00AD2022"/>
    <w:rsid w:val="00B17BB8"/>
    <w:rsid w:val="00B40246"/>
    <w:rsid w:val="00B43464"/>
    <w:rsid w:val="00B616B3"/>
    <w:rsid w:val="00B7253E"/>
    <w:rsid w:val="00B841AE"/>
    <w:rsid w:val="00B93F8D"/>
    <w:rsid w:val="00BB6799"/>
    <w:rsid w:val="00BD4582"/>
    <w:rsid w:val="00BE6A46"/>
    <w:rsid w:val="00BF1FCE"/>
    <w:rsid w:val="00BF2DB4"/>
    <w:rsid w:val="00C01E2D"/>
    <w:rsid w:val="00C12508"/>
    <w:rsid w:val="00C251BF"/>
    <w:rsid w:val="00C33A23"/>
    <w:rsid w:val="00C43711"/>
    <w:rsid w:val="00C5744D"/>
    <w:rsid w:val="00CB543F"/>
    <w:rsid w:val="00CB5511"/>
    <w:rsid w:val="00CC2049"/>
    <w:rsid w:val="00CC2B4E"/>
    <w:rsid w:val="00CC459B"/>
    <w:rsid w:val="00D96F84"/>
    <w:rsid w:val="00DD58B3"/>
    <w:rsid w:val="00DF028B"/>
    <w:rsid w:val="00DF63E7"/>
    <w:rsid w:val="00E3088D"/>
    <w:rsid w:val="00E34195"/>
    <w:rsid w:val="00E47613"/>
    <w:rsid w:val="00F14DA4"/>
    <w:rsid w:val="00F47C3B"/>
    <w:rsid w:val="00F71D7D"/>
    <w:rsid w:val="00F86BF2"/>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686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3">
    <w:name w:val="heading 3"/>
    <w:basedOn w:val="Normal"/>
    <w:next w:val="Normal"/>
    <w:link w:val="Ttulo3Car"/>
    <w:uiPriority w:val="9"/>
    <w:semiHidden/>
    <w:unhideWhenUsed/>
    <w:qFormat/>
    <w:rsid w:val="00B93F8D"/>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A86859"/>
    <w:rPr>
      <w:color w:val="0000FF" w:themeColor="hyperlink"/>
      <w:u w:val="single"/>
    </w:rPr>
  </w:style>
  <w:style w:type="character" w:styleId="Hipervnculovisitado">
    <w:name w:val="FollowedHyperlink"/>
    <w:basedOn w:val="Fuentedeprrafopredeter"/>
    <w:uiPriority w:val="99"/>
    <w:semiHidden/>
    <w:unhideWhenUsed/>
    <w:rsid w:val="00A86859"/>
    <w:rPr>
      <w:color w:val="800080" w:themeColor="followedHyperlink"/>
      <w:u w:val="single"/>
    </w:rPr>
  </w:style>
  <w:style w:type="character" w:styleId="Refdecomentario">
    <w:name w:val="annotation reference"/>
    <w:basedOn w:val="Fuentedeprrafopredeter"/>
    <w:uiPriority w:val="99"/>
    <w:semiHidden/>
    <w:unhideWhenUsed/>
    <w:rsid w:val="00CC2B4E"/>
    <w:rPr>
      <w:sz w:val="16"/>
      <w:szCs w:val="16"/>
    </w:rPr>
  </w:style>
  <w:style w:type="paragraph" w:styleId="Textocomentario">
    <w:name w:val="annotation text"/>
    <w:basedOn w:val="Normal"/>
    <w:link w:val="TextocomentarioCar"/>
    <w:uiPriority w:val="99"/>
    <w:semiHidden/>
    <w:unhideWhenUsed/>
    <w:rsid w:val="00CC2B4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C2B4E"/>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CC2B4E"/>
    <w:rPr>
      <w:b/>
      <w:bCs/>
    </w:rPr>
  </w:style>
  <w:style w:type="character" w:customStyle="1" w:styleId="AsuntodelcomentarioCar">
    <w:name w:val="Asunto del comentario Car"/>
    <w:basedOn w:val="TextocomentarioCar"/>
    <w:link w:val="Asuntodelcomentario"/>
    <w:uiPriority w:val="99"/>
    <w:semiHidden/>
    <w:rsid w:val="00CC2B4E"/>
    <w:rPr>
      <w:rFonts w:ascii="Century Gothic" w:hAnsi="Century Gothic"/>
      <w:b/>
      <w:bCs/>
      <w:sz w:val="20"/>
      <w:szCs w:val="20"/>
    </w:rPr>
  </w:style>
  <w:style w:type="paragraph" w:styleId="Prrafodelista">
    <w:name w:val="List Paragraph"/>
    <w:basedOn w:val="Normal"/>
    <w:uiPriority w:val="34"/>
    <w:qFormat/>
    <w:rsid w:val="00073111"/>
    <w:pPr>
      <w:ind w:left="720"/>
      <w:contextualSpacing/>
    </w:pPr>
  </w:style>
  <w:style w:type="character" w:customStyle="1" w:styleId="Ttulo3Car">
    <w:name w:val="Título 3 Car"/>
    <w:basedOn w:val="Fuentedeprrafopredeter"/>
    <w:link w:val="Ttulo3"/>
    <w:uiPriority w:val="9"/>
    <w:semiHidden/>
    <w:rsid w:val="00B93F8D"/>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B93F8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3">
    <w:name w:val="heading 3"/>
    <w:basedOn w:val="Normal"/>
    <w:next w:val="Normal"/>
    <w:link w:val="Ttulo3Car"/>
    <w:uiPriority w:val="9"/>
    <w:semiHidden/>
    <w:unhideWhenUsed/>
    <w:qFormat/>
    <w:rsid w:val="00B93F8D"/>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A86859"/>
    <w:rPr>
      <w:color w:val="0000FF" w:themeColor="hyperlink"/>
      <w:u w:val="single"/>
    </w:rPr>
  </w:style>
  <w:style w:type="character" w:styleId="Hipervnculovisitado">
    <w:name w:val="FollowedHyperlink"/>
    <w:basedOn w:val="Fuentedeprrafopredeter"/>
    <w:uiPriority w:val="99"/>
    <w:semiHidden/>
    <w:unhideWhenUsed/>
    <w:rsid w:val="00A86859"/>
    <w:rPr>
      <w:color w:val="800080" w:themeColor="followedHyperlink"/>
      <w:u w:val="single"/>
    </w:rPr>
  </w:style>
  <w:style w:type="character" w:styleId="Refdecomentario">
    <w:name w:val="annotation reference"/>
    <w:basedOn w:val="Fuentedeprrafopredeter"/>
    <w:uiPriority w:val="99"/>
    <w:semiHidden/>
    <w:unhideWhenUsed/>
    <w:rsid w:val="00CC2B4E"/>
    <w:rPr>
      <w:sz w:val="16"/>
      <w:szCs w:val="16"/>
    </w:rPr>
  </w:style>
  <w:style w:type="paragraph" w:styleId="Textocomentario">
    <w:name w:val="annotation text"/>
    <w:basedOn w:val="Normal"/>
    <w:link w:val="TextocomentarioCar"/>
    <w:uiPriority w:val="99"/>
    <w:semiHidden/>
    <w:unhideWhenUsed/>
    <w:rsid w:val="00CC2B4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C2B4E"/>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CC2B4E"/>
    <w:rPr>
      <w:b/>
      <w:bCs/>
    </w:rPr>
  </w:style>
  <w:style w:type="character" w:customStyle="1" w:styleId="AsuntodelcomentarioCar">
    <w:name w:val="Asunto del comentario Car"/>
    <w:basedOn w:val="TextocomentarioCar"/>
    <w:link w:val="Asuntodelcomentario"/>
    <w:uiPriority w:val="99"/>
    <w:semiHidden/>
    <w:rsid w:val="00CC2B4E"/>
    <w:rPr>
      <w:rFonts w:ascii="Century Gothic" w:hAnsi="Century Gothic"/>
      <w:b/>
      <w:bCs/>
      <w:sz w:val="20"/>
      <w:szCs w:val="20"/>
    </w:rPr>
  </w:style>
  <w:style w:type="paragraph" w:styleId="Prrafodelista">
    <w:name w:val="List Paragraph"/>
    <w:basedOn w:val="Normal"/>
    <w:uiPriority w:val="34"/>
    <w:qFormat/>
    <w:rsid w:val="00073111"/>
    <w:pPr>
      <w:ind w:left="720"/>
      <w:contextualSpacing/>
    </w:pPr>
  </w:style>
  <w:style w:type="character" w:customStyle="1" w:styleId="Ttulo3Car">
    <w:name w:val="Título 3 Car"/>
    <w:basedOn w:val="Fuentedeprrafopredeter"/>
    <w:link w:val="Ttulo3"/>
    <w:uiPriority w:val="9"/>
    <w:semiHidden/>
    <w:rsid w:val="00B93F8D"/>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B93F8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20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5.tmp"/><Relationship Id="rId18" Type="http://schemas.openxmlformats.org/officeDocument/2006/relationships/image" Target="media/image10.tmp"/><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www.iimv.org" TargetMode="External"/><Relationship Id="rId17" Type="http://schemas.openxmlformats.org/officeDocument/2006/relationships/image" Target="media/image9.tmp"/><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8.tmp"/><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0.png"/><Relationship Id="rId24" Type="http://schemas.openxmlformats.org/officeDocument/2006/relationships/header" Target="header3.xml"/><Relationship Id="rId5" Type="http://schemas.microsoft.com/office/2007/relationships/stylesWithEffects" Target="stylesWithEffects.xml"/><Relationship Id="rId15" Type="http://schemas.openxmlformats.org/officeDocument/2006/relationships/image" Target="media/image7.tmp"/><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1.tmp"/><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6.tmp"/><Relationship Id="rId22" Type="http://schemas.openxmlformats.org/officeDocument/2006/relationships/footer" Target="footer1.xml"/><Relationship Id="rId27"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671BADD642894FC5A78B9471BC336C0B"/>
        <w:category>
          <w:name w:val="General"/>
          <w:gallery w:val="placeholder"/>
        </w:category>
        <w:types>
          <w:type w:val="bbPlcHdr"/>
        </w:types>
        <w:behaviors>
          <w:behavior w:val="content"/>
        </w:behaviors>
        <w:guid w:val="{E2E53319-53B9-439E-944B-8B3D3B5F261D}"/>
      </w:docPartPr>
      <w:docPartBody>
        <w:p w:rsidR="00DC084A" w:rsidRDefault="00BF2C04" w:rsidP="00BF2C04">
          <w:pPr>
            <w:pStyle w:val="671BADD642894FC5A78B9471BC336C0B"/>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356000"/>
    <w:rsid w:val="003D088C"/>
    <w:rsid w:val="00566EB0"/>
    <w:rsid w:val="00691B8E"/>
    <w:rsid w:val="0071605B"/>
    <w:rsid w:val="00BF2C04"/>
    <w:rsid w:val="00D35513"/>
    <w:rsid w:val="00DC084A"/>
    <w:rsid w:val="00E527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D4EE7A0C-1903-4052-B2DE-6F9CDBA51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TotalTime>
  <Pages>12</Pages>
  <Words>2528</Words>
  <Characters>13909</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16405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2</cp:revision>
  <cp:lastPrinted>2007-10-26T10:03:00Z</cp:lastPrinted>
  <dcterms:created xsi:type="dcterms:W3CDTF">2023-06-02T10:29:00Z</dcterms:created>
  <dcterms:modified xsi:type="dcterms:W3CDTF">2023-06-02T10:29:00Z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