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284" w:rsidRDefault="0041728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Autoridad Portuaria de Huelva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17284" w:rsidRDefault="0041728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Autoridad Portuaria de Huelva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17284" w:rsidRDefault="0041728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17284" w:rsidRDefault="0041728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p w:rsidR="00661FEA" w:rsidRDefault="00661FEA" w:rsidP="00415DBD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661FEA" w:rsidRPr="00661FEA" w:rsidTr="00661FEA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EA" w:rsidRPr="00661FEA" w:rsidRDefault="00661FEA" w:rsidP="00661FEA">
            <w:r w:rsidRPr="00661FEA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EA" w:rsidRPr="00661FEA" w:rsidRDefault="00661FEA" w:rsidP="00661FEA">
            <w:r>
              <w:t>20</w:t>
            </w:r>
            <w:r w:rsidRPr="00661FEA">
              <w:t>/04/2023</w:t>
            </w:r>
          </w:p>
          <w:p w:rsidR="00661FEA" w:rsidRPr="00661FEA" w:rsidRDefault="00661FEA" w:rsidP="00BC3E2F">
            <w:r w:rsidRPr="00661FEA">
              <w:t xml:space="preserve">Segunda revisión: </w:t>
            </w:r>
            <w:r w:rsidR="00BC3E2F">
              <w:t>18</w:t>
            </w:r>
            <w:r w:rsidRPr="00661FEA">
              <w:t>/05/2023</w:t>
            </w:r>
          </w:p>
        </w:tc>
      </w:tr>
    </w:tbl>
    <w:p w:rsidR="00661FEA" w:rsidRDefault="00661FEA" w:rsidP="00415DBD"/>
    <w:p w:rsidR="00661FEA" w:rsidRDefault="00661FEA" w:rsidP="00415DBD"/>
    <w:p w:rsidR="00661FEA" w:rsidRPr="00B1184C" w:rsidRDefault="00661FEA" w:rsidP="00415DBD"/>
    <w:p w:rsidR="0082470D" w:rsidRPr="002D27E4" w:rsidRDefault="000145B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715E7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C3E2F" w:rsidP="00891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15E7D">
              <w:rPr>
                <w:sz w:val="18"/>
                <w:szCs w:val="18"/>
              </w:rPr>
              <w:t xml:space="preserve">,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A5B1C">
            <w:pPr>
              <w:rPr>
                <w:sz w:val="18"/>
                <w:szCs w:val="18"/>
              </w:rPr>
            </w:pPr>
          </w:p>
        </w:tc>
      </w:tr>
      <w:tr w:rsidR="008918C3" w:rsidRPr="007465AA" w:rsidTr="007465AA">
        <w:tc>
          <w:tcPr>
            <w:tcW w:w="1668" w:type="dxa"/>
            <w:vMerge w:val="restart"/>
            <w:vAlign w:val="center"/>
          </w:tcPr>
          <w:p w:rsidR="008918C3" w:rsidRPr="00E07201" w:rsidRDefault="008918C3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8918C3" w:rsidRPr="008918C3" w:rsidRDefault="008918C3" w:rsidP="008918C3">
            <w:pPr>
              <w:rPr>
                <w:sz w:val="18"/>
                <w:szCs w:val="18"/>
              </w:rPr>
            </w:pPr>
            <w:r w:rsidRPr="008918C3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8918C3" w:rsidRPr="00E94DBC" w:rsidRDefault="008918C3" w:rsidP="00E94DBC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918C3" w:rsidRPr="008918C3" w:rsidRDefault="00E94DBC" w:rsidP="0066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8918C3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CE29DF" w:rsidRPr="00BC3E2F" w:rsidRDefault="00CE29DF" w:rsidP="00BC3E2F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BC3E2F" w:rsidP="00891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CE29DF">
              <w:rPr>
                <w:sz w:val="18"/>
                <w:szCs w:val="18"/>
              </w:rPr>
              <w:t xml:space="preserve">. 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 de cumplimiento y resultados de planes y programas</w:t>
            </w:r>
            <w:r w:rsidR="008918C3">
              <w:rPr>
                <w:sz w:val="18"/>
                <w:szCs w:val="18"/>
              </w:rPr>
              <w:t>: publicación de los informes de seguimiento y/o evaluación</w:t>
            </w:r>
          </w:p>
        </w:tc>
        <w:tc>
          <w:tcPr>
            <w:tcW w:w="709" w:type="dxa"/>
          </w:tcPr>
          <w:p w:rsidR="00CE29DF" w:rsidRPr="000145B2" w:rsidRDefault="00CE29DF" w:rsidP="000145B2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0145B2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publica un informe sobre el grado de cumplimiento del plan estratégico 2012-2017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Indicadores de medida y valoración del grado de cumplimiento de planes y programas</w:t>
            </w:r>
          </w:p>
        </w:tc>
        <w:tc>
          <w:tcPr>
            <w:tcW w:w="709" w:type="dxa"/>
          </w:tcPr>
          <w:p w:rsidR="00CE29DF" w:rsidRPr="000145B2" w:rsidRDefault="00CE29DF" w:rsidP="000145B2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0145B2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incluidos en el informe de seguimiento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4D6B23">
            <w:pPr>
              <w:rPr>
                <w:sz w:val="18"/>
                <w:szCs w:val="18"/>
              </w:rPr>
            </w:pPr>
            <w:r w:rsidRPr="00CE29DF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CE29DF" w:rsidRPr="000145B2" w:rsidRDefault="00CE29DF" w:rsidP="000145B2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0145B2" w:rsidP="00E1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E12CB4">
              <w:rPr>
                <w:sz w:val="18"/>
                <w:szCs w:val="18"/>
              </w:rPr>
              <w:t xml:space="preserve"> 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4D6B23">
            <w:pPr>
              <w:rPr>
                <w:sz w:val="18"/>
                <w:szCs w:val="18"/>
              </w:rPr>
            </w:pPr>
            <w:r w:rsidRPr="00CE29DF">
              <w:rPr>
                <w:sz w:val="18"/>
                <w:szCs w:val="18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CE29DF" w:rsidRPr="00BC3E2F" w:rsidRDefault="00CE29DF" w:rsidP="00BC3E2F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BC3E2F" w:rsidP="00B6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localizable a través del acceso Información de relevancia jurídica/Documentos sometidos a información pública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CE29DF" w:rsidRPr="000145B2" w:rsidRDefault="00CE29DF" w:rsidP="000145B2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0145B2" w:rsidP="00E1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ha creado un apartado específico para publicar la información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Estadísticas sobre contratos</w:t>
            </w:r>
          </w:p>
        </w:tc>
        <w:tc>
          <w:tcPr>
            <w:tcW w:w="709" w:type="dxa"/>
          </w:tcPr>
          <w:p w:rsidR="00CE29DF" w:rsidRPr="00417284" w:rsidRDefault="00CE29DF" w:rsidP="00417284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417284" w:rsidP="00C1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aunque</w:t>
            </w:r>
            <w:r w:rsidR="00CD6385" w:rsidRPr="00417284">
              <w:rPr>
                <w:sz w:val="18"/>
                <w:szCs w:val="18"/>
              </w:rPr>
              <w:t xml:space="preserve"> se ha creado un apartado específico para esta inform</w:t>
            </w:r>
            <w:r>
              <w:rPr>
                <w:sz w:val="18"/>
                <w:szCs w:val="18"/>
              </w:rPr>
              <w:t>ación en el acceso contratación, la información que contiene no se ajusta al contenido material de esta obligación ya que no desagrega según procedimiento de licitación.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C1049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CE29DF" w:rsidRPr="00227E74" w:rsidRDefault="00CE29DF" w:rsidP="00227E7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227E74" w:rsidP="00857C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CE29D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 proporciona acceso al texto de los convenios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</w:tcPr>
          <w:p w:rsidR="00CE29DF" w:rsidRPr="007465AA" w:rsidRDefault="00CE29DF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las encomiendas de gestión</w:t>
            </w:r>
          </w:p>
        </w:tc>
        <w:tc>
          <w:tcPr>
            <w:tcW w:w="709" w:type="dxa"/>
          </w:tcPr>
          <w:p w:rsidR="00CE29DF" w:rsidRPr="007465AA" w:rsidRDefault="00CE29DF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Default="00CE29DF" w:rsidP="008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</w:t>
            </w:r>
          </w:p>
        </w:tc>
        <w:tc>
          <w:tcPr>
            <w:tcW w:w="709" w:type="dxa"/>
          </w:tcPr>
          <w:p w:rsidR="00CE29DF" w:rsidRPr="00227E74" w:rsidRDefault="00CE29DF" w:rsidP="00227E7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227E74" w:rsidP="007D64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 w:rsidR="00CE29D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En relación con las subvenciones se indica “no aplica”</w:t>
            </w:r>
            <w:r w:rsidR="007D645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por lo que desde este Consejo se entiende que no se conceden subvenciones. En cuanto a las ayudas públicas, se publica la convocatoria y la relación provisional de solicitudes recibidas para la convocatoria RSE Puerto Ciudad 2023</w:t>
            </w:r>
            <w:r w:rsidR="007D645C">
              <w:rPr>
                <w:sz w:val="18"/>
                <w:szCs w:val="18"/>
              </w:rPr>
              <w:t xml:space="preserve">, pero no se publica información sobre las entidades perceptoras de </w:t>
            </w:r>
            <w:proofErr w:type="gramStart"/>
            <w:r w:rsidR="007D645C">
              <w:rPr>
                <w:sz w:val="18"/>
                <w:szCs w:val="18"/>
              </w:rPr>
              <w:t>esta ayudas</w:t>
            </w:r>
            <w:proofErr w:type="gramEnd"/>
            <w:r w:rsidR="007D645C">
              <w:rPr>
                <w:sz w:val="18"/>
                <w:szCs w:val="18"/>
              </w:rPr>
              <w:t xml:space="preserve"> en convocatorias anteriores.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CE29DF" w:rsidRPr="00227E74" w:rsidRDefault="00CE29DF" w:rsidP="00227E7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227E74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publica el presupuesto 2023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  <w:r w:rsidR="00E12CB4">
              <w:rPr>
                <w:sz w:val="18"/>
                <w:szCs w:val="18"/>
              </w:rPr>
              <w:t>elaborados por el Tribunal de Cuentas</w:t>
            </w:r>
          </w:p>
        </w:tc>
        <w:tc>
          <w:tcPr>
            <w:tcW w:w="709" w:type="dxa"/>
          </w:tcPr>
          <w:p w:rsidR="00CE29DF" w:rsidRPr="007465AA" w:rsidRDefault="00CE29DF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CE29DF" w:rsidP="00CE2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417284">
              <w:rPr>
                <w:sz w:val="18"/>
                <w:szCs w:val="18"/>
              </w:rPr>
              <w:t>Se publican los informes de la IGAE pero no los del Tribunal de Cuentas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CE29DF" w:rsidRPr="00227E74" w:rsidRDefault="00CE29DF" w:rsidP="00227E7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207A65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indica que no aplica, por lo que desde este Consejo se entiende que no se han concedido indemnizaciones con ocasión del cese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1A0BD4" w:rsidRDefault="00CE29DF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709" w:type="dxa"/>
          </w:tcPr>
          <w:p w:rsidR="00CE29DF" w:rsidRPr="00417284" w:rsidRDefault="00CE29DF" w:rsidP="0041728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417284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publica un cuadro con esta información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337C82" w:rsidRDefault="00CE29DF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CE29DF" w:rsidRPr="00417284" w:rsidRDefault="00CE29DF" w:rsidP="00417284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Pr="007465AA" w:rsidRDefault="00417284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</w:t>
            </w:r>
          </w:p>
        </w:tc>
      </w:tr>
      <w:tr w:rsidR="00CE29DF" w:rsidRPr="007465AA" w:rsidTr="007465AA">
        <w:tc>
          <w:tcPr>
            <w:tcW w:w="1668" w:type="dxa"/>
            <w:vMerge/>
            <w:vAlign w:val="center"/>
          </w:tcPr>
          <w:p w:rsidR="00CE29DF" w:rsidRPr="007465AA" w:rsidRDefault="00CE29D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E29DF" w:rsidRPr="00337C82" w:rsidRDefault="00CE29DF" w:rsidP="00281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Información </w:t>
            </w:r>
            <w:r w:rsidR="00281234">
              <w:rPr>
                <w:sz w:val="18"/>
                <w:szCs w:val="18"/>
              </w:rPr>
              <w:t>Patrimonial</w:t>
            </w:r>
          </w:p>
        </w:tc>
        <w:tc>
          <w:tcPr>
            <w:tcW w:w="709" w:type="dxa"/>
          </w:tcPr>
          <w:p w:rsidR="00CE29DF" w:rsidRPr="00281234" w:rsidRDefault="00CE29DF" w:rsidP="00281234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E29DF" w:rsidRDefault="00281234" w:rsidP="00663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CE29DF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100121">
            <w:pPr>
              <w:pStyle w:val="Prrafodelista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417284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proofErr w:type="gramStart"/>
            <w:r>
              <w:rPr>
                <w:sz w:val="18"/>
                <w:szCs w:val="18"/>
              </w:rPr>
              <w:t>,.</w:t>
            </w:r>
            <w:proofErr w:type="gramEnd"/>
            <w:r>
              <w:rPr>
                <w:sz w:val="18"/>
                <w:szCs w:val="18"/>
              </w:rPr>
              <w:t xml:space="preserve"> Se publica la fecha de actualización en la página home del Portal de Transparencia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417284" w:rsidP="002812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281234" w:rsidP="00DF56A7">
      <w:pPr>
        <w:jc w:val="both"/>
      </w:pPr>
      <w:r>
        <w:t xml:space="preserve">La Autoridad Portuaria de Huelva </w:t>
      </w:r>
      <w:r w:rsidR="00035DFF">
        <w:t xml:space="preserve"> </w:t>
      </w:r>
      <w:r w:rsidR="008B6789">
        <w:t xml:space="preserve">ha aplicado </w:t>
      </w:r>
      <w:r w:rsidR="00417284">
        <w:t>16</w:t>
      </w:r>
      <w:r w:rsidR="00663F4A">
        <w:t xml:space="preserve"> </w:t>
      </w:r>
      <w:r w:rsidR="008B6789">
        <w:t xml:space="preserve">de las </w:t>
      </w:r>
      <w:r w:rsidR="00100121">
        <w:t>2</w:t>
      </w:r>
      <w:r>
        <w:t>0</w:t>
      </w:r>
      <w:r w:rsidR="00402975">
        <w:t xml:space="preserve">  </w:t>
      </w:r>
      <w:r w:rsidR="008B6789">
        <w:t>recomendaciones derivadas de la evaluación 2022.</w:t>
      </w:r>
    </w:p>
    <w:p w:rsidR="00FA5AFD" w:rsidRDefault="00FA5AFD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B62591" w:rsidRDefault="00B62591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17284" w:rsidRPr="00F31BC3" w:rsidRDefault="0041728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17284" w:rsidRPr="00F31BC3" w:rsidRDefault="0041728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6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63F4A" w:rsidRPr="00663F4A" w:rsidTr="00891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63F4A" w:rsidRPr="00663F4A" w:rsidRDefault="00663F4A" w:rsidP="00663F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B83623" w:rsidRPr="00663F4A" w:rsidTr="00B83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83623" w:rsidRPr="00663F4A" w:rsidRDefault="00B83623" w:rsidP="00663F4A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99,3</w:t>
            </w:r>
          </w:p>
        </w:tc>
      </w:tr>
      <w:tr w:rsidR="00B83623" w:rsidRPr="00663F4A" w:rsidTr="00B836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B83623" w:rsidRPr="00663F4A" w:rsidRDefault="00B83623" w:rsidP="00663F4A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</w:tr>
      <w:tr w:rsidR="00B83623" w:rsidRPr="00663F4A" w:rsidTr="00B83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83623" w:rsidRPr="00663F4A" w:rsidRDefault="00B83623" w:rsidP="00663F4A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68,1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64,1</w:t>
            </w:r>
          </w:p>
        </w:tc>
      </w:tr>
      <w:tr w:rsidR="00B83623" w:rsidRPr="00663F4A" w:rsidTr="00B836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B83623" w:rsidRPr="00663F4A" w:rsidRDefault="00B83623" w:rsidP="00663F4A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83623">
              <w:rPr>
                <w:sz w:val="16"/>
                <w:szCs w:val="16"/>
              </w:rPr>
              <w:t>100,0</w:t>
            </w:r>
          </w:p>
        </w:tc>
      </w:tr>
      <w:tr w:rsidR="00B83623" w:rsidRPr="00663F4A" w:rsidTr="00B83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83623" w:rsidRPr="00663F4A" w:rsidRDefault="00B83623" w:rsidP="00663F4A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663F4A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82,1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82,7</w:t>
            </w:r>
          </w:p>
        </w:tc>
        <w:tc>
          <w:tcPr>
            <w:tcW w:w="0" w:type="auto"/>
            <w:noWrap/>
            <w:vAlign w:val="center"/>
          </w:tcPr>
          <w:p w:rsidR="00B83623" w:rsidRPr="00B83623" w:rsidRDefault="00B83623" w:rsidP="00B83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83623">
              <w:rPr>
                <w:b/>
                <w:i/>
                <w:sz w:val="16"/>
                <w:szCs w:val="16"/>
              </w:rPr>
              <w:t>81,8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 w:rsidRPr="00E61D77">
        <w:rPr>
          <w:lang w:bidi="es-ES"/>
        </w:rPr>
        <w:t xml:space="preserve">El Índice de Cumplimiento de la Información Obligatoria (ICIO) se sitúa en el </w:t>
      </w:r>
      <w:r w:rsidR="00B83623">
        <w:rPr>
          <w:lang w:bidi="es-ES"/>
        </w:rPr>
        <w:t>81,8</w:t>
      </w:r>
      <w:r w:rsidRPr="00E61D77">
        <w:rPr>
          <w:lang w:bidi="es-ES"/>
        </w:rPr>
        <w:t>%.</w:t>
      </w:r>
      <w:r w:rsidR="00BB3652" w:rsidRPr="00E61D77">
        <w:rPr>
          <w:lang w:bidi="es-ES"/>
        </w:rPr>
        <w:t xml:space="preserve"> Respecto de 202</w:t>
      </w:r>
      <w:r w:rsidR="004413FC" w:rsidRPr="00E61D77">
        <w:rPr>
          <w:lang w:bidi="es-ES"/>
        </w:rPr>
        <w:t>2</w:t>
      </w:r>
      <w:r w:rsidR="00BB3652" w:rsidRPr="00E61D77">
        <w:rPr>
          <w:lang w:bidi="es-ES"/>
        </w:rPr>
        <w:t xml:space="preserve"> </w:t>
      </w:r>
      <w:r w:rsidR="00D95052" w:rsidRPr="00E61D77">
        <w:rPr>
          <w:lang w:bidi="es-ES"/>
        </w:rPr>
        <w:t xml:space="preserve">este nivel de cumplimiento </w:t>
      </w:r>
      <w:r w:rsidR="00B83623">
        <w:rPr>
          <w:lang w:bidi="es-ES"/>
        </w:rPr>
        <w:t>ha aumentado en 47,3 puntos porcentuales. Este incremento deriva de la aplicación de la mayoría de las recomendaciones efectuadas en 2022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413FC" w:rsidRDefault="00D95052" w:rsidP="004413FC">
      <w:pPr>
        <w:pStyle w:val="Cuerpodelboletn"/>
      </w:pPr>
      <w:r>
        <w:t>E</w:t>
      </w:r>
      <w:r w:rsidR="004413FC">
        <w:t xml:space="preserve">ste CTBG no puede menos que </w:t>
      </w:r>
      <w:r w:rsidR="004413FC" w:rsidRPr="00BB3652">
        <w:rPr>
          <w:b/>
        </w:rPr>
        <w:t xml:space="preserve">valorar </w:t>
      </w:r>
      <w:r>
        <w:rPr>
          <w:b/>
        </w:rPr>
        <w:t xml:space="preserve">muy </w:t>
      </w:r>
      <w:r w:rsidR="00B83623">
        <w:rPr>
          <w:b/>
        </w:rPr>
        <w:t>positivamente</w:t>
      </w:r>
      <w:r w:rsidR="00460539">
        <w:rPr>
          <w:b/>
        </w:rPr>
        <w:t xml:space="preserve"> </w:t>
      </w:r>
      <w:r w:rsidR="004413FC">
        <w:t xml:space="preserve"> </w:t>
      </w:r>
      <w:r w:rsidR="00460539">
        <w:t>la evolución del</w:t>
      </w:r>
      <w:r w:rsidR="00880290">
        <w:t xml:space="preserve"> </w:t>
      </w:r>
      <w:r w:rsidR="004413FC">
        <w:t xml:space="preserve">cumplimiento de las obligaciones de publicidad activa por parte </w:t>
      </w:r>
      <w:r w:rsidR="00663F4A">
        <w:t xml:space="preserve">de la </w:t>
      </w:r>
      <w:r w:rsidR="00E61D77">
        <w:t>Autoridad Portuaria de Huelva</w:t>
      </w:r>
      <w:r w:rsidR="00035DFF">
        <w:t>.</w:t>
      </w:r>
      <w:r w:rsidR="004413FC">
        <w:t xml:space="preserve"> </w:t>
      </w:r>
      <w:r>
        <w:t xml:space="preserve">El Índice de cumplimiento permanece </w:t>
      </w:r>
      <w:r w:rsidR="00B83623">
        <w:t xml:space="preserve">ha aumentado el 137% respecto de 2022 y se </w:t>
      </w:r>
      <w:r w:rsidR="009E1DDF">
        <w:t xml:space="preserve">ha aplicado </w:t>
      </w:r>
      <w:r w:rsidR="00B83623">
        <w:t>el 80%</w:t>
      </w:r>
      <w:r>
        <w:t xml:space="preserve"> </w:t>
      </w:r>
      <w:r w:rsidR="004413FC">
        <w:t>de las recomendaciones derivadas de la evaluación realizada en 202</w:t>
      </w:r>
      <w:r w:rsidR="00117FA9">
        <w:t>2</w:t>
      </w:r>
      <w:r w:rsidR="00B83623">
        <w:t>. No obstante,</w:t>
      </w:r>
      <w:r w:rsidR="00880290">
        <w:t xml:space="preserve"> </w:t>
      </w:r>
      <w:r w:rsidR="00B83623">
        <w:t>todavía subsisten algunos</w:t>
      </w:r>
      <w:r w:rsidR="00880290">
        <w:t xml:space="preserve"> de</w:t>
      </w:r>
      <w:r w:rsidR="004413FC">
        <w:t xml:space="preserve"> los déficits evidenciados en dicha evaluación: 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17284" w:rsidRPr="00F31BC3" w:rsidRDefault="00417284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17284" w:rsidRPr="00F31BC3" w:rsidRDefault="00417284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  <w:bookmarkStart w:id="0" w:name="_GoBack"/>
      <w:bookmarkEnd w:id="0"/>
    </w:p>
    <w:p w:rsidR="004413FC" w:rsidRDefault="004413FC" w:rsidP="004413FC">
      <w:pPr>
        <w:pStyle w:val="Prrafodelista"/>
      </w:pPr>
    </w:p>
    <w:p w:rsidR="004413FC" w:rsidRDefault="00035DF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413FC">
        <w:rPr>
          <w:rFonts w:ascii="Century Gothic" w:hAnsi="Century Gothic"/>
        </w:rPr>
        <w:t>a información estadística sobre contratación</w:t>
      </w:r>
      <w:r w:rsidR="00E15EC7">
        <w:rPr>
          <w:rFonts w:ascii="Century Gothic" w:hAnsi="Century Gothic"/>
        </w:rPr>
        <w:t xml:space="preserve"> </w:t>
      </w:r>
      <w:r w:rsidR="00B83623">
        <w:rPr>
          <w:rFonts w:ascii="Century Gothic" w:hAnsi="Century Gothic"/>
        </w:rPr>
        <w:t>no se desagrega según procedimiento de licitación.</w:t>
      </w:r>
    </w:p>
    <w:p w:rsidR="00D95052" w:rsidRDefault="00B83623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las </w:t>
      </w:r>
      <w:r w:rsidR="00D95052">
        <w:rPr>
          <w:rFonts w:ascii="Century Gothic" w:hAnsi="Century Gothic"/>
        </w:rPr>
        <w:t>Encomiendas de Gestión</w:t>
      </w:r>
    </w:p>
    <w:p w:rsidR="00D95052" w:rsidRDefault="00D95052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subcontrataciones derivadas de encomiendas de gestión</w:t>
      </w:r>
    </w:p>
    <w:p w:rsidR="004413FC" w:rsidRDefault="00E15EC7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</w:t>
      </w:r>
      <w:r w:rsidR="004413FC" w:rsidRPr="00EE1B9B">
        <w:rPr>
          <w:rFonts w:ascii="Century Gothic" w:hAnsi="Century Gothic"/>
        </w:rPr>
        <w:t xml:space="preserve">os informes de auditoría y fiscalización elaborados por </w:t>
      </w:r>
      <w:r w:rsidR="004413FC">
        <w:rPr>
          <w:rFonts w:ascii="Century Gothic" w:hAnsi="Century Gothic"/>
        </w:rPr>
        <w:t>el Tribunal de Cuentas.</w:t>
      </w:r>
      <w:r w:rsidR="004413FC" w:rsidRPr="00EE1B9B">
        <w:rPr>
          <w:rFonts w:ascii="Century Gothic" w:hAnsi="Century Gothic"/>
        </w:rPr>
        <w:t xml:space="preserve"> 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lastRenderedPageBreak/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62591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DC6B31" w:rsidRDefault="00DC6B31" w:rsidP="00965C69">
      <w:pPr>
        <w:pStyle w:val="Cuerpodelboletn"/>
      </w:pPr>
    </w:p>
    <w:p w:rsidR="00DC6B31" w:rsidRDefault="00DC6B3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83623" w:rsidRDefault="00B83623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</w:pPr>
    </w:p>
    <w:p w:rsidR="00B62591" w:rsidRDefault="00B62591" w:rsidP="00965C69">
      <w:pPr>
        <w:pStyle w:val="Cuerpodelboletn"/>
        <w:sectPr w:rsidR="00B62591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17284" w:rsidRPr="00F31BC3" w:rsidRDefault="0041728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17284" w:rsidRPr="00F31BC3" w:rsidRDefault="0041728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17284" w:rsidRPr="00F31BC3" w:rsidRDefault="0041728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17284" w:rsidRPr="00F31BC3" w:rsidRDefault="0041728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84" w:rsidRDefault="00417284" w:rsidP="00F31BC3">
      <w:r>
        <w:separator/>
      </w:r>
    </w:p>
  </w:endnote>
  <w:endnote w:type="continuationSeparator" w:id="0">
    <w:p w:rsidR="00417284" w:rsidRDefault="0041728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84" w:rsidRDefault="00417284" w:rsidP="00F31BC3">
      <w:r>
        <w:separator/>
      </w:r>
    </w:p>
  </w:footnote>
  <w:footnote w:type="continuationSeparator" w:id="0">
    <w:p w:rsidR="00417284" w:rsidRDefault="0041728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33_"/>
      </v:shape>
    </w:pict>
  </w:numPicBullet>
  <w:abstractNum w:abstractNumId="0">
    <w:nsid w:val="013C7A4E"/>
    <w:multiLevelType w:val="hybridMultilevel"/>
    <w:tmpl w:val="87C8AE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56C5D"/>
    <w:multiLevelType w:val="hybridMultilevel"/>
    <w:tmpl w:val="F62A4A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EEC"/>
    <w:multiLevelType w:val="hybridMultilevel"/>
    <w:tmpl w:val="F72A86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27BF7"/>
    <w:multiLevelType w:val="hybridMultilevel"/>
    <w:tmpl w:val="B21ECD7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3570C"/>
    <w:multiLevelType w:val="hybridMultilevel"/>
    <w:tmpl w:val="39B40D5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676403"/>
    <w:multiLevelType w:val="hybridMultilevel"/>
    <w:tmpl w:val="368040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"/>
  </w:num>
  <w:num w:numId="5">
    <w:abstractNumId w:val="22"/>
  </w:num>
  <w:num w:numId="6">
    <w:abstractNumId w:val="24"/>
  </w:num>
  <w:num w:numId="7">
    <w:abstractNumId w:val="19"/>
  </w:num>
  <w:num w:numId="8">
    <w:abstractNumId w:val="2"/>
  </w:num>
  <w:num w:numId="9">
    <w:abstractNumId w:val="5"/>
  </w:num>
  <w:num w:numId="10">
    <w:abstractNumId w:val="4"/>
  </w:num>
  <w:num w:numId="11">
    <w:abstractNumId w:val="27"/>
  </w:num>
  <w:num w:numId="12">
    <w:abstractNumId w:val="18"/>
  </w:num>
  <w:num w:numId="13">
    <w:abstractNumId w:val="11"/>
  </w:num>
  <w:num w:numId="14">
    <w:abstractNumId w:val="28"/>
  </w:num>
  <w:num w:numId="15">
    <w:abstractNumId w:val="3"/>
  </w:num>
  <w:num w:numId="16">
    <w:abstractNumId w:val="30"/>
  </w:num>
  <w:num w:numId="17">
    <w:abstractNumId w:val="15"/>
  </w:num>
  <w:num w:numId="18">
    <w:abstractNumId w:val="10"/>
  </w:num>
  <w:num w:numId="19">
    <w:abstractNumId w:val="9"/>
  </w:num>
  <w:num w:numId="20">
    <w:abstractNumId w:val="23"/>
  </w:num>
  <w:num w:numId="21">
    <w:abstractNumId w:val="6"/>
  </w:num>
  <w:num w:numId="22">
    <w:abstractNumId w:val="8"/>
  </w:num>
  <w:num w:numId="23">
    <w:abstractNumId w:val="16"/>
  </w:num>
  <w:num w:numId="24">
    <w:abstractNumId w:val="14"/>
  </w:num>
  <w:num w:numId="25">
    <w:abstractNumId w:val="21"/>
  </w:num>
  <w:num w:numId="26">
    <w:abstractNumId w:val="20"/>
  </w:num>
  <w:num w:numId="27">
    <w:abstractNumId w:val="25"/>
  </w:num>
  <w:num w:numId="28">
    <w:abstractNumId w:val="0"/>
  </w:num>
  <w:num w:numId="29">
    <w:abstractNumId w:val="17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45B2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02EF"/>
    <w:rsid w:val="001763F8"/>
    <w:rsid w:val="00183301"/>
    <w:rsid w:val="00186C4D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07A65"/>
    <w:rsid w:val="0021682B"/>
    <w:rsid w:val="00227E74"/>
    <w:rsid w:val="00231D61"/>
    <w:rsid w:val="00243294"/>
    <w:rsid w:val="00244EDA"/>
    <w:rsid w:val="002467FA"/>
    <w:rsid w:val="00250846"/>
    <w:rsid w:val="00263F79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2975"/>
    <w:rsid w:val="004061BC"/>
    <w:rsid w:val="00415DBD"/>
    <w:rsid w:val="00417284"/>
    <w:rsid w:val="00422B18"/>
    <w:rsid w:val="004413FC"/>
    <w:rsid w:val="00460539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E7637"/>
    <w:rsid w:val="005F580F"/>
    <w:rsid w:val="00603DFC"/>
    <w:rsid w:val="00607613"/>
    <w:rsid w:val="006253FA"/>
    <w:rsid w:val="006266A5"/>
    <w:rsid w:val="00633EAA"/>
    <w:rsid w:val="00650F07"/>
    <w:rsid w:val="00661FEA"/>
    <w:rsid w:val="00663F4A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45C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57C55"/>
    <w:rsid w:val="00865E5A"/>
    <w:rsid w:val="00880290"/>
    <w:rsid w:val="00882A5B"/>
    <w:rsid w:val="008918C3"/>
    <w:rsid w:val="00891E6F"/>
    <w:rsid w:val="00894358"/>
    <w:rsid w:val="0089455A"/>
    <w:rsid w:val="00897D04"/>
    <w:rsid w:val="008A5AAE"/>
    <w:rsid w:val="008B032F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62591"/>
    <w:rsid w:val="00B7084E"/>
    <w:rsid w:val="00B72BF9"/>
    <w:rsid w:val="00B77C12"/>
    <w:rsid w:val="00B83623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3E2F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D6385"/>
    <w:rsid w:val="00CE29DF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94DBC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61FE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61FE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15011A"/>
    <w:rsid w:val="00202DDA"/>
    <w:rsid w:val="00283BED"/>
    <w:rsid w:val="00443EA4"/>
    <w:rsid w:val="0051307B"/>
    <w:rsid w:val="00583D19"/>
    <w:rsid w:val="006C4E03"/>
    <w:rsid w:val="00722728"/>
    <w:rsid w:val="00767601"/>
    <w:rsid w:val="00787EBD"/>
    <w:rsid w:val="007C3485"/>
    <w:rsid w:val="0088538C"/>
    <w:rsid w:val="008E118A"/>
    <w:rsid w:val="00A104A7"/>
    <w:rsid w:val="00AB484A"/>
    <w:rsid w:val="00B54AE5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2393F-4B22-46B6-B41C-5BBBF949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354</TotalTime>
  <Pages>5</Pages>
  <Words>1190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14</cp:revision>
  <cp:lastPrinted>2008-09-26T23:14:00Z</cp:lastPrinted>
  <dcterms:created xsi:type="dcterms:W3CDTF">2023-04-19T11:55:00Z</dcterms:created>
  <dcterms:modified xsi:type="dcterms:W3CDTF">2023-05-29T12:12:00Z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