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FB7067" w:rsidRPr="00006957" w:rsidRDefault="00FB706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0B0F36" w:rsidRPr="00006957" w:rsidRDefault="000B0F3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B7067" w:rsidRDefault="00FB706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B0F36" w:rsidRDefault="000B0F3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92FA4" w:rsidP="00C62AED">
            <w:pPr>
              <w:rPr>
                <w:sz w:val="24"/>
                <w:szCs w:val="24"/>
              </w:rPr>
            </w:pPr>
            <w:r>
              <w:rPr>
                <w:sz w:val="24"/>
                <w:szCs w:val="24"/>
              </w:rPr>
              <w:t>Equipos Nucleares, S.A., S.M.E. (ENSA)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8B4ECD" w:rsidP="008B4ECD">
            <w:pPr>
              <w:rPr>
                <w:sz w:val="24"/>
                <w:szCs w:val="24"/>
              </w:rPr>
            </w:pPr>
            <w:r>
              <w:rPr>
                <w:sz w:val="24"/>
                <w:szCs w:val="24"/>
              </w:rPr>
              <w:t>23/03/</w:t>
            </w:r>
            <w:r w:rsidR="00892FA4">
              <w:rPr>
                <w:sz w:val="24"/>
                <w:szCs w:val="24"/>
              </w:rPr>
              <w:t>2023</w:t>
            </w:r>
          </w:p>
          <w:p w:rsidR="008B4ECD" w:rsidRPr="00CB5511" w:rsidRDefault="008B4ECD" w:rsidP="008B4ECD">
            <w:pPr>
              <w:rPr>
                <w:sz w:val="24"/>
                <w:szCs w:val="24"/>
              </w:rPr>
            </w:pPr>
            <w:r>
              <w:rPr>
                <w:sz w:val="24"/>
                <w:szCs w:val="24"/>
              </w:rPr>
              <w:t>Segunda revisión: 04/05/2023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892FA4" w:rsidP="005D59B0">
            <w:pPr>
              <w:rPr>
                <w:sz w:val="24"/>
                <w:szCs w:val="24"/>
              </w:rPr>
            </w:pPr>
            <w:r w:rsidRPr="00892FA4">
              <w:rPr>
                <w:sz w:val="24"/>
                <w:szCs w:val="24"/>
              </w:rPr>
              <w:t>https://www.ensa.es/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8B4ECD"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892FA4" w:rsidP="00CB5511">
            <w:pPr>
              <w:jc w:val="center"/>
              <w:rPr>
                <w:b/>
                <w:sz w:val="20"/>
                <w:szCs w:val="20"/>
              </w:rPr>
            </w:pPr>
            <w:r>
              <w:rPr>
                <w:b/>
                <w:sz w:val="20"/>
                <w:szCs w:val="20"/>
              </w:rPr>
              <w:t>x</w:t>
            </w:r>
          </w:p>
        </w:tc>
        <w:tc>
          <w:tcPr>
            <w:tcW w:w="3969" w:type="dxa"/>
            <w:vMerge w:val="restart"/>
          </w:tcPr>
          <w:p w:rsidR="00CB5511" w:rsidRPr="000C6CFF" w:rsidRDefault="00ED7EE6" w:rsidP="00E37EEF">
            <w:pPr>
              <w:spacing w:before="100" w:beforeAutospacing="1" w:after="100" w:afterAutospacing="1"/>
              <w:jc w:val="both"/>
              <w:rPr>
                <w:sz w:val="20"/>
                <w:szCs w:val="20"/>
              </w:rPr>
            </w:pPr>
            <w:r>
              <w:rPr>
                <w:sz w:val="20"/>
                <w:szCs w:val="20"/>
              </w:rPr>
              <w:t xml:space="preserve">El enlace al Portal de Transparencia se localiza en la parte </w:t>
            </w:r>
            <w:r w:rsidR="00E37EEF">
              <w:rPr>
                <w:sz w:val="20"/>
                <w:szCs w:val="20"/>
              </w:rPr>
              <w:t>superior</w:t>
            </w:r>
            <w:r>
              <w:rPr>
                <w:sz w:val="20"/>
                <w:szCs w:val="20"/>
              </w:rPr>
              <w:t xml:space="preserve"> de la página home, </w:t>
            </w:r>
            <w:r w:rsidR="00E37EEF">
              <w:rPr>
                <w:sz w:val="20"/>
                <w:szCs w:val="20"/>
              </w:rPr>
              <w:t>entre los accesos principales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892FA4" w:rsidP="00155C93">
            <w:pPr>
              <w:jc w:val="both"/>
              <w:rPr>
                <w:sz w:val="20"/>
                <w:szCs w:val="20"/>
              </w:rPr>
            </w:pPr>
            <w:r>
              <w:rPr>
                <w:sz w:val="20"/>
                <w:szCs w:val="20"/>
              </w:rPr>
              <w:t>La información está organizada pero no se ajusta</w:t>
            </w:r>
            <w:r w:rsidR="00ED7EE6">
              <w:rPr>
                <w:sz w:val="20"/>
                <w:szCs w:val="20"/>
              </w:rPr>
              <w:t xml:space="preserve"> al patrón de bloques de información que establece la LTAIBG. </w:t>
            </w:r>
          </w:p>
          <w:p w:rsidR="00892FA4" w:rsidRDefault="00892FA4" w:rsidP="00155C93">
            <w:pPr>
              <w:jc w:val="both"/>
              <w:rPr>
                <w:sz w:val="20"/>
                <w:szCs w:val="20"/>
              </w:rPr>
            </w:pPr>
            <w:r>
              <w:rPr>
                <w:sz w:val="20"/>
                <w:szCs w:val="20"/>
              </w:rPr>
              <w:t>Existen 4 accesos principales en el Portal: Información Institucional, Buzón de Transparencia, Información Financiera y Ética y Cumplimiento.</w:t>
            </w:r>
          </w:p>
          <w:p w:rsidR="00892FA4" w:rsidRDefault="00892FA4" w:rsidP="00155C93">
            <w:pPr>
              <w:jc w:val="both"/>
              <w:rPr>
                <w:sz w:val="20"/>
                <w:szCs w:val="20"/>
              </w:rPr>
            </w:pPr>
            <w:r>
              <w:rPr>
                <w:sz w:val="20"/>
                <w:szCs w:val="20"/>
              </w:rPr>
              <w:t>Algunas informaciones obligatorias se localizan fuera del Portal de Transparencia</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892FA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892FA4" w:rsidP="000E7845">
      <w:pPr>
        <w:jc w:val="center"/>
      </w:pPr>
      <w:r w:rsidRPr="00892FA4">
        <w:rPr>
          <w:noProof/>
        </w:rPr>
        <w:drawing>
          <wp:inline distT="0" distB="0" distL="0" distR="0" wp14:anchorId="49581DF4" wp14:editId="41A0A921">
            <wp:extent cx="5612130" cy="282321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2321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Institucional/Información Corporativa y a través del enlace Marco Jurídico ubicado al final del Portal de Transparencia. 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fuera del Portal de transparencia, </w:t>
            </w:r>
            <w:r w:rsidR="00A15BA0">
              <w:rPr>
                <w:rStyle w:val="Ttulo2Car"/>
                <w:b w:val="0"/>
                <w:color w:val="auto"/>
                <w:sz w:val="20"/>
                <w:szCs w:val="20"/>
                <w:lang w:bidi="es-ES"/>
              </w:rPr>
              <w:t>a través</w:t>
            </w:r>
            <w:r>
              <w:rPr>
                <w:rStyle w:val="Ttulo2Car"/>
                <w:b w:val="0"/>
                <w:color w:val="auto"/>
                <w:sz w:val="20"/>
                <w:szCs w:val="20"/>
                <w:lang w:bidi="es-ES"/>
              </w:rPr>
              <w:t xml:space="preserve"> </w:t>
            </w:r>
            <w:r w:rsidR="00A15BA0">
              <w:rPr>
                <w:rStyle w:val="Ttulo2Car"/>
                <w:b w:val="0"/>
                <w:color w:val="auto"/>
                <w:sz w:val="20"/>
                <w:szCs w:val="20"/>
                <w:lang w:bidi="es-ES"/>
              </w:rPr>
              <w:t>d</w:t>
            </w:r>
            <w:r>
              <w:rPr>
                <w:rStyle w:val="Ttulo2Car"/>
                <w:b w:val="0"/>
                <w:color w:val="auto"/>
                <w:sz w:val="20"/>
                <w:szCs w:val="20"/>
                <w:lang w:bidi="es-ES"/>
              </w:rPr>
              <w:t xml:space="preserve">el enlace </w:t>
            </w:r>
            <w:r w:rsidR="00A15BA0">
              <w:rPr>
                <w:rStyle w:val="Ttulo2Car"/>
                <w:b w:val="0"/>
                <w:color w:val="auto"/>
                <w:sz w:val="20"/>
                <w:szCs w:val="20"/>
                <w:lang w:bidi="es-ES"/>
              </w:rPr>
              <w:t>H</w:t>
            </w:r>
            <w:r>
              <w:rPr>
                <w:rStyle w:val="Ttulo2Car"/>
                <w:b w:val="0"/>
                <w:color w:val="auto"/>
                <w:sz w:val="20"/>
                <w:szCs w:val="20"/>
                <w:lang w:bidi="es-ES"/>
              </w:rPr>
              <w:t xml:space="preserve">istoria del acceso </w:t>
            </w:r>
            <w:r w:rsidR="00A15BA0">
              <w:rPr>
                <w:rStyle w:val="Ttulo2Car"/>
                <w:b w:val="0"/>
                <w:color w:val="auto"/>
                <w:sz w:val="20"/>
                <w:szCs w:val="20"/>
                <w:lang w:bidi="es-ES"/>
              </w:rPr>
              <w:t xml:space="preserve">Conozca ENSA. La información no está datada y no se publica </w:t>
            </w:r>
            <w:r w:rsidR="00A15BA0" w:rsidRPr="00A15BA0">
              <w:rPr>
                <w:rStyle w:val="Ttulo2Car"/>
                <w:b w:val="0"/>
                <w:color w:val="auto"/>
                <w:sz w:val="20"/>
                <w:szCs w:val="20"/>
                <w:lang w:bidi="es-ES"/>
              </w:rPr>
              <w:t>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C41725"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0F6B64" w:rsidP="000F6B6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organigrama, retribuciones e indemnizaciones y compatibilidades. La información, que se publica en formato no reutilizable, </w:t>
            </w:r>
            <w:r w:rsidR="00C41725" w:rsidRPr="00C41725">
              <w:rPr>
                <w:rStyle w:val="Ttulo2Car"/>
                <w:b w:val="0"/>
                <w:color w:val="auto"/>
                <w:sz w:val="20"/>
                <w:szCs w:val="20"/>
                <w:lang w:bidi="es-ES"/>
              </w:rPr>
              <w:t xml:space="preserve"> </w:t>
            </w:r>
            <w:r>
              <w:rPr>
                <w:rStyle w:val="Ttulo2Car"/>
                <w:b w:val="0"/>
                <w:color w:val="auto"/>
                <w:sz w:val="20"/>
                <w:szCs w:val="20"/>
                <w:lang w:bidi="es-ES"/>
              </w:rPr>
              <w:t xml:space="preserve">no está datada y tampoco se publica </w:t>
            </w:r>
            <w:r w:rsidRPr="00A15BA0">
              <w:rPr>
                <w:rStyle w:val="Ttulo2Car"/>
                <w:b w:val="0"/>
                <w:color w:val="auto"/>
                <w:sz w:val="20"/>
                <w:szCs w:val="20"/>
                <w:lang w:bidi="es-ES"/>
              </w:rPr>
              <w:t>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41725" w:rsidP="000F6B64">
            <w:pPr>
              <w:pStyle w:val="Cuerpodelboletn"/>
              <w:spacing w:before="120" w:after="120" w:line="312" w:lineRule="auto"/>
              <w:rPr>
                <w:rStyle w:val="Ttulo2Car"/>
                <w:b w:val="0"/>
                <w:color w:val="FF0000"/>
                <w:sz w:val="20"/>
                <w:szCs w:val="20"/>
                <w:lang w:bidi="es-ES"/>
              </w:rPr>
            </w:pPr>
            <w:r w:rsidRPr="00C41725">
              <w:rPr>
                <w:rStyle w:val="Ttulo2Car"/>
                <w:b w:val="0"/>
                <w:color w:val="auto"/>
                <w:sz w:val="20"/>
                <w:szCs w:val="20"/>
                <w:lang w:bidi="es-ES"/>
              </w:rPr>
              <w:t>Se identifica a los miembros del Consejo de Administración</w:t>
            </w:r>
            <w:r>
              <w:rPr>
                <w:rStyle w:val="Ttulo2Car"/>
                <w:b w:val="0"/>
                <w:color w:val="auto"/>
                <w:sz w:val="20"/>
                <w:szCs w:val="20"/>
                <w:lang w:bidi="es-ES"/>
              </w:rPr>
              <w:t xml:space="preserve"> </w:t>
            </w:r>
            <w:r w:rsidR="00084ED8">
              <w:rPr>
                <w:rStyle w:val="Ttulo2Car"/>
                <w:b w:val="0"/>
                <w:color w:val="auto"/>
                <w:sz w:val="20"/>
                <w:szCs w:val="20"/>
                <w:lang w:bidi="es-ES"/>
              </w:rPr>
              <w:t xml:space="preserve">y </w:t>
            </w:r>
            <w:r w:rsidR="000F6B64">
              <w:rPr>
                <w:rStyle w:val="Ttulo2Car"/>
                <w:b w:val="0"/>
                <w:color w:val="auto"/>
                <w:sz w:val="20"/>
                <w:szCs w:val="20"/>
                <w:lang w:bidi="es-ES"/>
              </w:rPr>
              <w:t xml:space="preserve">a todos los miembros del Comité de Dirección. </w:t>
            </w:r>
            <w:r w:rsidR="000F6B64" w:rsidRPr="000F6B64">
              <w:rPr>
                <w:rStyle w:val="Ttulo2Car"/>
                <w:b w:val="0"/>
                <w:color w:val="auto"/>
                <w:sz w:val="20"/>
                <w:szCs w:val="20"/>
                <w:lang w:bidi="es-ES"/>
              </w:rPr>
              <w:t>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0F6B64"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la información correspondiente a todos los miembros del Comité de Dirección.</w:t>
            </w:r>
          </w:p>
        </w:tc>
      </w:tr>
    </w:tbl>
    <w:p w:rsidR="00C50D13" w:rsidRDefault="00C50D13"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0F6B64" w:rsidRDefault="000F6B6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9526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952625"/>
                        </a:xfrm>
                        <a:prstGeom prst="rect">
                          <a:avLst/>
                        </a:prstGeom>
                        <a:solidFill>
                          <a:srgbClr val="FFFFFF"/>
                        </a:solidFill>
                        <a:ln w="9525">
                          <a:solidFill>
                            <a:srgbClr val="000000"/>
                          </a:solidFill>
                          <a:miter lim="800000"/>
                          <a:headEnd/>
                          <a:tailEnd/>
                        </a:ln>
                      </wps:spPr>
                      <wps:txbx>
                        <w:txbxContent>
                          <w:p w:rsidR="00FB7067" w:rsidRDefault="00FB7067">
                            <w:pPr>
                              <w:rPr>
                                <w:b/>
                                <w:color w:val="00642D"/>
                              </w:rPr>
                            </w:pPr>
                            <w:r w:rsidRPr="00BD4582">
                              <w:rPr>
                                <w:b/>
                                <w:color w:val="00642D"/>
                              </w:rPr>
                              <w:t>Contenidos</w:t>
                            </w:r>
                          </w:p>
                          <w:p w:rsidR="00FB7067" w:rsidRPr="00544081" w:rsidRDefault="00FB7067"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FB7067" w:rsidRDefault="00FB7067"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FB7067" w:rsidRDefault="00FB7067" w:rsidP="000F0507">
                            <w:pPr>
                              <w:rPr>
                                <w:b/>
                                <w:color w:val="00642D"/>
                              </w:rPr>
                            </w:pPr>
                            <w:r w:rsidRPr="000F0507">
                              <w:rPr>
                                <w:b/>
                                <w:color w:val="00642D"/>
                              </w:rPr>
                              <w:t>Calidad de la Información</w:t>
                            </w:r>
                          </w:p>
                          <w:p w:rsidR="00FB7067" w:rsidRPr="000F6B64" w:rsidRDefault="00FB7067" w:rsidP="000F6B64">
                            <w:pPr>
                              <w:pStyle w:val="Prrafodelista"/>
                              <w:numPr>
                                <w:ilvl w:val="0"/>
                                <w:numId w:val="27"/>
                              </w:numPr>
                              <w:ind w:left="993"/>
                              <w:rPr>
                                <w:sz w:val="20"/>
                              </w:rPr>
                            </w:pPr>
                            <w:r w:rsidRPr="000F6B64">
                              <w:rPr>
                                <w:sz w:val="20"/>
                              </w:rPr>
                              <w:t xml:space="preserve">En general, </w:t>
                            </w:r>
                            <w:r>
                              <w:rPr>
                                <w:sz w:val="20"/>
                              </w:rPr>
                              <w:t>la información no está datada y 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53.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">
                <v:textbox>
                  <w:txbxContent>
                    <w:p w:rsidR="000B0F36" w:rsidRDefault="000B0F36">
                      <w:pPr>
                        <w:rPr>
                          <w:b/>
                          <w:color w:val="00642D"/>
                        </w:rPr>
                      </w:pPr>
                      <w:r w:rsidRPr="00BD4582">
                        <w:rPr>
                          <w:b/>
                          <w:color w:val="00642D"/>
                        </w:rPr>
                        <w:t>Contenidos</w:t>
                      </w:r>
                    </w:p>
                    <w:p w:rsidR="000B0F36" w:rsidRPr="00544081" w:rsidRDefault="000B0F36" w:rsidP="00544081">
                      <w:pPr>
                        <w:spacing w:before="120" w:after="120" w:line="240" w:lineRule="auto"/>
                        <w:jc w:val="both"/>
                        <w:rPr>
                          <w:sz w:val="20"/>
                          <w:szCs w:val="20"/>
                        </w:rPr>
                      </w:pPr>
                      <w:r w:rsidRPr="00544081">
                        <w:rPr>
                          <w:sz w:val="20"/>
                          <w:szCs w:val="20"/>
                        </w:rPr>
                        <w:t>La información publicada no recoge la totalidad de los contenidos obligatorios establecidos en el artículo 6 de la LTAIBG.</w:t>
                      </w:r>
                    </w:p>
                    <w:p w:rsidR="000B0F36" w:rsidRDefault="000B0F36"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0B0F36" w:rsidRDefault="000B0F36" w:rsidP="000F0507">
                      <w:pPr>
                        <w:rPr>
                          <w:b/>
                          <w:color w:val="00642D"/>
                        </w:rPr>
                      </w:pPr>
                      <w:r w:rsidRPr="000F0507">
                        <w:rPr>
                          <w:b/>
                          <w:color w:val="00642D"/>
                        </w:rPr>
                        <w:t>Calidad de la Información</w:t>
                      </w:r>
                    </w:p>
                    <w:p w:rsidR="000B0F36" w:rsidRPr="000F6B64" w:rsidRDefault="000B0F36" w:rsidP="000F6B64">
                      <w:pPr>
                        <w:pStyle w:val="Prrafodelista"/>
                        <w:numPr>
                          <w:ilvl w:val="0"/>
                          <w:numId w:val="27"/>
                        </w:numPr>
                        <w:ind w:left="993"/>
                        <w:rPr>
                          <w:sz w:val="20"/>
                        </w:rPr>
                      </w:pPr>
                      <w:r w:rsidRPr="000F6B64">
                        <w:rPr>
                          <w:sz w:val="20"/>
                        </w:rPr>
                        <w:t xml:space="preserve">En general, </w:t>
                      </w:r>
                      <w:r>
                        <w:rPr>
                          <w:sz w:val="20"/>
                        </w:rPr>
                        <w:t>la información no está datada y no se publica la fecha de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0F6B6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A67A5B">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7775DE" w:rsidP="00FB706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cuadros resumen que </w:t>
            </w:r>
            <w:r w:rsidR="00A57472">
              <w:rPr>
                <w:rStyle w:val="Ttulo2Car"/>
                <w:b w:val="0"/>
                <w:color w:val="auto"/>
                <w:sz w:val="20"/>
                <w:szCs w:val="20"/>
                <w:lang w:bidi="es-ES"/>
              </w:rPr>
              <w:t xml:space="preserve">no </w:t>
            </w:r>
            <w:r>
              <w:rPr>
                <w:rStyle w:val="Ttulo2Car"/>
                <w:b w:val="0"/>
                <w:color w:val="auto"/>
                <w:sz w:val="20"/>
                <w:szCs w:val="20"/>
                <w:lang w:bidi="es-ES"/>
              </w:rPr>
              <w:t>contienen todos los datos que la LTAIBG</w:t>
            </w:r>
            <w:r w:rsidR="00FB7067">
              <w:rPr>
                <w:rStyle w:val="Ttulo2Car"/>
                <w:b w:val="0"/>
                <w:color w:val="auto"/>
                <w:sz w:val="20"/>
                <w:szCs w:val="20"/>
                <w:lang w:bidi="es-ES"/>
              </w:rPr>
              <w:t xml:space="preserve"> establece para esta obligación: no</w:t>
            </w:r>
            <w:r>
              <w:rPr>
                <w:rStyle w:val="Ttulo2Car"/>
                <w:b w:val="0"/>
                <w:color w:val="auto"/>
                <w:sz w:val="20"/>
                <w:szCs w:val="20"/>
                <w:lang w:bidi="es-ES"/>
              </w:rPr>
              <w:t xml:space="preserve"> se informa sobre los instrumentos de publicidad.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A57472"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al ejercicio 2020. Dado el desfase temporal existente, se ha considerado no cumplida esta obligación.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0B0F36">
            <w:pPr>
              <w:pStyle w:val="Cuerpodelboletn"/>
              <w:numPr>
                <w:ilvl w:val="0"/>
                <w:numId w:val="28"/>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AD29E8" w:rsidP="00967377">
            <w:pPr>
              <w:pStyle w:val="Cuerpodelboletn"/>
              <w:spacing w:before="120" w:after="120" w:line="312" w:lineRule="auto"/>
              <w:rPr>
                <w:rStyle w:val="Ttulo2Car"/>
                <w:b w:val="0"/>
                <w:color w:val="auto"/>
                <w:sz w:val="20"/>
                <w:szCs w:val="20"/>
                <w:lang w:bidi="es-ES"/>
              </w:rPr>
            </w:pP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FB7067">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A57472" w:rsidP="00A5747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 cuadro resumen de los Convenios que incluye todos los ítems informativos establecidos en la LTAIBG. La información más reciente corresponde a 3 convenios suscritos en 2021. Dado que no se publica la fecha de la última revisión o actualización de la información, no es posible saber si se han suscrito convenios en los años 2022 y 2023.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E01305" w:rsidP="00E51E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E01305"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acceso Información Financiera/Cuentas Anuales.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01305">
              <w:rPr>
                <w:rStyle w:val="Ttulo2Car"/>
                <w:b w:val="0"/>
                <w:color w:val="auto"/>
                <w:sz w:val="20"/>
                <w:szCs w:val="20"/>
                <w:lang w:bidi="es-ES"/>
              </w:rPr>
              <w:t>. Se publica el informe de auditoría elaborado por una firma de auditoría independiente, pero no se publican los informes de auditoría y fiscalización elaborados por el Tribunal de Cuentas, que es a lo que se refiere el contenido material de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Default="00C62AED"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sobre las retribuciones del </w:t>
            </w:r>
            <w:r w:rsidR="00E51E35">
              <w:rPr>
                <w:rStyle w:val="Ttulo2Car"/>
                <w:b w:val="0"/>
                <w:color w:val="auto"/>
                <w:sz w:val="20"/>
                <w:szCs w:val="20"/>
                <w:lang w:bidi="es-ES"/>
              </w:rPr>
              <w:t>Presidente</w:t>
            </w:r>
            <w:r>
              <w:rPr>
                <w:rStyle w:val="Ttulo2Car"/>
                <w:b w:val="0"/>
                <w:color w:val="auto"/>
                <w:sz w:val="20"/>
                <w:szCs w:val="20"/>
                <w:lang w:bidi="es-ES"/>
              </w:rPr>
              <w:t xml:space="preserve"> pero no </w:t>
            </w:r>
            <w:r w:rsidRPr="00C62AED">
              <w:rPr>
                <w:rStyle w:val="Ttulo2Car"/>
                <w:b w:val="0"/>
                <w:color w:val="auto"/>
                <w:sz w:val="20"/>
                <w:szCs w:val="20"/>
                <w:lang w:bidi="es-ES"/>
              </w:rPr>
              <w:t>se informa sobre las retribuciones de las personas que integran la estructura directiva, que</w:t>
            </w:r>
            <w:r w:rsidR="00084ED8">
              <w:rPr>
                <w:rStyle w:val="Ttulo2Car"/>
                <w:b w:val="0"/>
                <w:color w:val="auto"/>
                <w:sz w:val="20"/>
                <w:szCs w:val="20"/>
                <w:lang w:bidi="es-ES"/>
              </w:rPr>
              <w:t>,</w:t>
            </w:r>
            <w:r w:rsidRPr="00C62AED">
              <w:rPr>
                <w:rStyle w:val="Ttulo2Car"/>
                <w:b w:val="0"/>
                <w:color w:val="auto"/>
                <w:sz w:val="20"/>
                <w:szCs w:val="20"/>
                <w:lang w:bidi="es-ES"/>
              </w:rPr>
              <w:t xml:space="preserve"> aunque no tienen la condición de alto cargo si ostentan puestos de responsabilidad en la sociedad. El artículo 8.1.f) de la LTAIBG hace referencia a “</w:t>
            </w:r>
            <w:r w:rsidRPr="00C96AC2">
              <w:rPr>
                <w:rStyle w:val="Ttulo2Car"/>
                <w:b w:val="0"/>
                <w:color w:val="auto"/>
                <w:sz w:val="20"/>
                <w:szCs w:val="20"/>
                <w:lang w:bidi="es-ES"/>
              </w:rPr>
              <w:t>Las retribuciones percibidas anualmente por los altos cargos y máximos responsables de las entidades incluidas en el ámbito de la aplicación de este título</w:t>
            </w:r>
            <w:r w:rsidRPr="00C62AED">
              <w:rPr>
                <w:rStyle w:val="Ttulo2Car"/>
                <w:b w:val="0"/>
                <w:color w:val="auto"/>
                <w:sz w:val="20"/>
                <w:szCs w:val="20"/>
                <w:lang w:bidi="es-ES"/>
              </w:rPr>
              <w:t>”.</w:t>
            </w:r>
          </w:p>
          <w:p w:rsidR="00C62AED" w:rsidRDefault="00C62AED"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de la información publicada corresponde al ejercicio 202</w:t>
            </w:r>
            <w:r w:rsidR="00E51E35">
              <w:rPr>
                <w:rStyle w:val="Ttulo2Car"/>
                <w:b w:val="0"/>
                <w:color w:val="auto"/>
                <w:sz w:val="20"/>
                <w:szCs w:val="20"/>
                <w:lang w:bidi="es-ES"/>
              </w:rPr>
              <w:t xml:space="preserve">1. </w:t>
            </w:r>
          </w:p>
          <w:p w:rsidR="00E51E35" w:rsidRPr="00696EF5" w:rsidRDefault="00E51E35"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ambas razones se ha considerado no cumplida esta obligación.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E51E35" w:rsidP="00084ED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41725">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41725" w:rsidRDefault="00C41725" w:rsidP="00696EF5">
            <w:pPr>
              <w:pStyle w:val="Cuerpodelboletn"/>
              <w:spacing w:before="120" w:after="120" w:line="312" w:lineRule="auto"/>
              <w:rPr>
                <w:rStyle w:val="Ttulo2Car"/>
                <w:b w:val="0"/>
                <w:color w:val="auto"/>
                <w:sz w:val="20"/>
                <w:szCs w:val="20"/>
                <w:lang w:bidi="es-ES"/>
              </w:rPr>
            </w:pPr>
            <w:r w:rsidRPr="00696EF5">
              <w:rPr>
                <w:rStyle w:val="Ttulo2Car"/>
                <w:b w:val="0"/>
                <w:color w:val="auto"/>
                <w:sz w:val="20"/>
                <w:szCs w:val="20"/>
                <w:lang w:bidi="es-ES"/>
              </w:rPr>
              <w:t>Remite al Portal de Transparencia de la AGE</w:t>
            </w:r>
            <w:r>
              <w:rPr>
                <w:rStyle w:val="Ttulo2Car"/>
                <w:b w:val="0"/>
                <w:color w:val="auto"/>
                <w:sz w:val="20"/>
                <w:szCs w:val="20"/>
                <w:lang w:bidi="es-ES"/>
              </w:rPr>
              <w:t xml:space="preserve">. El problema para acceder a la información correspondiente a </w:t>
            </w:r>
            <w:r w:rsidR="00E51E35">
              <w:rPr>
                <w:rStyle w:val="Ttulo2Car"/>
                <w:b w:val="0"/>
                <w:color w:val="auto"/>
                <w:sz w:val="20"/>
                <w:szCs w:val="20"/>
                <w:lang w:bidi="es-ES"/>
              </w:rPr>
              <w:t>ENSA</w:t>
            </w:r>
            <w:r>
              <w:rPr>
                <w:rStyle w:val="Ttulo2Car"/>
                <w:b w:val="0"/>
                <w:color w:val="auto"/>
                <w:sz w:val="20"/>
                <w:szCs w:val="20"/>
                <w:lang w:bidi="es-ES"/>
              </w:rPr>
              <w:t xml:space="preserve"> es que </w:t>
            </w:r>
            <w:r w:rsidR="00E51E35">
              <w:rPr>
                <w:rStyle w:val="Ttulo2Car"/>
                <w:b w:val="0"/>
                <w:color w:val="auto"/>
                <w:sz w:val="20"/>
                <w:szCs w:val="20"/>
                <w:lang w:bidi="es-ES"/>
              </w:rPr>
              <w:t>las</w:t>
            </w:r>
            <w:r>
              <w:rPr>
                <w:rStyle w:val="Ttulo2Car"/>
                <w:b w:val="0"/>
                <w:color w:val="auto"/>
                <w:sz w:val="20"/>
                <w:szCs w:val="20"/>
                <w:lang w:bidi="es-ES"/>
              </w:rPr>
              <w:t xml:space="preserve"> página</w:t>
            </w:r>
            <w:r w:rsidR="00E51E35">
              <w:rPr>
                <w:rStyle w:val="Ttulo2Car"/>
                <w:b w:val="0"/>
                <w:color w:val="auto"/>
                <w:sz w:val="20"/>
                <w:szCs w:val="20"/>
                <w:lang w:bidi="es-ES"/>
              </w:rPr>
              <w:t>s</w:t>
            </w:r>
            <w:r>
              <w:rPr>
                <w:rStyle w:val="Ttulo2Car"/>
                <w:b w:val="0"/>
                <w:color w:val="auto"/>
                <w:sz w:val="20"/>
                <w:szCs w:val="20"/>
                <w:lang w:bidi="es-ES"/>
              </w:rPr>
              <w:t xml:space="preserve"> </w:t>
            </w:r>
            <w:r w:rsidR="00E51E35">
              <w:rPr>
                <w:rStyle w:val="Ttulo2Car"/>
                <w:b w:val="0"/>
                <w:color w:val="auto"/>
                <w:sz w:val="20"/>
                <w:szCs w:val="20"/>
                <w:lang w:bidi="es-ES"/>
              </w:rPr>
              <w:t xml:space="preserve">que </w:t>
            </w:r>
            <w:r>
              <w:rPr>
                <w:rStyle w:val="Ttulo2Car"/>
                <w:b w:val="0"/>
                <w:color w:val="auto"/>
                <w:sz w:val="20"/>
                <w:szCs w:val="20"/>
                <w:lang w:bidi="es-ES"/>
              </w:rPr>
              <w:t>contiene</w:t>
            </w:r>
            <w:r w:rsidR="00E51E35">
              <w:rPr>
                <w:rStyle w:val="Ttulo2Car"/>
                <w:b w:val="0"/>
                <w:color w:val="auto"/>
                <w:sz w:val="20"/>
                <w:szCs w:val="20"/>
                <w:lang w:bidi="es-ES"/>
              </w:rPr>
              <w:t xml:space="preserve">n esta información, no siempre publican el organismo y Ministerio en el que presta sus servicios la persona autorizada. </w:t>
            </w:r>
            <w:r>
              <w:rPr>
                <w:rStyle w:val="Ttulo2Car"/>
                <w:b w:val="0"/>
                <w:color w:val="auto"/>
                <w:sz w:val="20"/>
                <w:szCs w:val="20"/>
                <w:lang w:bidi="es-ES"/>
              </w:rPr>
              <w:t xml:space="preserve"> </w:t>
            </w:r>
            <w:r w:rsidR="00E51E35">
              <w:rPr>
                <w:rStyle w:val="Ttulo2Car"/>
                <w:b w:val="0"/>
                <w:color w:val="auto"/>
                <w:sz w:val="20"/>
                <w:szCs w:val="20"/>
                <w:lang w:bidi="es-ES"/>
              </w:rPr>
              <w:t xml:space="preserve">Por esta razón es preciso visitar 592 páginas para las autorizaciones con actividades privadas y 195 para las autorizaciones con actividades públicas, porque </w:t>
            </w:r>
            <w:r>
              <w:rPr>
                <w:rStyle w:val="Ttulo2Car"/>
                <w:b w:val="0"/>
                <w:color w:val="auto"/>
                <w:sz w:val="20"/>
                <w:szCs w:val="20"/>
                <w:lang w:bidi="es-ES"/>
              </w:rPr>
              <w:t xml:space="preserve">la información no es descargable en formato Excel ya que la descarga está limitada a 2000 registros. </w:t>
            </w:r>
            <w:r w:rsidR="00E51E35">
              <w:rPr>
                <w:rStyle w:val="Ttulo2Car"/>
                <w:b w:val="0"/>
                <w:color w:val="auto"/>
                <w:sz w:val="20"/>
                <w:szCs w:val="20"/>
                <w:lang w:bidi="es-ES"/>
              </w:rPr>
              <w:t xml:space="preserve">Todo ello </w:t>
            </w:r>
            <w:r>
              <w:rPr>
                <w:rStyle w:val="Ttulo2Car"/>
                <w:b w:val="0"/>
                <w:color w:val="auto"/>
                <w:sz w:val="20"/>
                <w:szCs w:val="20"/>
                <w:lang w:bidi="es-ES"/>
              </w:rPr>
              <w:t xml:space="preserve">constituye una </w:t>
            </w:r>
            <w:r w:rsidR="00E51E35">
              <w:rPr>
                <w:rStyle w:val="Ttulo2Car"/>
                <w:b w:val="0"/>
                <w:color w:val="auto"/>
                <w:sz w:val="20"/>
                <w:szCs w:val="20"/>
                <w:lang w:bidi="es-ES"/>
              </w:rPr>
              <w:t>considerable</w:t>
            </w:r>
            <w:r>
              <w:rPr>
                <w:rStyle w:val="Ttulo2Car"/>
                <w:b w:val="0"/>
                <w:color w:val="auto"/>
                <w:sz w:val="20"/>
                <w:szCs w:val="20"/>
                <w:lang w:bidi="es-ES"/>
              </w:rPr>
              <w:t xml:space="preserve"> barrera a la accesibilidad a la información. </w:t>
            </w:r>
          </w:p>
          <w:p w:rsidR="00E51E35" w:rsidRDefault="00E51E35"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desde este Consejo, viene manteniéndose que el Portal </w:t>
            </w:r>
            <w:r w:rsidRPr="00E51E35">
              <w:rPr>
                <w:rStyle w:val="Ttulo2Car"/>
                <w:b w:val="0"/>
                <w:color w:val="auto"/>
                <w:sz w:val="20"/>
                <w:szCs w:val="20"/>
                <w:lang w:bidi="es-ES"/>
              </w:rPr>
              <w:t xml:space="preserve">AGE </w:t>
            </w:r>
            <w:r>
              <w:rPr>
                <w:rStyle w:val="Ttulo2Car"/>
                <w:b w:val="0"/>
                <w:color w:val="auto"/>
                <w:sz w:val="20"/>
                <w:szCs w:val="20"/>
                <w:lang w:bidi="es-ES"/>
              </w:rPr>
              <w:t xml:space="preserve">no debería publicar información de organismos y entidades dependientes o vinculadas. </w:t>
            </w:r>
          </w:p>
          <w:p w:rsidR="00665CC1" w:rsidRPr="00AD29E8" w:rsidRDefault="00C41725"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estas razones no se ha considerado cumplida esta obligación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54102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410200"/>
                        </a:xfrm>
                        <a:prstGeom prst="rect">
                          <a:avLst/>
                        </a:prstGeom>
                        <a:solidFill>
                          <a:srgbClr val="FFFFFF"/>
                        </a:solidFill>
                        <a:ln w="9525">
                          <a:solidFill>
                            <a:srgbClr val="000000"/>
                          </a:solidFill>
                          <a:miter lim="800000"/>
                          <a:headEnd/>
                          <a:tailEnd/>
                        </a:ln>
                      </wps:spPr>
                      <wps:txbx>
                        <w:txbxContent>
                          <w:p w:rsidR="00FB7067" w:rsidRDefault="00FB7067" w:rsidP="00BD4582">
                            <w:pPr>
                              <w:rPr>
                                <w:b/>
                                <w:color w:val="00642D"/>
                              </w:rPr>
                            </w:pPr>
                            <w:r w:rsidRPr="00BD4582">
                              <w:rPr>
                                <w:b/>
                                <w:color w:val="00642D"/>
                              </w:rPr>
                              <w:t>Contenidos</w:t>
                            </w:r>
                          </w:p>
                          <w:p w:rsidR="00FB7067" w:rsidRPr="00C5053A" w:rsidRDefault="00FB706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B7067" w:rsidRDefault="00FB7067"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FB7067" w:rsidRDefault="00FB7067"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FB7067" w:rsidRDefault="00FB7067" w:rsidP="00696EF5">
                            <w:pPr>
                              <w:pStyle w:val="Prrafodelista"/>
                              <w:numPr>
                                <w:ilvl w:val="0"/>
                                <w:numId w:val="6"/>
                              </w:numPr>
                              <w:rPr>
                                <w:sz w:val="20"/>
                                <w:szCs w:val="20"/>
                              </w:rPr>
                            </w:pPr>
                            <w:r>
                              <w:rPr>
                                <w:sz w:val="20"/>
                                <w:szCs w:val="20"/>
                              </w:rPr>
                              <w:t>La información estadística sobre contratos está muy desactualizada.</w:t>
                            </w:r>
                          </w:p>
                          <w:p w:rsidR="00FB7067" w:rsidRDefault="00FB7067" w:rsidP="00E51E35">
                            <w:pPr>
                              <w:pStyle w:val="Prrafodelista"/>
                              <w:numPr>
                                <w:ilvl w:val="0"/>
                                <w:numId w:val="6"/>
                              </w:numPr>
                              <w:rPr>
                                <w:sz w:val="20"/>
                                <w:szCs w:val="20"/>
                              </w:rPr>
                            </w:pPr>
                            <w:r w:rsidRPr="00E51E35">
                              <w:rPr>
                                <w:sz w:val="20"/>
                                <w:szCs w:val="20"/>
                              </w:rPr>
                              <w:t xml:space="preserve">La última información sobre </w:t>
                            </w:r>
                            <w:r>
                              <w:rPr>
                                <w:sz w:val="20"/>
                                <w:szCs w:val="20"/>
                              </w:rPr>
                              <w:t>convenios está referida a 2021.</w:t>
                            </w:r>
                          </w:p>
                          <w:p w:rsidR="00FB7067" w:rsidRDefault="00FB7067" w:rsidP="00E51E35">
                            <w:pPr>
                              <w:pStyle w:val="Prrafodelista"/>
                              <w:numPr>
                                <w:ilvl w:val="0"/>
                                <w:numId w:val="6"/>
                              </w:numPr>
                              <w:rPr>
                                <w:sz w:val="20"/>
                                <w:szCs w:val="20"/>
                              </w:rPr>
                            </w:pPr>
                            <w:r w:rsidRPr="00E51E35">
                              <w:rPr>
                                <w:sz w:val="20"/>
                                <w:szCs w:val="20"/>
                              </w:rPr>
                              <w:t>No se ha localizado información sobre las subvenciones concedidas</w:t>
                            </w:r>
                          </w:p>
                          <w:p w:rsidR="00FB7067" w:rsidRPr="00E51E35" w:rsidRDefault="00FB7067" w:rsidP="00E51E35">
                            <w:pPr>
                              <w:pStyle w:val="Prrafodelista"/>
                              <w:numPr>
                                <w:ilvl w:val="0"/>
                                <w:numId w:val="6"/>
                              </w:numPr>
                              <w:rPr>
                                <w:sz w:val="20"/>
                                <w:szCs w:val="20"/>
                              </w:rPr>
                            </w:pPr>
                            <w:r>
                              <w:rPr>
                                <w:sz w:val="20"/>
                                <w:szCs w:val="20"/>
                              </w:rPr>
                              <w:t>No se ha localizado información sobre el presupuesto.</w:t>
                            </w:r>
                          </w:p>
                          <w:p w:rsidR="00FB7067" w:rsidRDefault="00FB7067" w:rsidP="00E51E35">
                            <w:pPr>
                              <w:numPr>
                                <w:ilvl w:val="0"/>
                                <w:numId w:val="6"/>
                              </w:numPr>
                              <w:spacing w:before="120" w:after="120"/>
                              <w:jc w:val="both"/>
                              <w:rPr>
                                <w:sz w:val="20"/>
                                <w:szCs w:val="20"/>
                              </w:rPr>
                            </w:pPr>
                            <w:r>
                              <w:rPr>
                                <w:sz w:val="20"/>
                                <w:szCs w:val="20"/>
                              </w:rPr>
                              <w:t xml:space="preserve">Aunque se informa sobre las retribuciones del Presidente no se publican las correspondientes a los directivos de la entidad y además, la información está desactualizada. </w:t>
                            </w:r>
                          </w:p>
                          <w:p w:rsidR="00FB7067" w:rsidRDefault="00FB7067"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FB7067" w:rsidRDefault="00FB7067"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FB7067" w:rsidRPr="006855DB" w:rsidRDefault="00FB7067"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B7067" w:rsidRDefault="00FB7067" w:rsidP="00F704A4">
                            <w:pPr>
                              <w:contextualSpacing/>
                              <w:jc w:val="both"/>
                              <w:rPr>
                                <w:rFonts w:eastAsiaTheme="majorEastAsia" w:cstheme="majorBidi"/>
                                <w:bCs/>
                              </w:rPr>
                            </w:pPr>
                          </w:p>
                          <w:p w:rsidR="00FB7067" w:rsidRDefault="00FB7067" w:rsidP="00BF6F19">
                            <w:pPr>
                              <w:rPr>
                                <w:b/>
                                <w:color w:val="00642D"/>
                              </w:rPr>
                            </w:pPr>
                            <w:r>
                              <w:rPr>
                                <w:b/>
                                <w:color w:val="00642D"/>
                              </w:rPr>
                              <w:t>Calidad de la Información</w:t>
                            </w:r>
                          </w:p>
                          <w:p w:rsidR="00FB7067" w:rsidRDefault="00FB7067" w:rsidP="001D6ABE">
                            <w:pPr>
                              <w:pStyle w:val="Prrafodelista"/>
                              <w:numPr>
                                <w:ilvl w:val="0"/>
                                <w:numId w:val="24"/>
                              </w:numPr>
                              <w:rPr>
                                <w:sz w:val="20"/>
                                <w:szCs w:val="20"/>
                              </w:rPr>
                            </w:pPr>
                            <w:r>
                              <w:rPr>
                                <w:sz w:val="20"/>
                                <w:szCs w:val="20"/>
                              </w:rPr>
                              <w:t>Algunas informaciones están desactualizadas.</w:t>
                            </w:r>
                          </w:p>
                          <w:p w:rsidR="00FB7067" w:rsidRDefault="00FB7067" w:rsidP="001D6ABE">
                            <w:pPr>
                              <w:pStyle w:val="Prrafodelista"/>
                              <w:numPr>
                                <w:ilvl w:val="0"/>
                                <w:numId w:val="24"/>
                              </w:numPr>
                              <w:rPr>
                                <w:sz w:val="20"/>
                                <w:szCs w:val="20"/>
                              </w:rPr>
                            </w:pPr>
                            <w:r w:rsidRPr="00E51E35">
                              <w:rPr>
                                <w:sz w:val="20"/>
                                <w:szCs w:val="20"/>
                              </w:rPr>
                              <w:t xml:space="preserve">Algunas informaciones se publican en </w:t>
                            </w:r>
                            <w:r>
                              <w:rPr>
                                <w:sz w:val="20"/>
                                <w:szCs w:val="20"/>
                              </w:rPr>
                              <w:t>formatos no reutilizables.</w:t>
                            </w:r>
                          </w:p>
                          <w:p w:rsidR="00FB7067" w:rsidRPr="00E51E35" w:rsidRDefault="00FB7067" w:rsidP="001D6ABE">
                            <w:pPr>
                              <w:pStyle w:val="Prrafodelista"/>
                              <w:numPr>
                                <w:ilvl w:val="0"/>
                                <w:numId w:val="24"/>
                              </w:numPr>
                              <w:rPr>
                                <w:sz w:val="20"/>
                                <w:szCs w:val="20"/>
                              </w:rPr>
                            </w:pPr>
                            <w:r w:rsidRPr="00E51E35">
                              <w:rPr>
                                <w:sz w:val="20"/>
                                <w:szCs w:val="20"/>
                              </w:rPr>
                              <w:t xml:space="preserve">No se publica la fecha </w:t>
                            </w:r>
                            <w:r>
                              <w:rPr>
                                <w:sz w:val="20"/>
                                <w:szCs w:val="20"/>
                              </w:rPr>
                              <w:t>de la última revisión o actualización de la información.</w:t>
                            </w:r>
                          </w:p>
                          <w:p w:rsidR="00FB7067" w:rsidRDefault="00FB7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426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">
                <v:textbox>
                  <w:txbxContent>
                    <w:p w:rsidR="000B0F36" w:rsidRDefault="000B0F36" w:rsidP="00BD4582">
                      <w:pPr>
                        <w:rPr>
                          <w:b/>
                          <w:color w:val="00642D"/>
                        </w:rPr>
                      </w:pPr>
                      <w:r w:rsidRPr="00BD4582">
                        <w:rPr>
                          <w:b/>
                          <w:color w:val="00642D"/>
                        </w:rPr>
                        <w:t>Contenidos</w:t>
                      </w:r>
                    </w:p>
                    <w:p w:rsidR="000B0F36" w:rsidRPr="00C5053A" w:rsidRDefault="000B0F3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0B0F36" w:rsidRDefault="000B0F36"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0B0F36" w:rsidRDefault="000B0F36"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0B0F36" w:rsidRDefault="000B0F36" w:rsidP="00696EF5">
                      <w:pPr>
                        <w:pStyle w:val="Prrafodelista"/>
                        <w:numPr>
                          <w:ilvl w:val="0"/>
                          <w:numId w:val="6"/>
                        </w:numPr>
                        <w:rPr>
                          <w:sz w:val="20"/>
                          <w:szCs w:val="20"/>
                        </w:rPr>
                      </w:pPr>
                      <w:r>
                        <w:rPr>
                          <w:sz w:val="20"/>
                          <w:szCs w:val="20"/>
                        </w:rPr>
                        <w:t>La información estadística sobre contratos está muy desactualizada.</w:t>
                      </w:r>
                    </w:p>
                    <w:p w:rsidR="000B0F36" w:rsidRDefault="000B0F36" w:rsidP="00E51E35">
                      <w:pPr>
                        <w:pStyle w:val="Prrafodelista"/>
                        <w:numPr>
                          <w:ilvl w:val="0"/>
                          <w:numId w:val="6"/>
                        </w:numPr>
                        <w:rPr>
                          <w:sz w:val="20"/>
                          <w:szCs w:val="20"/>
                        </w:rPr>
                      </w:pPr>
                      <w:r w:rsidRPr="00E51E35">
                        <w:rPr>
                          <w:sz w:val="20"/>
                          <w:szCs w:val="20"/>
                        </w:rPr>
                        <w:t xml:space="preserve">La última información sobre </w:t>
                      </w:r>
                      <w:r>
                        <w:rPr>
                          <w:sz w:val="20"/>
                          <w:szCs w:val="20"/>
                        </w:rPr>
                        <w:t>convenios está referida a 2021.</w:t>
                      </w:r>
                    </w:p>
                    <w:p w:rsidR="000B0F36" w:rsidRDefault="000B0F36" w:rsidP="00E51E35">
                      <w:pPr>
                        <w:pStyle w:val="Prrafodelista"/>
                        <w:numPr>
                          <w:ilvl w:val="0"/>
                          <w:numId w:val="6"/>
                        </w:numPr>
                        <w:rPr>
                          <w:sz w:val="20"/>
                          <w:szCs w:val="20"/>
                        </w:rPr>
                      </w:pPr>
                      <w:r w:rsidRPr="00E51E35">
                        <w:rPr>
                          <w:sz w:val="20"/>
                          <w:szCs w:val="20"/>
                        </w:rPr>
                        <w:t>No se ha localizado información sobre las subvenciones concedidas</w:t>
                      </w:r>
                    </w:p>
                    <w:p w:rsidR="000B0F36" w:rsidRPr="00E51E35" w:rsidRDefault="000B0F36" w:rsidP="00E51E35">
                      <w:pPr>
                        <w:pStyle w:val="Prrafodelista"/>
                        <w:numPr>
                          <w:ilvl w:val="0"/>
                          <w:numId w:val="6"/>
                        </w:numPr>
                        <w:rPr>
                          <w:sz w:val="20"/>
                          <w:szCs w:val="20"/>
                        </w:rPr>
                      </w:pPr>
                      <w:r>
                        <w:rPr>
                          <w:sz w:val="20"/>
                          <w:szCs w:val="20"/>
                        </w:rPr>
                        <w:t>No se ha localizado información sobre el presupuesto.</w:t>
                      </w:r>
                    </w:p>
                    <w:p w:rsidR="000B0F36" w:rsidRDefault="000B0F36" w:rsidP="00E51E35">
                      <w:pPr>
                        <w:numPr>
                          <w:ilvl w:val="0"/>
                          <w:numId w:val="6"/>
                        </w:numPr>
                        <w:spacing w:before="120" w:after="120"/>
                        <w:jc w:val="both"/>
                        <w:rPr>
                          <w:sz w:val="20"/>
                          <w:szCs w:val="20"/>
                        </w:rPr>
                      </w:pPr>
                      <w:r>
                        <w:rPr>
                          <w:sz w:val="20"/>
                          <w:szCs w:val="20"/>
                        </w:rPr>
                        <w:t xml:space="preserve">Aunque se informa sobre las retribuciones del Presidente no se publican las correspondientes a los directivos de la entidad y además, la información está desactualizada. </w:t>
                      </w:r>
                    </w:p>
                    <w:p w:rsidR="000B0F36" w:rsidRDefault="000B0F36"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0B0F36" w:rsidRDefault="000B0F36"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0B0F36" w:rsidRPr="006855DB" w:rsidRDefault="000B0F36"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0B0F36" w:rsidRDefault="000B0F36" w:rsidP="00F704A4">
                      <w:pPr>
                        <w:contextualSpacing/>
                        <w:jc w:val="both"/>
                        <w:rPr>
                          <w:rFonts w:eastAsiaTheme="majorEastAsia" w:cstheme="majorBidi"/>
                          <w:bCs/>
                        </w:rPr>
                      </w:pPr>
                    </w:p>
                    <w:p w:rsidR="000B0F36" w:rsidRDefault="000B0F36" w:rsidP="00BF6F19">
                      <w:pPr>
                        <w:rPr>
                          <w:b/>
                          <w:color w:val="00642D"/>
                        </w:rPr>
                      </w:pPr>
                      <w:r>
                        <w:rPr>
                          <w:b/>
                          <w:color w:val="00642D"/>
                        </w:rPr>
                        <w:t>Calidad de la Información</w:t>
                      </w:r>
                    </w:p>
                    <w:p w:rsidR="000B0F36" w:rsidRDefault="000B0F36" w:rsidP="001D6ABE">
                      <w:pPr>
                        <w:pStyle w:val="Prrafodelista"/>
                        <w:numPr>
                          <w:ilvl w:val="0"/>
                          <w:numId w:val="24"/>
                        </w:numPr>
                        <w:rPr>
                          <w:sz w:val="20"/>
                          <w:szCs w:val="20"/>
                        </w:rPr>
                      </w:pPr>
                      <w:r>
                        <w:rPr>
                          <w:sz w:val="20"/>
                          <w:szCs w:val="20"/>
                        </w:rPr>
                        <w:t>Algunas informaciones están desactualizadas.</w:t>
                      </w:r>
                    </w:p>
                    <w:p w:rsidR="000B0F36" w:rsidRDefault="000B0F36" w:rsidP="001D6ABE">
                      <w:pPr>
                        <w:pStyle w:val="Prrafodelista"/>
                        <w:numPr>
                          <w:ilvl w:val="0"/>
                          <w:numId w:val="24"/>
                        </w:numPr>
                        <w:rPr>
                          <w:sz w:val="20"/>
                          <w:szCs w:val="20"/>
                        </w:rPr>
                      </w:pPr>
                      <w:r w:rsidRPr="00E51E35">
                        <w:rPr>
                          <w:sz w:val="20"/>
                          <w:szCs w:val="20"/>
                        </w:rPr>
                        <w:t xml:space="preserve">Algunas informaciones se publican en </w:t>
                      </w:r>
                      <w:r>
                        <w:rPr>
                          <w:sz w:val="20"/>
                          <w:szCs w:val="20"/>
                        </w:rPr>
                        <w:t>formatos no reutilizables.</w:t>
                      </w:r>
                    </w:p>
                    <w:p w:rsidR="000B0F36" w:rsidRPr="00E51E35" w:rsidRDefault="000B0F36" w:rsidP="001D6ABE">
                      <w:pPr>
                        <w:pStyle w:val="Prrafodelista"/>
                        <w:numPr>
                          <w:ilvl w:val="0"/>
                          <w:numId w:val="24"/>
                        </w:numPr>
                        <w:rPr>
                          <w:sz w:val="20"/>
                          <w:szCs w:val="20"/>
                        </w:rPr>
                      </w:pPr>
                      <w:r w:rsidRPr="00E51E35">
                        <w:rPr>
                          <w:sz w:val="20"/>
                          <w:szCs w:val="20"/>
                        </w:rPr>
                        <w:t xml:space="preserve">No se publica la fecha </w:t>
                      </w:r>
                      <w:r>
                        <w:rPr>
                          <w:sz w:val="20"/>
                          <w:szCs w:val="20"/>
                        </w:rPr>
                        <w:t>de la última revisión o actualización de la información.</w:t>
                      </w:r>
                    </w:p>
                    <w:p w:rsidR="000B0F36" w:rsidRDefault="000B0F36"/>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291300" w:rsidRDefault="00291300">
      <w:pPr>
        <w:rPr>
          <w:b/>
          <w:color w:val="50866C"/>
          <w:sz w:val="32"/>
        </w:rPr>
      </w:pPr>
    </w:p>
    <w:p w:rsidR="00291300" w:rsidRDefault="00291300">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11F21" w:rsidRPr="00FD0689" w:rsidTr="00411F2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11F21" w:rsidRPr="00FD0689" w:rsidRDefault="00411F2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8,3</w:t>
            </w:r>
          </w:p>
        </w:tc>
        <w:tc>
          <w:tcPr>
            <w:tcW w:w="0" w:type="auto"/>
            <w:noWrap/>
            <w:vAlign w:val="center"/>
          </w:tcPr>
          <w:p w:rsidR="00411F21" w:rsidRPr="00411F21" w:rsidRDefault="00411F21" w:rsidP="00411F21">
            <w:pPr>
              <w:jc w:val="center"/>
              <w:cnfStyle w:val="000000100000" w:firstRow="0" w:lastRow="0" w:firstColumn="0" w:lastColumn="0" w:oddVBand="0" w:evenVBand="0" w:oddHBand="1" w:evenHBand="0" w:firstRowFirstColumn="0" w:firstRowLastColumn="0" w:lastRowFirstColumn="0" w:lastRowLastColumn="0"/>
              <w:rPr>
                <w:sz w:val="16"/>
              </w:rPr>
            </w:pPr>
            <w:r w:rsidRPr="00411F21">
              <w:rPr>
                <w:sz w:val="16"/>
              </w:rPr>
              <w:t>72,6</w:t>
            </w:r>
          </w:p>
        </w:tc>
      </w:tr>
      <w:tr w:rsidR="004A5EEF" w:rsidRPr="00FD0689" w:rsidTr="004A5EE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A5EEF" w:rsidRPr="00FD0689" w:rsidRDefault="004A5EE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20,6</w:t>
            </w:r>
          </w:p>
        </w:tc>
        <w:tc>
          <w:tcPr>
            <w:tcW w:w="0" w:type="auto"/>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21,4</w:t>
            </w:r>
          </w:p>
        </w:tc>
        <w:tc>
          <w:tcPr>
            <w:tcW w:w="0" w:type="auto"/>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21,4</w:t>
            </w:r>
          </w:p>
        </w:tc>
        <w:tc>
          <w:tcPr>
            <w:tcW w:w="0" w:type="auto"/>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21,4</w:t>
            </w:r>
          </w:p>
        </w:tc>
        <w:tc>
          <w:tcPr>
            <w:tcW w:w="0" w:type="auto"/>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21,4</w:t>
            </w:r>
          </w:p>
        </w:tc>
        <w:tc>
          <w:tcPr>
            <w:tcW w:w="0" w:type="auto"/>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14,3</w:t>
            </w:r>
          </w:p>
        </w:tc>
        <w:tc>
          <w:tcPr>
            <w:tcW w:w="0" w:type="auto"/>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21,4</w:t>
            </w:r>
          </w:p>
        </w:tc>
        <w:tc>
          <w:tcPr>
            <w:tcW w:w="0" w:type="auto"/>
            <w:noWrap/>
            <w:vAlign w:val="center"/>
          </w:tcPr>
          <w:p w:rsidR="004A5EEF" w:rsidRPr="004A5EEF" w:rsidRDefault="004A5EEF" w:rsidP="004A5EEF">
            <w:pPr>
              <w:jc w:val="center"/>
              <w:cnfStyle w:val="000000000000" w:firstRow="0" w:lastRow="0" w:firstColumn="0" w:lastColumn="0" w:oddVBand="0" w:evenVBand="0" w:oddHBand="0" w:evenHBand="0" w:firstRowFirstColumn="0" w:firstRowLastColumn="0" w:lastRowFirstColumn="0" w:lastRowLastColumn="0"/>
              <w:rPr>
                <w:sz w:val="16"/>
              </w:rPr>
            </w:pPr>
            <w:r w:rsidRPr="004A5EEF">
              <w:rPr>
                <w:sz w:val="16"/>
              </w:rPr>
              <w:t>20,3</w:t>
            </w:r>
          </w:p>
        </w:tc>
      </w:tr>
      <w:tr w:rsidR="004A5EEF" w:rsidRPr="00A94BCA" w:rsidTr="004A5EE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A5EEF" w:rsidRPr="002A154B" w:rsidRDefault="004A5EE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39,4</w:t>
            </w:r>
          </w:p>
        </w:tc>
        <w:tc>
          <w:tcPr>
            <w:tcW w:w="0" w:type="auto"/>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40,0</w:t>
            </w:r>
          </w:p>
        </w:tc>
        <w:tc>
          <w:tcPr>
            <w:tcW w:w="0" w:type="auto"/>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40,0</w:t>
            </w:r>
          </w:p>
        </w:tc>
        <w:tc>
          <w:tcPr>
            <w:tcW w:w="0" w:type="auto"/>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40,0</w:t>
            </w:r>
          </w:p>
        </w:tc>
        <w:tc>
          <w:tcPr>
            <w:tcW w:w="0" w:type="auto"/>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40,0</w:t>
            </w:r>
          </w:p>
        </w:tc>
        <w:tc>
          <w:tcPr>
            <w:tcW w:w="0" w:type="auto"/>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35,0</w:t>
            </w:r>
          </w:p>
        </w:tc>
        <w:tc>
          <w:tcPr>
            <w:tcW w:w="0" w:type="auto"/>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17,5</w:t>
            </w:r>
          </w:p>
        </w:tc>
        <w:tc>
          <w:tcPr>
            <w:tcW w:w="0" w:type="auto"/>
            <w:noWrap/>
            <w:vAlign w:val="center"/>
          </w:tcPr>
          <w:p w:rsidR="004A5EEF" w:rsidRPr="004A5EEF" w:rsidRDefault="004A5EEF" w:rsidP="004A5EEF">
            <w:pPr>
              <w:jc w:val="center"/>
              <w:cnfStyle w:val="000000100000" w:firstRow="0" w:lastRow="0" w:firstColumn="0" w:lastColumn="0" w:oddVBand="0" w:evenVBand="0" w:oddHBand="1" w:evenHBand="0" w:firstRowFirstColumn="0" w:firstRowLastColumn="0" w:lastRowFirstColumn="0" w:lastRowLastColumn="0"/>
              <w:rPr>
                <w:b/>
                <w:i/>
                <w:sz w:val="16"/>
              </w:rPr>
            </w:pPr>
            <w:r w:rsidRPr="004A5EEF">
              <w:rPr>
                <w:b/>
                <w:i/>
                <w:sz w:val="16"/>
              </w:rPr>
              <w:t>36,0</w:t>
            </w:r>
          </w:p>
        </w:tc>
      </w:tr>
    </w:tbl>
    <w:p w:rsidR="00411F21" w:rsidRDefault="00411F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4A5EEF">
        <w:rPr>
          <w:color w:val="auto"/>
        </w:rPr>
        <w:t>36</w:t>
      </w:r>
      <w:r w:rsidRPr="00B94A21">
        <w:rPr>
          <w:color w:val="auto"/>
        </w:rPr>
        <w:t xml:space="preserve">%. La falta de publicación de informaciones obligatorias – </w:t>
      </w:r>
      <w:r w:rsidR="00411F21">
        <w:rPr>
          <w:color w:val="auto"/>
        </w:rPr>
        <w:t>no</w:t>
      </w:r>
      <w:r w:rsidRPr="00B94A21">
        <w:rPr>
          <w:color w:val="auto"/>
        </w:rPr>
        <w:t xml:space="preserve"> se publica </w:t>
      </w:r>
      <w:r w:rsidR="00411F21">
        <w:rPr>
          <w:color w:val="auto"/>
        </w:rPr>
        <w:t xml:space="preserve">el </w:t>
      </w:r>
      <w:r w:rsidR="004A5EEF">
        <w:rPr>
          <w:color w:val="auto"/>
        </w:rPr>
        <w:t>60</w:t>
      </w:r>
      <w:r w:rsidR="00411F21">
        <w:rPr>
          <w:color w:val="auto"/>
        </w:rPr>
        <w:t xml:space="preserve">,6%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Pr="00B94A21">
        <w:rPr>
          <w:color w:val="auto"/>
        </w:rPr>
        <w:t xml:space="preserve">–así como </w:t>
      </w:r>
      <w:r w:rsidR="00291300">
        <w:rPr>
          <w:color w:val="auto"/>
        </w:rPr>
        <w:t xml:space="preserve">la </w:t>
      </w:r>
      <w:r w:rsidR="00CD4417">
        <w:rPr>
          <w:color w:val="auto"/>
        </w:rPr>
        <w:t>publicación de algunas informaciones en el Portal de Transparencia de la AGE</w:t>
      </w:r>
      <w:r w:rsidR="00291300">
        <w:rPr>
          <w:color w:val="auto"/>
        </w:rPr>
        <w:t xml:space="preserve"> y </w:t>
      </w:r>
      <w:r w:rsidRPr="00B94A21">
        <w:rPr>
          <w:color w:val="auto"/>
        </w:rPr>
        <w:t>la falta de referencias a la fecha en que se revisó o actualizó la información por última vez</w:t>
      </w:r>
      <w:r w:rsidR="00411F21">
        <w:rPr>
          <w:color w:val="auto"/>
        </w:rPr>
        <w:t>,</w:t>
      </w:r>
      <w:r w:rsidRPr="00B94A21">
        <w:rPr>
          <w:color w:val="auto"/>
        </w:rPr>
        <w:t xml:space="preserv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2114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114550"/>
                        </a:xfrm>
                        <a:prstGeom prst="rect">
                          <a:avLst/>
                        </a:prstGeom>
                        <a:solidFill>
                          <a:srgbClr val="FFFFFF"/>
                        </a:solidFill>
                        <a:ln w="9525">
                          <a:solidFill>
                            <a:srgbClr val="000000"/>
                          </a:solidFill>
                          <a:miter lim="800000"/>
                          <a:headEnd/>
                          <a:tailEnd/>
                        </a:ln>
                      </wps:spPr>
                      <wps:txbx>
                        <w:txbxContent>
                          <w:p w:rsidR="00FB7067" w:rsidRDefault="00FB7067">
                            <w:pPr>
                              <w:rPr>
                                <w:b/>
                                <w:color w:val="00642D"/>
                              </w:rPr>
                            </w:pPr>
                            <w:r w:rsidRPr="002A154B">
                              <w:rPr>
                                <w:b/>
                                <w:color w:val="00642D"/>
                              </w:rPr>
                              <w:t xml:space="preserve">Transparencia </w:t>
                            </w:r>
                            <w:r>
                              <w:rPr>
                                <w:b/>
                                <w:color w:val="00642D"/>
                              </w:rPr>
                              <w:t>Voluntaria</w:t>
                            </w:r>
                          </w:p>
                          <w:p w:rsidR="00FB7067" w:rsidRDefault="00FB7067" w:rsidP="005C64FF">
                            <w:pPr>
                              <w:spacing w:before="120" w:after="120" w:line="240" w:lineRule="auto"/>
                              <w:jc w:val="both"/>
                              <w:rPr>
                                <w:sz w:val="20"/>
                                <w:szCs w:val="20"/>
                              </w:rPr>
                            </w:pPr>
                            <w:r>
                              <w:rPr>
                                <w:sz w:val="20"/>
                                <w:szCs w:val="20"/>
                              </w:rPr>
                              <w:t>ENSA</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FB7067" w:rsidRPr="005C64FF" w:rsidRDefault="00FB7067" w:rsidP="005C64FF">
                            <w:pPr>
                              <w:spacing w:before="120" w:after="120" w:line="240" w:lineRule="auto"/>
                              <w:jc w:val="both"/>
                              <w:rPr>
                                <w:sz w:val="20"/>
                                <w:szCs w:val="20"/>
                              </w:rPr>
                            </w:pP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 y </w:t>
                            </w:r>
                            <w:proofErr w:type="spellStart"/>
                            <w:r>
                              <w:rPr>
                                <w:sz w:val="20"/>
                                <w:szCs w:val="20"/>
                              </w:rPr>
                              <w:t>antisoborno</w:t>
                            </w:r>
                            <w:proofErr w:type="spellEnd"/>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p w:rsidR="00FB7067" w:rsidRDefault="00FB7067"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Informes de estado de información no financiera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6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">
                <v:textbox>
                  <w:txbxContent>
                    <w:p w:rsidR="000B0F36" w:rsidRDefault="000B0F36">
                      <w:pPr>
                        <w:rPr>
                          <w:b/>
                          <w:color w:val="00642D"/>
                        </w:rPr>
                      </w:pPr>
                      <w:r w:rsidRPr="002A154B">
                        <w:rPr>
                          <w:b/>
                          <w:color w:val="00642D"/>
                        </w:rPr>
                        <w:t xml:space="preserve">Transparencia </w:t>
                      </w:r>
                      <w:r>
                        <w:rPr>
                          <w:b/>
                          <w:color w:val="00642D"/>
                        </w:rPr>
                        <w:t>Voluntaria</w:t>
                      </w:r>
                    </w:p>
                    <w:p w:rsidR="000B0F36" w:rsidRDefault="00792A78" w:rsidP="005C64FF">
                      <w:pPr>
                        <w:spacing w:before="120" w:after="120" w:line="240" w:lineRule="auto"/>
                        <w:jc w:val="both"/>
                        <w:rPr>
                          <w:sz w:val="20"/>
                          <w:szCs w:val="20"/>
                        </w:rPr>
                      </w:pPr>
                      <w:r>
                        <w:rPr>
                          <w:sz w:val="20"/>
                          <w:szCs w:val="20"/>
                        </w:rPr>
                        <w:t>ENSA</w:t>
                      </w:r>
                      <w:r w:rsidR="000B0F36" w:rsidRPr="005C64FF">
                        <w:rPr>
                          <w:sz w:val="20"/>
                          <w:szCs w:val="20"/>
                        </w:rPr>
                        <w:t>, publica informaci</w:t>
                      </w:r>
                      <w:r w:rsidR="000B0F36">
                        <w:rPr>
                          <w:sz w:val="20"/>
                          <w:szCs w:val="20"/>
                        </w:rPr>
                        <w:t>ón</w:t>
                      </w:r>
                      <w:r w:rsidR="000B0F36" w:rsidRPr="005C64FF">
                        <w:rPr>
                          <w:sz w:val="20"/>
                          <w:szCs w:val="20"/>
                        </w:rPr>
                        <w:t xml:space="preserve"> adicional a la obligatoria que puede considerarse relevante desde el punto de vista de la Transparencia de la entidad, aunque alguna</w:t>
                      </w:r>
                      <w:r w:rsidR="000B0F36">
                        <w:rPr>
                          <w:sz w:val="20"/>
                          <w:szCs w:val="20"/>
                        </w:rPr>
                        <w:t xml:space="preserve"> de esta información derive</w:t>
                      </w:r>
                      <w:r w:rsidR="000B0F36" w:rsidRPr="005C64FF">
                        <w:rPr>
                          <w:sz w:val="20"/>
                          <w:szCs w:val="20"/>
                        </w:rPr>
                        <w:t xml:space="preserve"> de obligaciones establecidas en otras disposiciones normativas:</w:t>
                      </w:r>
                    </w:p>
                    <w:p w:rsidR="000B0F36" w:rsidRPr="005C64FF" w:rsidRDefault="000B0F36" w:rsidP="005C64FF">
                      <w:pPr>
                        <w:spacing w:before="120" w:after="120" w:line="240" w:lineRule="auto"/>
                        <w:jc w:val="both"/>
                        <w:rPr>
                          <w:sz w:val="20"/>
                          <w:szCs w:val="20"/>
                        </w:rPr>
                      </w:pPr>
                    </w:p>
                    <w:p w:rsidR="000B0F36" w:rsidRDefault="000B0F36" w:rsidP="005C64FF">
                      <w:pPr>
                        <w:pStyle w:val="Prrafodelista"/>
                        <w:numPr>
                          <w:ilvl w:val="0"/>
                          <w:numId w:val="15"/>
                        </w:numPr>
                        <w:spacing w:before="120" w:after="120" w:line="240" w:lineRule="auto"/>
                        <w:ind w:left="0" w:firstLine="425"/>
                        <w:contextualSpacing w:val="0"/>
                        <w:jc w:val="both"/>
                        <w:rPr>
                          <w:sz w:val="20"/>
                          <w:szCs w:val="20"/>
                        </w:rPr>
                      </w:pPr>
                      <w:r w:rsidRPr="005C64FF">
                        <w:rPr>
                          <w:sz w:val="20"/>
                          <w:szCs w:val="20"/>
                        </w:rPr>
                        <w:t>Código de Conducta</w:t>
                      </w:r>
                    </w:p>
                    <w:p w:rsidR="000B0F36" w:rsidRDefault="000B0F3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 y </w:t>
                      </w:r>
                      <w:proofErr w:type="spellStart"/>
                      <w:r>
                        <w:rPr>
                          <w:sz w:val="20"/>
                          <w:szCs w:val="20"/>
                        </w:rPr>
                        <w:t>antisoborno</w:t>
                      </w:r>
                      <w:proofErr w:type="spellEnd"/>
                    </w:p>
                    <w:p w:rsidR="000B0F36" w:rsidRDefault="000B0F3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p w:rsidR="000B0F36" w:rsidRDefault="000B0F3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Informes de estado de información no financiera</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DC44B2" w:rsidRDefault="00DC44B2"/>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88265</wp:posOffset>
                </wp:positionV>
                <wp:extent cx="6264910" cy="9048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04875"/>
                        </a:xfrm>
                        <a:prstGeom prst="rect">
                          <a:avLst/>
                        </a:prstGeom>
                        <a:solidFill>
                          <a:srgbClr val="FFFFFF"/>
                        </a:solidFill>
                        <a:ln w="9525">
                          <a:solidFill>
                            <a:srgbClr val="000000"/>
                          </a:solidFill>
                          <a:miter lim="800000"/>
                          <a:headEnd/>
                          <a:tailEnd/>
                        </a:ln>
                      </wps:spPr>
                      <wps:txbx>
                        <w:txbxContent>
                          <w:p w:rsidR="00FB7067" w:rsidRDefault="00FB7067" w:rsidP="002A154B">
                            <w:pPr>
                              <w:rPr>
                                <w:b/>
                                <w:color w:val="00642D"/>
                              </w:rPr>
                            </w:pPr>
                            <w:r>
                              <w:rPr>
                                <w:b/>
                                <w:color w:val="00642D"/>
                              </w:rPr>
                              <w:t>Buenas Prácticas</w:t>
                            </w:r>
                          </w:p>
                          <w:p w:rsidR="00FB7067" w:rsidRDefault="00FB7067" w:rsidP="00B7750C">
                            <w:pPr>
                              <w:spacing w:before="120" w:after="120"/>
                              <w:jc w:val="both"/>
                              <w:rPr>
                                <w:sz w:val="20"/>
                                <w:szCs w:val="20"/>
                              </w:rPr>
                            </w:pPr>
                            <w:r w:rsidRPr="008861AF">
                              <w:rPr>
                                <w:sz w:val="20"/>
                                <w:szCs w:val="20"/>
                              </w:rPr>
                              <w:t xml:space="preserve">Como buenas prácticas de </w:t>
                            </w:r>
                            <w:r>
                              <w:rPr>
                                <w:sz w:val="20"/>
                                <w:szCs w:val="20"/>
                              </w:rPr>
                              <w:t>ENSA</w:t>
                            </w:r>
                            <w:r w:rsidRPr="008861AF">
                              <w:rPr>
                                <w:sz w:val="20"/>
                                <w:szCs w:val="20"/>
                              </w:rPr>
                              <w:t xml:space="preserve">, S.M.E., S.A. cabe reseñar </w:t>
                            </w:r>
                            <w:r>
                              <w:rPr>
                                <w:sz w:val="20"/>
                                <w:szCs w:val="20"/>
                              </w:rPr>
                              <w:t>l</w:t>
                            </w:r>
                            <w:r w:rsidRPr="005C64FF">
                              <w:rPr>
                                <w:sz w:val="20"/>
                                <w:szCs w:val="20"/>
                              </w:rPr>
                              <w:t xml:space="preserve">a creación de un acceso específico </w:t>
                            </w:r>
                            <w:r>
                              <w:rPr>
                                <w:sz w:val="20"/>
                                <w:szCs w:val="20"/>
                              </w:rPr>
                              <w:t>en el que informa sobre el ejercicio del derecho de acceso a información pública</w:t>
                            </w:r>
                            <w:r w:rsidRPr="00E00EEC">
                              <w:rPr>
                                <w:sz w:val="20"/>
                                <w:szCs w:val="20"/>
                              </w:rPr>
                              <w:t xml:space="preserve">.  </w:t>
                            </w:r>
                          </w:p>
                          <w:p w:rsidR="00FB7067" w:rsidRPr="002A154B" w:rsidRDefault="00FB7067"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95pt;width:493.3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">
                <v:textbox>
                  <w:txbxContent>
                    <w:p w:rsidR="000B0F36" w:rsidRDefault="000B0F36" w:rsidP="002A154B">
                      <w:pPr>
                        <w:rPr>
                          <w:b/>
                          <w:color w:val="00642D"/>
                        </w:rPr>
                      </w:pPr>
                      <w:r>
                        <w:rPr>
                          <w:b/>
                          <w:color w:val="00642D"/>
                        </w:rPr>
                        <w:t>Buenas Prácticas</w:t>
                      </w:r>
                    </w:p>
                    <w:p w:rsidR="000B0F36" w:rsidRDefault="000B0F36" w:rsidP="00B7750C">
                      <w:pPr>
                        <w:spacing w:before="120" w:after="120"/>
                        <w:jc w:val="both"/>
                        <w:rPr>
                          <w:sz w:val="20"/>
                          <w:szCs w:val="20"/>
                        </w:rPr>
                      </w:pPr>
                      <w:r w:rsidRPr="008861AF">
                        <w:rPr>
                          <w:sz w:val="20"/>
                          <w:szCs w:val="20"/>
                        </w:rPr>
                        <w:t xml:space="preserve">Como buenas prácticas de </w:t>
                      </w:r>
                      <w:r>
                        <w:rPr>
                          <w:sz w:val="20"/>
                          <w:szCs w:val="20"/>
                        </w:rPr>
                        <w:t>ENSA</w:t>
                      </w:r>
                      <w:r w:rsidRPr="008861AF">
                        <w:rPr>
                          <w:sz w:val="20"/>
                          <w:szCs w:val="20"/>
                        </w:rPr>
                        <w:t xml:space="preserve">, S.M.E., S.A. cabe reseñar </w:t>
                      </w:r>
                      <w:r>
                        <w:rPr>
                          <w:sz w:val="20"/>
                          <w:szCs w:val="20"/>
                        </w:rPr>
                        <w:t>l</w:t>
                      </w:r>
                      <w:r w:rsidRPr="005C64FF">
                        <w:rPr>
                          <w:sz w:val="20"/>
                          <w:szCs w:val="20"/>
                        </w:rPr>
                        <w:t xml:space="preserve">a creación de un acceso específico </w:t>
                      </w:r>
                      <w:r>
                        <w:rPr>
                          <w:sz w:val="20"/>
                          <w:szCs w:val="20"/>
                        </w:rPr>
                        <w:t>en el que informa sobre el ejercicio del derecho de acceso a información pública</w:t>
                      </w:r>
                      <w:r w:rsidRPr="00E00EEC">
                        <w:rPr>
                          <w:sz w:val="20"/>
                          <w:szCs w:val="20"/>
                        </w:rPr>
                        <w:t xml:space="preserve">.  </w:t>
                      </w:r>
                    </w:p>
                    <w:p w:rsidR="000B0F36" w:rsidRPr="002A154B" w:rsidRDefault="000B0F36"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C62AED">
        <w:t>ENSA</w:t>
      </w:r>
      <w:r w:rsidR="00F16E31">
        <w:t xml:space="preserve">, </w:t>
      </w:r>
      <w:r w:rsidRPr="00FD0689">
        <w:t xml:space="preserve">en función de la información disponible en </w:t>
      </w:r>
      <w:r>
        <w:t>su Portal de Transparencia alcanza el</w:t>
      </w:r>
      <w:r w:rsidR="00B94A21">
        <w:t xml:space="preserve"> </w:t>
      </w:r>
      <w:r w:rsidR="004A5EEF">
        <w:t>36</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C62AED">
        <w:t>ENSA</w:t>
      </w:r>
      <w:r w:rsidR="00F16E31">
        <w:t xml:space="preserve">, </w:t>
      </w:r>
      <w:r w:rsidRPr="00FD0689">
        <w:t xml:space="preserve">este CTBG </w:t>
      </w:r>
      <w:r w:rsidRPr="00FD0689">
        <w:rPr>
          <w:rFonts w:eastAsiaTheme="majorEastAsia" w:cstheme="majorBidi"/>
          <w:b/>
          <w:bCs/>
          <w:color w:val="50866C"/>
        </w:rPr>
        <w:t>recomienda:</w:t>
      </w: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0B0F36" w:rsidRDefault="000B0F36" w:rsidP="000B0F36">
      <w:pPr>
        <w:spacing w:before="120" w:after="120" w:line="312" w:lineRule="auto"/>
        <w:jc w:val="both"/>
      </w:pPr>
      <w:r>
        <w:t>Para facilitar la localización de la información obligatoria, ésta debería estructurarse conforme al patrón que establece la LTAIBG: Información Institucional y Organizativa e Información Económica</w:t>
      </w:r>
      <w:r w:rsidR="005D2347">
        <w:t xml:space="preserve"> y </w:t>
      </w:r>
      <w:r>
        <w:t>Presupuestaria.</w:t>
      </w:r>
    </w:p>
    <w:p w:rsidR="000B0F36" w:rsidRDefault="000B0F36" w:rsidP="000B0F36">
      <w:pPr>
        <w:spacing w:before="120" w:after="120" w:line="312" w:lineRule="auto"/>
        <w:jc w:val="both"/>
      </w:pPr>
      <w:r>
        <w:t xml:space="preserve">Dentro de cada uno de estos bloques deben publicarse - o enlazarse si la información está publicada en otros apartados de la web institucional - las informaciones obligatorias </w:t>
      </w:r>
      <w:r w:rsidR="005D2347">
        <w:t xml:space="preserve">aplicables a ENSA que </w:t>
      </w:r>
      <w:r>
        <w:t xml:space="preserve">establecen los artículos 6 </w:t>
      </w:r>
      <w:r w:rsidR="005D2347">
        <w:t>y</w:t>
      </w:r>
      <w:r>
        <w:t xml:space="preserve"> 8 de la LTAIBG. </w:t>
      </w:r>
      <w:r w:rsidRPr="00C612C3">
        <w:t>T</w:t>
      </w:r>
      <w:r>
        <w:t>oda la información sujeta a obligaciones de publicidad activa debe publicarse – o en su caso enlazarse - en el Portal de Transparencia y dentro de éste en el bloque de obligaciones al que se vincule.</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B0F36" w:rsidRDefault="000B0F36" w:rsidP="000B0F36">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publicar</w:t>
      </w:r>
      <w:r w:rsidR="00AE7B99" w:rsidRPr="000B0F36">
        <w:rPr>
          <w:rFonts w:eastAsiaTheme="minorHAnsi"/>
          <w:lang w:eastAsia="en-US" w:bidi="es-ES"/>
        </w:rPr>
        <w:t>se</w:t>
      </w:r>
      <w:r w:rsidR="002D30F5" w:rsidRPr="000B0F36">
        <w:rPr>
          <w:rFonts w:eastAsiaTheme="minorHAnsi"/>
          <w:lang w:eastAsia="en-US" w:bidi="es-ES"/>
        </w:rPr>
        <w:t xml:space="preserve"> </w:t>
      </w:r>
      <w:r w:rsidR="00291300" w:rsidRPr="000B0F36">
        <w:rPr>
          <w:rFonts w:eastAsiaTheme="minorHAnsi"/>
          <w:lang w:eastAsia="en-US" w:bidi="es-ES"/>
        </w:rPr>
        <w:t>una descripción de la estructura organizativa de la sociedad</w:t>
      </w:r>
      <w:r w:rsidR="000B0F36">
        <w:t>, incluyendo en esta descripción tanto a los órganos de gobierno como a los de gestión.</w:t>
      </w:r>
    </w:p>
    <w:p w:rsidR="000B0F36" w:rsidRDefault="000B0F36"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lastRenderedPageBreak/>
        <w:t>Información Económica, Presupuestaria y Estadística.</w:t>
      </w:r>
    </w:p>
    <w:p w:rsidR="00D03FCB"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0B0F36" w:rsidRDefault="000B0F36" w:rsidP="00D03FCB">
      <w:pPr>
        <w:numPr>
          <w:ilvl w:val="0"/>
          <w:numId w:val="6"/>
        </w:numPr>
        <w:spacing w:before="120" w:after="120" w:line="312" w:lineRule="auto"/>
        <w:jc w:val="both"/>
      </w:pPr>
      <w:r>
        <w:t>Debe actualizarse la información estadística sobre contratación.</w:t>
      </w:r>
    </w:p>
    <w:p w:rsidR="00F10A1C" w:rsidRPr="00F10A1C" w:rsidRDefault="00F10A1C" w:rsidP="00F10A1C">
      <w:pPr>
        <w:pStyle w:val="Prrafodelista"/>
        <w:numPr>
          <w:ilvl w:val="0"/>
          <w:numId w:val="6"/>
        </w:numPr>
      </w:pPr>
      <w:r w:rsidRPr="00F10A1C">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rsidR="000B0F36">
        <w:t>.</w:t>
      </w:r>
    </w:p>
    <w:p w:rsidR="000B0F36" w:rsidRDefault="000B0F36" w:rsidP="00D03FCB">
      <w:pPr>
        <w:numPr>
          <w:ilvl w:val="0"/>
          <w:numId w:val="6"/>
        </w:numPr>
        <w:spacing w:before="120" w:after="120" w:line="312" w:lineRule="auto"/>
        <w:jc w:val="both"/>
      </w:pPr>
      <w:r>
        <w:t>Debe publicarse información sobre los presupuestos.</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D03FCB"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completarse la información sobre retribuciones, publicando las correspondiente</w:t>
      </w:r>
      <w:r w:rsidR="000B0F36">
        <w:rPr>
          <w:rFonts w:eastAsiaTheme="majorEastAsia" w:cstheme="majorBidi"/>
          <w:bCs/>
        </w:rPr>
        <w:t>s</w:t>
      </w:r>
      <w:r>
        <w:rPr>
          <w:rFonts w:eastAsiaTheme="majorEastAsia" w:cstheme="majorBidi"/>
          <w:bCs/>
        </w:rPr>
        <w:t xml:space="preserve"> a los directivos de la sociedad</w:t>
      </w:r>
      <w:r w:rsidR="000B0F36">
        <w:rPr>
          <w:rFonts w:eastAsiaTheme="majorEastAsia" w:cstheme="majorBidi"/>
          <w:bCs/>
        </w:rPr>
        <w:t>. Por otra parte, la información publicada está desactualizada al corresponder al año 2021.</w:t>
      </w:r>
    </w:p>
    <w:p w:rsidR="000B0F36" w:rsidRDefault="000B0F36"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indemnizaciones concedidas a altos cargos y máximos responsables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en el Portal de la sociedad información sobre las autorizaciones de compatibilidad concedidas a empleados.</w:t>
      </w:r>
    </w:p>
    <w:p w:rsidR="00DC44B2" w:rsidRPr="005C64FF"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0B0F36" w:rsidRDefault="000B0F36" w:rsidP="000B0F36">
      <w:pPr>
        <w:pStyle w:val="Prrafodelista"/>
        <w:numPr>
          <w:ilvl w:val="0"/>
          <w:numId w:val="29"/>
        </w:numPr>
        <w:jc w:val="both"/>
      </w:pPr>
      <w:r>
        <w:t>Deben incluirse referencias a la fecha en que se revisó o actualizó por última vez la información. Para ello bastaría con que esta fecha se publicase en la página inicial del Portal de Transparencia de la sociedad.</w:t>
      </w:r>
    </w:p>
    <w:p w:rsidR="000B0F36" w:rsidRDefault="000B0F36" w:rsidP="000B0F36">
      <w:pPr>
        <w:pStyle w:val="Prrafodelista"/>
        <w:numPr>
          <w:ilvl w:val="0"/>
          <w:numId w:val="29"/>
        </w:numPr>
        <w:jc w:val="both"/>
      </w:pPr>
      <w:r>
        <w:t>En la medida de lo posible, las denominaciones de los enlaces deben ajustarse a los contenidos a los que redirigen, para facilitar  la localización de la información.</w:t>
      </w:r>
    </w:p>
    <w:p w:rsidR="000B0F36" w:rsidRDefault="000B0F36" w:rsidP="000B0F36">
      <w:pPr>
        <w:pStyle w:val="Prrafodelista"/>
        <w:numPr>
          <w:ilvl w:val="0"/>
          <w:numId w:val="29"/>
        </w:numPr>
        <w:jc w:val="both"/>
      </w:pPr>
      <w:r>
        <w:t>Se reitera la recomendación de que en el caso de que no hubiera información que publicar, se señale expresamente esta circunstancia.</w:t>
      </w:r>
    </w:p>
    <w:p w:rsidR="000B0F36" w:rsidRDefault="000B0F36" w:rsidP="000B0F36">
      <w:pPr>
        <w:pStyle w:val="Prrafodelista"/>
        <w:numPr>
          <w:ilvl w:val="0"/>
          <w:numId w:val="2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4A5EEF">
        <w:t>mayo</w:t>
      </w:r>
      <w:r>
        <w:t xml:space="preserve"> de 202</w:t>
      </w:r>
      <w:r w:rsidR="005D2347">
        <w:t>3</w:t>
      </w:r>
    </w:p>
    <w:p w:rsidR="00121C30" w:rsidRPr="00121C30" w:rsidRDefault="00121C30" w:rsidP="0079290C">
      <w:pPr>
        <w:rPr>
          <w:rFonts w:eastAsia="Times New Roman" w:cs="Times New Roman"/>
          <w:b/>
          <w:color w:val="000000"/>
          <w:sz w:val="30"/>
          <w:szCs w:val="30"/>
          <w:lang w:eastAsia="en-US"/>
        </w:rPr>
      </w:pPr>
      <w:r>
        <w:br w:type="page"/>
      </w:r>
      <w:bookmarkStart w:id="0" w:name="_GoBack"/>
      <w:bookmarkEnd w:id="0"/>
      <w:sdt>
        <w:sdtPr>
          <w:rPr>
            <w:rFonts w:eastAsia="Times New Roman" w:cs="Times New Roman"/>
            <w:b/>
            <w:sz w:val="30"/>
            <w:szCs w:val="30"/>
            <w:lang w:eastAsia="en-US"/>
          </w:rPr>
          <w:id w:val="1557966967"/>
          <w:placeholder>
            <w:docPart w:val="671BADD642894FC5A78B9471BC336C0B"/>
          </w:placeholder>
        </w:sdtPr>
        <w:sdtContent>
          <w:r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67" w:rsidRDefault="00FB7067" w:rsidP="00932008">
      <w:pPr>
        <w:spacing w:after="0" w:line="240" w:lineRule="auto"/>
      </w:pPr>
      <w:r>
        <w:separator/>
      </w:r>
    </w:p>
  </w:endnote>
  <w:endnote w:type="continuationSeparator" w:id="0">
    <w:p w:rsidR="00FB7067" w:rsidRDefault="00FB706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67" w:rsidRDefault="00FB7067" w:rsidP="00932008">
      <w:pPr>
        <w:spacing w:after="0" w:line="240" w:lineRule="auto"/>
      </w:pPr>
      <w:r>
        <w:separator/>
      </w:r>
    </w:p>
  </w:footnote>
  <w:footnote w:type="continuationSeparator" w:id="0">
    <w:p w:rsidR="00FB7067" w:rsidRDefault="00FB706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30"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67" w:rsidRDefault="00FB706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numPicBullet w:numPicBulletId="1">
    <w:pict>
      <v:shape id="_x0000_i1031"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A02C6F"/>
    <w:multiLevelType w:val="hybridMultilevel"/>
    <w:tmpl w:val="40927FB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6"/>
  </w:num>
  <w:num w:numId="4">
    <w:abstractNumId w:val="25"/>
  </w:num>
  <w:num w:numId="5">
    <w:abstractNumId w:val="14"/>
  </w:num>
  <w:num w:numId="6">
    <w:abstractNumId w:val="9"/>
  </w:num>
  <w:num w:numId="7">
    <w:abstractNumId w:val="13"/>
  </w:num>
  <w:num w:numId="8">
    <w:abstractNumId w:val="8"/>
  </w:num>
  <w:num w:numId="9">
    <w:abstractNumId w:val="24"/>
  </w:num>
  <w:num w:numId="10">
    <w:abstractNumId w:val="10"/>
  </w:num>
  <w:num w:numId="11">
    <w:abstractNumId w:val="11"/>
  </w:num>
  <w:num w:numId="12">
    <w:abstractNumId w:val="17"/>
  </w:num>
  <w:num w:numId="13">
    <w:abstractNumId w:val="21"/>
  </w:num>
  <w:num w:numId="14">
    <w:abstractNumId w:val="22"/>
  </w:num>
  <w:num w:numId="15">
    <w:abstractNumId w:val="3"/>
  </w:num>
  <w:num w:numId="16">
    <w:abstractNumId w:val="5"/>
  </w:num>
  <w:num w:numId="17">
    <w:abstractNumId w:val="12"/>
  </w:num>
  <w:num w:numId="18">
    <w:abstractNumId w:val="24"/>
  </w:num>
  <w:num w:numId="19">
    <w:abstractNumId w:val="2"/>
  </w:num>
  <w:num w:numId="20">
    <w:abstractNumId w:val="27"/>
  </w:num>
  <w:num w:numId="21">
    <w:abstractNumId w:val="16"/>
  </w:num>
  <w:num w:numId="22">
    <w:abstractNumId w:val="1"/>
  </w:num>
  <w:num w:numId="23">
    <w:abstractNumId w:val="0"/>
  </w:num>
  <w:num w:numId="24">
    <w:abstractNumId w:val="20"/>
  </w:num>
  <w:num w:numId="25">
    <w:abstractNumId w:val="7"/>
  </w:num>
  <w:num w:numId="26">
    <w:abstractNumId w:val="23"/>
  </w:num>
  <w:num w:numId="27">
    <w:abstractNumId w:val="4"/>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467AA"/>
    <w:rsid w:val="00056F6C"/>
    <w:rsid w:val="0006345D"/>
    <w:rsid w:val="00064F29"/>
    <w:rsid w:val="00082E36"/>
    <w:rsid w:val="00084ED8"/>
    <w:rsid w:val="00085461"/>
    <w:rsid w:val="000965B3"/>
    <w:rsid w:val="000A5616"/>
    <w:rsid w:val="000B0F36"/>
    <w:rsid w:val="000C6CFF"/>
    <w:rsid w:val="000C7D64"/>
    <w:rsid w:val="000E7845"/>
    <w:rsid w:val="000F0507"/>
    <w:rsid w:val="000F6B64"/>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D30F5"/>
    <w:rsid w:val="0032102D"/>
    <w:rsid w:val="00345A70"/>
    <w:rsid w:val="00355B0B"/>
    <w:rsid w:val="00355F74"/>
    <w:rsid w:val="00392269"/>
    <w:rsid w:val="003C3B3A"/>
    <w:rsid w:val="003D3077"/>
    <w:rsid w:val="003D6178"/>
    <w:rsid w:val="003E31AC"/>
    <w:rsid w:val="003F0D0D"/>
    <w:rsid w:val="003F271E"/>
    <w:rsid w:val="003F572A"/>
    <w:rsid w:val="00411F21"/>
    <w:rsid w:val="00453CE5"/>
    <w:rsid w:val="004576C0"/>
    <w:rsid w:val="00490DAE"/>
    <w:rsid w:val="00497B1E"/>
    <w:rsid w:val="004A05BB"/>
    <w:rsid w:val="004A5EEF"/>
    <w:rsid w:val="004D2663"/>
    <w:rsid w:val="004F2655"/>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2347"/>
    <w:rsid w:val="005D59B0"/>
    <w:rsid w:val="005F29B8"/>
    <w:rsid w:val="00607165"/>
    <w:rsid w:val="00616000"/>
    <w:rsid w:val="006429F6"/>
    <w:rsid w:val="006574D0"/>
    <w:rsid w:val="00665CC1"/>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290C"/>
    <w:rsid w:val="00792A78"/>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2FA4"/>
    <w:rsid w:val="00894571"/>
    <w:rsid w:val="008A37B5"/>
    <w:rsid w:val="008B4ECD"/>
    <w:rsid w:val="008C1E1E"/>
    <w:rsid w:val="008D1B91"/>
    <w:rsid w:val="008E7D0B"/>
    <w:rsid w:val="008F5CE3"/>
    <w:rsid w:val="009038B7"/>
    <w:rsid w:val="009214BE"/>
    <w:rsid w:val="00924073"/>
    <w:rsid w:val="00932008"/>
    <w:rsid w:val="009609E9"/>
    <w:rsid w:val="00967377"/>
    <w:rsid w:val="009A121C"/>
    <w:rsid w:val="00A15BA0"/>
    <w:rsid w:val="00A27488"/>
    <w:rsid w:val="00A57472"/>
    <w:rsid w:val="00A6166B"/>
    <w:rsid w:val="00A67A5B"/>
    <w:rsid w:val="00A8146B"/>
    <w:rsid w:val="00A849E7"/>
    <w:rsid w:val="00AA102A"/>
    <w:rsid w:val="00AA340A"/>
    <w:rsid w:val="00AB3949"/>
    <w:rsid w:val="00AD06BA"/>
    <w:rsid w:val="00AD2022"/>
    <w:rsid w:val="00AD29E8"/>
    <w:rsid w:val="00AE7B99"/>
    <w:rsid w:val="00AF2AAB"/>
    <w:rsid w:val="00B316E5"/>
    <w:rsid w:val="00B40246"/>
    <w:rsid w:val="00B43765"/>
    <w:rsid w:val="00B7750C"/>
    <w:rsid w:val="00B841AE"/>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6232D"/>
    <w:rsid w:val="00D9084F"/>
    <w:rsid w:val="00D96F84"/>
    <w:rsid w:val="00DC44B2"/>
    <w:rsid w:val="00DD58B3"/>
    <w:rsid w:val="00DF63E7"/>
    <w:rsid w:val="00E00EEC"/>
    <w:rsid w:val="00E01305"/>
    <w:rsid w:val="00E0211B"/>
    <w:rsid w:val="00E100D8"/>
    <w:rsid w:val="00E3088D"/>
    <w:rsid w:val="00E34195"/>
    <w:rsid w:val="00E37EEF"/>
    <w:rsid w:val="00E42BEA"/>
    <w:rsid w:val="00E47613"/>
    <w:rsid w:val="00E51E35"/>
    <w:rsid w:val="00E51E59"/>
    <w:rsid w:val="00E54A74"/>
    <w:rsid w:val="00E85B09"/>
    <w:rsid w:val="00E875F5"/>
    <w:rsid w:val="00EA1E0B"/>
    <w:rsid w:val="00EA7789"/>
    <w:rsid w:val="00ED7EE6"/>
    <w:rsid w:val="00EF3505"/>
    <w:rsid w:val="00F10A1C"/>
    <w:rsid w:val="00F14DA4"/>
    <w:rsid w:val="00F16E31"/>
    <w:rsid w:val="00F22512"/>
    <w:rsid w:val="00F47C3B"/>
    <w:rsid w:val="00F704A4"/>
    <w:rsid w:val="00F71D7D"/>
    <w:rsid w:val="00F96B96"/>
    <w:rsid w:val="00FB706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C7436"/>
    <w:rsid w:val="00525E0F"/>
    <w:rsid w:val="00525ED8"/>
    <w:rsid w:val="005C439C"/>
    <w:rsid w:val="006E19CB"/>
    <w:rsid w:val="007A1A3C"/>
    <w:rsid w:val="008629D1"/>
    <w:rsid w:val="00A66078"/>
    <w:rsid w:val="00A7076F"/>
    <w:rsid w:val="00B92530"/>
    <w:rsid w:val="00BF2C04"/>
    <w:rsid w:val="00D0779D"/>
    <w:rsid w:val="00D35513"/>
    <w:rsid w:val="00D9568B"/>
    <w:rsid w:val="00DB1124"/>
    <w:rsid w:val="00DC084A"/>
    <w:rsid w:val="00E55076"/>
    <w:rsid w:val="00E84348"/>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0DD44B2-5528-40AC-B5A0-D3E2F2BE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2388</TotalTime>
  <Pages>12</Pages>
  <Words>2755</Words>
  <Characters>15158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14</cp:revision>
  <cp:lastPrinted>2007-10-26T10:03:00Z</cp:lastPrinted>
  <dcterms:created xsi:type="dcterms:W3CDTF">2023-03-23T12:09:00Z</dcterms:created>
  <dcterms:modified xsi:type="dcterms:W3CDTF">2023-05-05T07:59:00Z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