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A92D72" w:rsidRPr="00006957" w:rsidRDefault="00A92D7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C64997" w:rsidRPr="00006957" w:rsidRDefault="00C6499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92D72" w:rsidRDefault="00A92D7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64997" w:rsidRDefault="00C6499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11590" w:type="dxa"/>
        <w:tblInd w:w="-459" w:type="dxa"/>
        <w:tblLook w:val="04A0" w:firstRow="1" w:lastRow="0" w:firstColumn="1" w:lastColumn="0" w:noHBand="0" w:noVBand="1"/>
      </w:tblPr>
      <w:tblGrid>
        <w:gridCol w:w="2376"/>
        <w:gridCol w:w="9214"/>
      </w:tblGrid>
      <w:tr w:rsidR="000C6CFF" w:rsidRPr="00CB5511" w:rsidTr="0025087C">
        <w:tc>
          <w:tcPr>
            <w:tcW w:w="2376" w:type="dxa"/>
          </w:tcPr>
          <w:p w:rsidR="000C6CFF" w:rsidRPr="00E34195" w:rsidRDefault="000C6CFF">
            <w:pPr>
              <w:rPr>
                <w:b/>
                <w:color w:val="00642D"/>
                <w:sz w:val="24"/>
                <w:szCs w:val="24"/>
              </w:rPr>
            </w:pPr>
            <w:r w:rsidRPr="00E34195">
              <w:rPr>
                <w:b/>
                <w:color w:val="00642D"/>
                <w:sz w:val="24"/>
                <w:szCs w:val="24"/>
              </w:rPr>
              <w:t>Entidad evaluada</w:t>
            </w:r>
          </w:p>
        </w:tc>
        <w:tc>
          <w:tcPr>
            <w:tcW w:w="9214" w:type="dxa"/>
          </w:tcPr>
          <w:p w:rsidR="000C6CFF" w:rsidRPr="00CB5511" w:rsidRDefault="007E528C" w:rsidP="009C7425">
            <w:pPr>
              <w:rPr>
                <w:sz w:val="24"/>
                <w:szCs w:val="24"/>
              </w:rPr>
            </w:pPr>
            <w:r>
              <w:rPr>
                <w:sz w:val="24"/>
                <w:szCs w:val="24"/>
              </w:rPr>
              <w:t>Centro Universitario de la Defensa ubicado en la Academia General Militar de Zaragoza</w:t>
            </w:r>
          </w:p>
        </w:tc>
      </w:tr>
      <w:tr w:rsidR="000C6CFF" w:rsidRPr="00CB5511" w:rsidTr="0025087C">
        <w:tc>
          <w:tcPr>
            <w:tcW w:w="2376" w:type="dxa"/>
          </w:tcPr>
          <w:p w:rsidR="000C6CFF" w:rsidRPr="00E34195" w:rsidRDefault="000C6CFF">
            <w:pPr>
              <w:rPr>
                <w:b/>
                <w:color w:val="00642D"/>
                <w:sz w:val="24"/>
                <w:szCs w:val="24"/>
              </w:rPr>
            </w:pPr>
            <w:r w:rsidRPr="00E34195">
              <w:rPr>
                <w:b/>
                <w:color w:val="00642D"/>
                <w:sz w:val="24"/>
                <w:szCs w:val="24"/>
              </w:rPr>
              <w:t>Fecha de la evaluación</w:t>
            </w:r>
          </w:p>
        </w:tc>
        <w:tc>
          <w:tcPr>
            <w:tcW w:w="9214" w:type="dxa"/>
          </w:tcPr>
          <w:p w:rsidR="000C6CFF" w:rsidRDefault="007E528C">
            <w:pPr>
              <w:rPr>
                <w:sz w:val="24"/>
                <w:szCs w:val="24"/>
              </w:rPr>
            </w:pPr>
            <w:r>
              <w:rPr>
                <w:sz w:val="24"/>
                <w:szCs w:val="24"/>
              </w:rPr>
              <w:t>23</w:t>
            </w:r>
            <w:r w:rsidR="00386B17">
              <w:rPr>
                <w:sz w:val="24"/>
                <w:szCs w:val="24"/>
              </w:rPr>
              <w:t>/03/2023</w:t>
            </w:r>
          </w:p>
          <w:p w:rsidR="000D506C" w:rsidRPr="00CB5511" w:rsidRDefault="000D506C">
            <w:pPr>
              <w:rPr>
                <w:sz w:val="24"/>
                <w:szCs w:val="24"/>
              </w:rPr>
            </w:pPr>
            <w:r>
              <w:rPr>
                <w:sz w:val="24"/>
                <w:szCs w:val="24"/>
              </w:rPr>
              <w:t>Segunda revisión: 04/05/2023</w:t>
            </w:r>
          </w:p>
        </w:tc>
      </w:tr>
      <w:tr w:rsidR="000C6CFF" w:rsidRPr="00CB5511" w:rsidTr="0025087C">
        <w:tc>
          <w:tcPr>
            <w:tcW w:w="2376" w:type="dxa"/>
          </w:tcPr>
          <w:p w:rsidR="000C6CFF" w:rsidRPr="00E34195" w:rsidRDefault="000C6CFF">
            <w:pPr>
              <w:rPr>
                <w:b/>
                <w:color w:val="00642D"/>
                <w:sz w:val="24"/>
                <w:szCs w:val="24"/>
              </w:rPr>
            </w:pPr>
            <w:r w:rsidRPr="00E34195">
              <w:rPr>
                <w:b/>
                <w:color w:val="00642D"/>
                <w:sz w:val="24"/>
                <w:szCs w:val="24"/>
              </w:rPr>
              <w:t>URL de la entidad</w:t>
            </w:r>
          </w:p>
        </w:tc>
        <w:tc>
          <w:tcPr>
            <w:tcW w:w="9214" w:type="dxa"/>
          </w:tcPr>
          <w:p w:rsidR="00526FEE" w:rsidRPr="00CB5511" w:rsidRDefault="00EC7F7C" w:rsidP="00526FEE">
            <w:pPr>
              <w:rPr>
                <w:sz w:val="24"/>
                <w:szCs w:val="24"/>
              </w:rPr>
            </w:pPr>
            <w:r w:rsidRPr="00EC7F7C">
              <w:rPr>
                <w:sz w:val="24"/>
                <w:szCs w:val="24"/>
              </w:rPr>
              <w:t>https://cud-agm.es/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DD3423">
        <w:tc>
          <w:tcPr>
            <w:tcW w:w="1760" w:type="dxa"/>
            <w:shd w:val="clear" w:color="auto" w:fill="4D7F52"/>
          </w:tcPr>
          <w:p w:rsidR="005B19E4" w:rsidRPr="00F14DA4" w:rsidRDefault="005B19E4" w:rsidP="00DD342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DD342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DD3423">
            <w:pPr>
              <w:jc w:val="center"/>
              <w:rPr>
                <w:color w:val="FFFFFF" w:themeColor="background1"/>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2.1.a</w:t>
            </w:r>
          </w:p>
        </w:tc>
        <w:tc>
          <w:tcPr>
            <w:tcW w:w="8129" w:type="dxa"/>
          </w:tcPr>
          <w:p w:rsidR="005B19E4" w:rsidRPr="00F14DA4" w:rsidRDefault="005B19E4" w:rsidP="00DD342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Default="005B19E4" w:rsidP="00DD3423">
            <w:pPr>
              <w:rPr>
                <w:sz w:val="20"/>
                <w:szCs w:val="20"/>
              </w:rPr>
            </w:pPr>
            <w:r>
              <w:rPr>
                <w:sz w:val="20"/>
                <w:szCs w:val="20"/>
              </w:rPr>
              <w:t>2.1.a.1</w:t>
            </w:r>
          </w:p>
        </w:tc>
        <w:tc>
          <w:tcPr>
            <w:tcW w:w="8129" w:type="dxa"/>
          </w:tcPr>
          <w:p w:rsidR="005B19E4" w:rsidRDefault="005B19E4" w:rsidP="00DD342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2.1.b</w:t>
            </w:r>
          </w:p>
        </w:tc>
        <w:tc>
          <w:tcPr>
            <w:tcW w:w="8129" w:type="dxa"/>
          </w:tcPr>
          <w:p w:rsidR="005B19E4" w:rsidRPr="00F14DA4" w:rsidRDefault="005B19E4" w:rsidP="00DD342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2.1.c</w:t>
            </w:r>
          </w:p>
        </w:tc>
        <w:tc>
          <w:tcPr>
            <w:tcW w:w="8129" w:type="dxa"/>
          </w:tcPr>
          <w:p w:rsidR="005B19E4" w:rsidRPr="00F14DA4" w:rsidRDefault="000D37BA" w:rsidP="00DD342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2.1.d</w:t>
            </w:r>
          </w:p>
        </w:tc>
        <w:tc>
          <w:tcPr>
            <w:tcW w:w="8129" w:type="dxa"/>
          </w:tcPr>
          <w:p w:rsidR="005B19E4" w:rsidRPr="00F14DA4" w:rsidRDefault="005B19E4" w:rsidP="00DD342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DD3423">
            <w:pPr>
              <w:jc w:val="center"/>
              <w:rPr>
                <w:b/>
                <w:sz w:val="24"/>
                <w:szCs w:val="24"/>
              </w:rPr>
            </w:pPr>
            <w:r w:rsidRPr="00406B60">
              <w:rPr>
                <w:b/>
                <w:sz w:val="24"/>
                <w:szCs w:val="24"/>
              </w:rPr>
              <w:t>x</w:t>
            </w:r>
          </w:p>
        </w:tc>
      </w:tr>
      <w:tr w:rsidR="005B19E4" w:rsidRPr="00F14DA4" w:rsidTr="00DD3423">
        <w:tc>
          <w:tcPr>
            <w:tcW w:w="1760" w:type="dxa"/>
          </w:tcPr>
          <w:p w:rsidR="005B19E4" w:rsidRPr="00F14DA4" w:rsidRDefault="005B19E4" w:rsidP="00DD3423">
            <w:pPr>
              <w:rPr>
                <w:sz w:val="20"/>
                <w:szCs w:val="20"/>
              </w:rPr>
            </w:pPr>
            <w:r>
              <w:rPr>
                <w:sz w:val="20"/>
                <w:szCs w:val="20"/>
              </w:rPr>
              <w:t>2.1.e</w:t>
            </w:r>
          </w:p>
        </w:tc>
        <w:tc>
          <w:tcPr>
            <w:tcW w:w="8129" w:type="dxa"/>
          </w:tcPr>
          <w:p w:rsidR="005B19E4" w:rsidRPr="00F14DA4" w:rsidRDefault="005B19E4" w:rsidP="00DD342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Default="005B19E4" w:rsidP="00DD3423">
            <w:pPr>
              <w:rPr>
                <w:sz w:val="20"/>
                <w:szCs w:val="20"/>
              </w:rPr>
            </w:pPr>
            <w:r>
              <w:rPr>
                <w:sz w:val="20"/>
                <w:szCs w:val="20"/>
              </w:rPr>
              <w:t>2.1.f</w:t>
            </w:r>
          </w:p>
        </w:tc>
        <w:tc>
          <w:tcPr>
            <w:tcW w:w="8129" w:type="dxa"/>
          </w:tcPr>
          <w:p w:rsidR="005B19E4" w:rsidRDefault="005B19E4" w:rsidP="00DD3423">
            <w:pPr>
              <w:rPr>
                <w:sz w:val="20"/>
                <w:szCs w:val="20"/>
              </w:rPr>
            </w:pPr>
            <w:r>
              <w:rPr>
                <w:sz w:val="20"/>
                <w:szCs w:val="20"/>
              </w:rPr>
              <w:t>Órganos constitucionales o de relevancia constitucional</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2.1.g</w:t>
            </w:r>
          </w:p>
        </w:tc>
        <w:tc>
          <w:tcPr>
            <w:tcW w:w="8129" w:type="dxa"/>
          </w:tcPr>
          <w:p w:rsidR="005B19E4" w:rsidRPr="00F14DA4" w:rsidRDefault="005B19E4" w:rsidP="00DD3423">
            <w:pPr>
              <w:rPr>
                <w:sz w:val="20"/>
                <w:szCs w:val="20"/>
              </w:rPr>
            </w:pPr>
            <w:r>
              <w:rPr>
                <w:sz w:val="20"/>
                <w:szCs w:val="20"/>
              </w:rPr>
              <w:t>Sociedades Mercantiles y Fundaciones del Sector Público</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2.1.h</w:t>
            </w:r>
          </w:p>
        </w:tc>
        <w:tc>
          <w:tcPr>
            <w:tcW w:w="8129" w:type="dxa"/>
          </w:tcPr>
          <w:p w:rsidR="005B19E4" w:rsidRPr="00F14DA4" w:rsidRDefault="005B19E4" w:rsidP="00DD342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3.a</w:t>
            </w:r>
          </w:p>
        </w:tc>
        <w:tc>
          <w:tcPr>
            <w:tcW w:w="8129" w:type="dxa"/>
          </w:tcPr>
          <w:p w:rsidR="005B19E4" w:rsidRPr="00F14DA4" w:rsidRDefault="005B19E4" w:rsidP="00DD342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3.b</w:t>
            </w:r>
          </w:p>
        </w:tc>
        <w:tc>
          <w:tcPr>
            <w:tcW w:w="8129" w:type="dxa"/>
          </w:tcPr>
          <w:p w:rsidR="005B19E4" w:rsidRPr="00F14DA4" w:rsidRDefault="005B19E4" w:rsidP="00DD342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DD342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DD342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DD342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DD342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DD342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DD342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DD342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DD342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DD342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A92D7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EC7F7C" w:rsidP="00CB5511">
            <w:pPr>
              <w:jc w:val="center"/>
              <w:rPr>
                <w:b/>
                <w:sz w:val="20"/>
                <w:szCs w:val="20"/>
              </w:rPr>
            </w:pPr>
            <w:r>
              <w:rPr>
                <w:b/>
                <w:sz w:val="20"/>
                <w:szCs w:val="20"/>
              </w:rPr>
              <w:t>x</w:t>
            </w:r>
          </w:p>
        </w:tc>
        <w:tc>
          <w:tcPr>
            <w:tcW w:w="3969" w:type="dxa"/>
            <w:vMerge w:val="restart"/>
          </w:tcPr>
          <w:p w:rsidR="00CB5511" w:rsidRPr="000C6CFF" w:rsidRDefault="00EC7F7C" w:rsidP="00F26C50">
            <w:pPr>
              <w:pStyle w:val="Cuerpodelboletn"/>
              <w:spacing w:before="120" w:after="120" w:line="312" w:lineRule="auto"/>
              <w:rPr>
                <w:sz w:val="20"/>
                <w:szCs w:val="20"/>
              </w:rPr>
            </w:pPr>
            <w:r>
              <w:rPr>
                <w:color w:val="auto"/>
                <w:sz w:val="20"/>
                <w:szCs w:val="20"/>
              </w:rPr>
              <w:t>En enlace al Portal de Transparencia se ubica en la parte superior izquierda de las web institucional del CUD</w:t>
            </w:r>
            <w:r w:rsidR="00DD3423" w:rsidRPr="00E67B45">
              <w:rPr>
                <w:color w:val="auto"/>
                <w:sz w:val="20"/>
                <w:szCs w:val="20"/>
              </w:rPr>
              <w:t xml:space="preserv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rsidP="00A20542">
            <w:pPr>
              <w:pStyle w:val="Cuerpodelboletn"/>
              <w:spacing w:before="120" w:after="120" w:line="312" w:lineRule="auto"/>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EC7F7C"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EC7F7C" w:rsidRDefault="00EC7F7C"/>
    <w:p w:rsidR="00EC7F7C" w:rsidRDefault="00EC7F7C">
      <w:r w:rsidRPr="00EC7F7C">
        <w:rPr>
          <w:noProof/>
        </w:rPr>
        <w:drawing>
          <wp:inline distT="0" distB="0" distL="0" distR="0" wp14:anchorId="62C0BAF1" wp14:editId="16D0A078">
            <wp:extent cx="5410200" cy="2283327"/>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12037" cy="2284102"/>
                    </a:xfrm>
                    <a:prstGeom prst="rect">
                      <a:avLst/>
                    </a:prstGeom>
                  </pic:spPr>
                </pic:pic>
              </a:graphicData>
            </a:graphic>
          </wp:inline>
        </w:drawing>
      </w:r>
    </w:p>
    <w:p w:rsidR="00EC7F7C" w:rsidRDefault="00EC7F7C"/>
    <w:p w:rsidR="00EC7F7C" w:rsidRDefault="00EC7F7C"/>
    <w:p w:rsidR="00EC7F7C" w:rsidRDefault="00EC7F7C"/>
    <w:p w:rsidR="00EC7F7C" w:rsidRDefault="00EC7F7C"/>
    <w:p w:rsidR="00EC7F7C" w:rsidRDefault="00EC7F7C"/>
    <w:p w:rsidR="00EC7F7C" w:rsidRDefault="00EC7F7C"/>
    <w:p w:rsidR="00EC7F7C" w:rsidRDefault="00EC7F7C"/>
    <w:p w:rsidR="00EC7F7C" w:rsidRDefault="00EC7F7C"/>
    <w:p w:rsidR="00EC7F7C" w:rsidRDefault="00EC7F7C"/>
    <w:p w:rsidR="00EC7F7C" w:rsidRDefault="00EC7F7C"/>
    <w:p w:rsidR="00EC7F7C" w:rsidRDefault="00EC7F7C"/>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355"/>
        <w:gridCol w:w="5471"/>
      </w:tblGrid>
      <w:tr w:rsidR="00E34195" w:rsidRPr="00E34195" w:rsidTr="00F26C50">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355" w:type="dxa"/>
            <w:tcBorders>
              <w:bottom w:val="single" w:sz="4" w:space="0" w:color="00642D"/>
            </w:tcBorders>
            <w:shd w:val="clear" w:color="auto" w:fill="00642D"/>
            <w:textDirection w:val="btLr"/>
          </w:tcPr>
          <w:p w:rsidR="00E34195" w:rsidRPr="00E34195" w:rsidRDefault="00E34195" w:rsidP="00F26C50">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471"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39504F" w:rsidRPr="00CB5511" w:rsidTr="00F26C50">
        <w:tc>
          <w:tcPr>
            <w:tcW w:w="1591" w:type="dxa"/>
            <w:vMerge w:val="restart"/>
            <w:tcBorders>
              <w:right w:val="single" w:sz="4" w:space="0" w:color="00642D"/>
            </w:tcBorders>
            <w:shd w:val="clear" w:color="auto" w:fill="00642D"/>
            <w:textDirection w:val="btLr"/>
            <w:vAlign w:val="center"/>
          </w:tcPr>
          <w:p w:rsidR="0039504F" w:rsidRPr="00E34195" w:rsidRDefault="0039504F"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F26C50">
            <w:pPr>
              <w:pStyle w:val="Cuerpodelboletn"/>
              <w:numPr>
                <w:ilvl w:val="0"/>
                <w:numId w:val="4"/>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39504F" w:rsidP="00686C9A">
            <w:pPr>
              <w:pStyle w:val="Cuerpodelboletn"/>
              <w:spacing w:before="120" w:after="120" w:line="312" w:lineRule="auto"/>
              <w:rPr>
                <w:color w:val="auto"/>
                <w:sz w:val="20"/>
                <w:szCs w:val="20"/>
              </w:rPr>
            </w:pPr>
            <w:r w:rsidRPr="007A43E8">
              <w:rPr>
                <w:color w:val="auto"/>
                <w:sz w:val="20"/>
                <w:szCs w:val="20"/>
              </w:rPr>
              <w:t xml:space="preserve">En el acceso </w:t>
            </w:r>
            <w:r w:rsidR="00F26C50">
              <w:rPr>
                <w:color w:val="auto"/>
                <w:sz w:val="20"/>
                <w:szCs w:val="20"/>
              </w:rPr>
              <w:t xml:space="preserve">el Centro Universitario de la Defensa. Se publica la norma de creación, </w:t>
            </w:r>
            <w:r w:rsidR="002B49B5">
              <w:rPr>
                <w:color w:val="auto"/>
                <w:sz w:val="20"/>
                <w:szCs w:val="20"/>
              </w:rPr>
              <w:t>el Reglamento así como el Convenio con la Universidad de Zaragoza</w:t>
            </w:r>
            <w:r w:rsidR="00686C9A">
              <w:rPr>
                <w:color w:val="auto"/>
                <w:sz w:val="20"/>
                <w:szCs w:val="20"/>
              </w:rPr>
              <w:t>, así como otra normativa sectorial.</w:t>
            </w:r>
            <w:r w:rsidR="00F26C50">
              <w:rPr>
                <w:color w:val="auto"/>
                <w:sz w:val="20"/>
                <w:szCs w:val="20"/>
              </w:rPr>
              <w:t xml:space="preserve"> </w:t>
            </w:r>
            <w:r w:rsidR="002B49B5">
              <w:rPr>
                <w:color w:val="auto"/>
                <w:sz w:val="20"/>
                <w:szCs w:val="20"/>
              </w:rPr>
              <w:t>Aunque la información está datada no se publica la fecha de la última revisión o actualización de la información.</w:t>
            </w:r>
          </w:p>
        </w:tc>
      </w:tr>
      <w:tr w:rsidR="0039504F" w:rsidRPr="00CB5511" w:rsidTr="00F26C50">
        <w:trPr>
          <w:trHeight w:val="325"/>
        </w:trPr>
        <w:tc>
          <w:tcPr>
            <w:tcW w:w="1591" w:type="dxa"/>
            <w:vMerge/>
            <w:tcBorders>
              <w:right w:val="single" w:sz="4" w:space="0" w:color="00642D"/>
            </w:tcBorders>
            <w:shd w:val="clear" w:color="auto" w:fill="00642D"/>
          </w:tcPr>
          <w:p w:rsidR="0039504F" w:rsidRPr="00E34195" w:rsidRDefault="0039504F"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F26C50">
            <w:pPr>
              <w:pStyle w:val="Cuerpodelboletn"/>
              <w:numPr>
                <w:ilvl w:val="0"/>
                <w:numId w:val="12"/>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F26C50" w:rsidP="00686C9A">
            <w:pPr>
              <w:pStyle w:val="Cuerpodelboletn"/>
              <w:spacing w:before="120" w:after="120" w:line="312" w:lineRule="auto"/>
              <w:rPr>
                <w:b/>
                <w:bCs/>
                <w:color w:val="auto"/>
              </w:rPr>
            </w:pPr>
            <w:r w:rsidRPr="00F26C50">
              <w:rPr>
                <w:color w:val="auto"/>
                <w:sz w:val="20"/>
                <w:szCs w:val="20"/>
              </w:rPr>
              <w:t xml:space="preserve">En el acceso </w:t>
            </w:r>
            <w:r w:rsidR="00686C9A" w:rsidRPr="00686C9A">
              <w:rPr>
                <w:color w:val="auto"/>
                <w:sz w:val="20"/>
                <w:szCs w:val="20"/>
              </w:rPr>
              <w:t>Centro Universitario de la Defensa</w:t>
            </w:r>
            <w:r>
              <w:rPr>
                <w:color w:val="auto"/>
                <w:sz w:val="20"/>
                <w:szCs w:val="20"/>
              </w:rPr>
              <w:t>,</w:t>
            </w:r>
            <w:r w:rsidRPr="00F26C50">
              <w:rPr>
                <w:color w:val="auto"/>
                <w:sz w:val="20"/>
                <w:szCs w:val="20"/>
              </w:rPr>
              <w:t xml:space="preserve"> y dentro de éste, en el apartado </w:t>
            </w:r>
            <w:r w:rsidR="00686C9A">
              <w:rPr>
                <w:color w:val="auto"/>
                <w:sz w:val="20"/>
                <w:szCs w:val="20"/>
              </w:rPr>
              <w:t>funciones,</w:t>
            </w:r>
            <w:r w:rsidRPr="00F26C50">
              <w:rPr>
                <w:color w:val="auto"/>
                <w:sz w:val="20"/>
                <w:szCs w:val="20"/>
              </w:rPr>
              <w:t xml:space="preserve"> se localiza </w:t>
            </w:r>
            <w:r>
              <w:rPr>
                <w:color w:val="auto"/>
                <w:sz w:val="20"/>
                <w:szCs w:val="20"/>
              </w:rPr>
              <w:t>una descripción de las funciones de la entidad.</w:t>
            </w:r>
            <w:r w:rsidR="002B49B5">
              <w:rPr>
                <w:color w:val="auto"/>
                <w:sz w:val="20"/>
                <w:szCs w:val="20"/>
              </w:rPr>
              <w:t xml:space="preserve"> </w:t>
            </w:r>
          </w:p>
        </w:tc>
      </w:tr>
      <w:tr w:rsidR="0039504F" w:rsidRPr="00CB5511" w:rsidTr="00F26C50">
        <w:tc>
          <w:tcPr>
            <w:tcW w:w="1591" w:type="dxa"/>
            <w:vMerge/>
            <w:tcBorders>
              <w:right w:val="single" w:sz="4" w:space="0" w:color="00642D"/>
            </w:tcBorders>
            <w:shd w:val="clear" w:color="auto" w:fill="00642D"/>
          </w:tcPr>
          <w:p w:rsidR="0039504F" w:rsidRPr="00E34195" w:rsidRDefault="0039504F"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CE7036">
            <w:pPr>
              <w:pStyle w:val="Cuerpodelboletn"/>
              <w:numPr>
                <w:ilvl w:val="0"/>
                <w:numId w:val="12"/>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574817" w:rsidRPr="00574817" w:rsidRDefault="008E503C" w:rsidP="00574817">
            <w:pPr>
              <w:pStyle w:val="Cuerpodelboletn"/>
              <w:spacing w:before="120" w:after="120" w:line="312" w:lineRule="auto"/>
              <w:rPr>
                <w:b/>
                <w:bCs/>
                <w:color w:val="FF0000"/>
              </w:rPr>
            </w:pPr>
            <w:r>
              <w:rPr>
                <w:color w:val="auto"/>
                <w:sz w:val="20"/>
                <w:szCs w:val="20"/>
              </w:rPr>
              <w:t>Localizable a través del acceso Registro de Actividades de Tratamiento ubicado en la parte inferior de la página home</w:t>
            </w:r>
          </w:p>
        </w:tc>
      </w:tr>
      <w:tr w:rsidR="0039504F" w:rsidRPr="00CB5511" w:rsidTr="00F26C50">
        <w:tc>
          <w:tcPr>
            <w:tcW w:w="1591" w:type="dxa"/>
            <w:vMerge w:val="restart"/>
            <w:tcBorders>
              <w:right w:val="single" w:sz="4" w:space="0" w:color="00642D"/>
            </w:tcBorders>
            <w:shd w:val="clear" w:color="auto" w:fill="00642D"/>
            <w:textDirection w:val="btLr"/>
            <w:vAlign w:val="center"/>
          </w:tcPr>
          <w:p w:rsidR="0039504F" w:rsidRPr="00E34195" w:rsidRDefault="0039504F"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686C9A">
            <w:pPr>
              <w:pStyle w:val="Cuerpodelboletn"/>
              <w:spacing w:before="120" w:after="120" w:line="312" w:lineRule="auto"/>
              <w:ind w:left="1080"/>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686C9A" w:rsidP="00E3088D">
            <w:pPr>
              <w:pStyle w:val="Cuerpodelboletn"/>
              <w:spacing w:before="120" w:after="120" w:line="312" w:lineRule="auto"/>
              <w:rPr>
                <w:b/>
                <w:bCs/>
                <w:color w:val="auto"/>
              </w:rPr>
            </w:pPr>
            <w:r>
              <w:rPr>
                <w:color w:val="auto"/>
                <w:sz w:val="20"/>
                <w:szCs w:val="20"/>
              </w:rPr>
              <w:t>No se ha localizado información</w:t>
            </w:r>
          </w:p>
        </w:tc>
      </w:tr>
      <w:tr w:rsidR="0039504F" w:rsidRPr="00CB5511" w:rsidTr="00F26C50">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686C9A">
            <w:pPr>
              <w:pStyle w:val="Cuerpodelboletn"/>
              <w:numPr>
                <w:ilvl w:val="0"/>
                <w:numId w:val="16"/>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686C9A" w:rsidP="007A43E8">
            <w:pPr>
              <w:pStyle w:val="Cuerpodelboletn"/>
              <w:spacing w:before="120" w:after="120" w:line="312" w:lineRule="auto"/>
              <w:rPr>
                <w:color w:val="auto"/>
                <w:sz w:val="20"/>
                <w:szCs w:val="20"/>
              </w:rPr>
            </w:pPr>
            <w:r>
              <w:rPr>
                <w:color w:val="auto"/>
                <w:sz w:val="20"/>
                <w:szCs w:val="20"/>
              </w:rPr>
              <w:t>Localizable en el acceso Organización/Estructura organizativa.</w:t>
            </w:r>
          </w:p>
        </w:tc>
      </w:tr>
      <w:tr w:rsidR="0039504F" w:rsidRPr="00CB5511" w:rsidTr="00F26C50">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F26C50">
            <w:pPr>
              <w:pStyle w:val="Cuerpodelboletn"/>
              <w:numPr>
                <w:ilvl w:val="0"/>
                <w:numId w:val="4"/>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39504F" w:rsidP="00686C9A">
            <w:pPr>
              <w:pStyle w:val="Cuerpodelboletn"/>
              <w:spacing w:before="120" w:after="120" w:line="312" w:lineRule="auto"/>
              <w:rPr>
                <w:b/>
                <w:bCs/>
                <w:color w:val="auto"/>
              </w:rPr>
            </w:pPr>
            <w:r>
              <w:rPr>
                <w:color w:val="auto"/>
                <w:sz w:val="20"/>
                <w:szCs w:val="20"/>
              </w:rPr>
              <w:t>La identificación de responsables</w:t>
            </w:r>
            <w:r w:rsidRPr="006D59A4">
              <w:rPr>
                <w:color w:val="auto"/>
                <w:sz w:val="20"/>
                <w:szCs w:val="20"/>
              </w:rPr>
              <w:t xml:space="preserve"> se encuentra disponible en </w:t>
            </w:r>
            <w:r w:rsidR="00D95FBE">
              <w:rPr>
                <w:color w:val="auto"/>
                <w:sz w:val="20"/>
                <w:szCs w:val="20"/>
              </w:rPr>
              <w:t>los</w:t>
            </w:r>
            <w:r w:rsidRPr="006D59A4">
              <w:rPr>
                <w:color w:val="auto"/>
                <w:sz w:val="20"/>
                <w:szCs w:val="20"/>
              </w:rPr>
              <w:t xml:space="preserve"> acceso</w:t>
            </w:r>
            <w:r w:rsidR="00D95FBE">
              <w:rPr>
                <w:color w:val="auto"/>
                <w:sz w:val="20"/>
                <w:szCs w:val="20"/>
              </w:rPr>
              <w:t xml:space="preserve">s </w:t>
            </w:r>
            <w:r w:rsidR="00686C9A">
              <w:rPr>
                <w:color w:val="auto"/>
                <w:sz w:val="20"/>
                <w:szCs w:val="20"/>
              </w:rPr>
              <w:t>organización/equipo directivo y junta de centro.</w:t>
            </w:r>
            <w:r>
              <w:rPr>
                <w:color w:val="auto"/>
                <w:sz w:val="20"/>
                <w:szCs w:val="20"/>
              </w:rPr>
              <w:t xml:space="preserve"> </w:t>
            </w:r>
          </w:p>
        </w:tc>
      </w:tr>
      <w:tr w:rsidR="0039504F" w:rsidRPr="00CB5511" w:rsidTr="00F26C50">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F26C50">
            <w:pPr>
              <w:pStyle w:val="Cuerpodelboletn"/>
              <w:numPr>
                <w:ilvl w:val="0"/>
                <w:numId w:val="4"/>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8153B0" w:rsidP="00CE7036">
            <w:pPr>
              <w:pStyle w:val="Cuerpodelboletn"/>
              <w:spacing w:before="120" w:after="120" w:line="312" w:lineRule="auto"/>
              <w:rPr>
                <w:b/>
                <w:bCs/>
                <w:color w:val="auto"/>
              </w:rPr>
            </w:pPr>
            <w:r>
              <w:rPr>
                <w:color w:val="auto"/>
                <w:sz w:val="20"/>
                <w:szCs w:val="20"/>
              </w:rPr>
              <w:t xml:space="preserve">Localizable a través del acceso </w:t>
            </w:r>
            <w:r w:rsidR="00686C9A">
              <w:rPr>
                <w:color w:val="auto"/>
                <w:sz w:val="20"/>
                <w:szCs w:val="20"/>
              </w:rPr>
              <w:t>Organización/</w:t>
            </w:r>
            <w:r>
              <w:rPr>
                <w:color w:val="auto"/>
                <w:sz w:val="20"/>
                <w:szCs w:val="20"/>
              </w:rPr>
              <w:t xml:space="preserve"> Equipo </w:t>
            </w:r>
            <w:r w:rsidR="00CE7036">
              <w:rPr>
                <w:color w:val="auto"/>
                <w:sz w:val="20"/>
                <w:szCs w:val="20"/>
              </w:rPr>
              <w:t>Directivo</w:t>
            </w:r>
            <w:r>
              <w:rPr>
                <w:color w:val="auto"/>
                <w:sz w:val="20"/>
                <w:szCs w:val="20"/>
              </w:rPr>
              <w:t xml:space="preserve">. Los miembros del Patronato lo son en representación de diversas instituciones públicas. </w:t>
            </w:r>
          </w:p>
        </w:tc>
      </w:tr>
      <w:tr w:rsidR="0039504F" w:rsidRPr="00CB5511" w:rsidTr="00F26C50">
        <w:tc>
          <w:tcPr>
            <w:tcW w:w="1591" w:type="dxa"/>
            <w:vMerge w:val="restart"/>
            <w:tcBorders>
              <w:right w:val="single" w:sz="4" w:space="0" w:color="00642D"/>
            </w:tcBorders>
            <w:shd w:val="clear" w:color="auto" w:fill="00642D"/>
            <w:textDirection w:val="btLr"/>
          </w:tcPr>
          <w:p w:rsidR="0039504F" w:rsidRPr="001561A4" w:rsidRDefault="0039504F"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9111AB">
            <w:pPr>
              <w:pStyle w:val="Cuerpodelboletn"/>
              <w:numPr>
                <w:ilvl w:val="0"/>
                <w:numId w:val="15"/>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39504F" w:rsidP="00CE7036">
            <w:pPr>
              <w:pStyle w:val="Cuerpodelboletn"/>
              <w:spacing w:before="120" w:after="120" w:line="312" w:lineRule="auto"/>
              <w:rPr>
                <w:color w:val="auto"/>
                <w:sz w:val="20"/>
                <w:szCs w:val="20"/>
              </w:rPr>
            </w:pPr>
            <w:r w:rsidRPr="007A43E8">
              <w:rPr>
                <w:color w:val="auto"/>
                <w:sz w:val="20"/>
                <w:szCs w:val="20"/>
              </w:rPr>
              <w:t xml:space="preserve">La información sobre planificación se localiza en el acceso </w:t>
            </w:r>
            <w:r w:rsidR="00CE7036">
              <w:rPr>
                <w:color w:val="auto"/>
                <w:sz w:val="20"/>
                <w:szCs w:val="20"/>
              </w:rPr>
              <w:t>Planificación estratégica y responsabilidad social corporativa</w:t>
            </w:r>
            <w:r w:rsidRPr="007A43E8">
              <w:rPr>
                <w:color w:val="auto"/>
                <w:sz w:val="20"/>
                <w:szCs w:val="20"/>
              </w:rPr>
              <w:t xml:space="preserve">. </w:t>
            </w:r>
            <w:r w:rsidR="008153B0">
              <w:rPr>
                <w:color w:val="auto"/>
                <w:sz w:val="20"/>
                <w:szCs w:val="20"/>
              </w:rPr>
              <w:t>Se publica el Plan de Actuación</w:t>
            </w:r>
            <w:r w:rsidR="00CE7036">
              <w:rPr>
                <w:color w:val="auto"/>
                <w:sz w:val="20"/>
                <w:szCs w:val="20"/>
              </w:rPr>
              <w:t xml:space="preserve"> </w:t>
            </w:r>
            <w:r w:rsidR="008153B0">
              <w:rPr>
                <w:color w:val="auto"/>
                <w:sz w:val="20"/>
                <w:szCs w:val="20"/>
              </w:rPr>
              <w:t xml:space="preserve"> </w:t>
            </w:r>
            <w:r w:rsidR="009111AB">
              <w:rPr>
                <w:color w:val="auto"/>
                <w:sz w:val="20"/>
                <w:szCs w:val="20"/>
              </w:rPr>
              <w:t>2022</w:t>
            </w:r>
            <w:r w:rsidR="008153B0">
              <w:rPr>
                <w:color w:val="auto"/>
                <w:sz w:val="20"/>
                <w:szCs w:val="20"/>
              </w:rPr>
              <w:t>-202</w:t>
            </w:r>
            <w:r w:rsidR="009111AB">
              <w:rPr>
                <w:color w:val="auto"/>
                <w:sz w:val="20"/>
                <w:szCs w:val="20"/>
              </w:rPr>
              <w:t>4</w:t>
            </w:r>
            <w:r w:rsidR="008153B0">
              <w:rPr>
                <w:color w:val="auto"/>
                <w:sz w:val="20"/>
                <w:szCs w:val="20"/>
              </w:rPr>
              <w:t xml:space="preserve"> y </w:t>
            </w:r>
            <w:r w:rsidR="009111AB">
              <w:rPr>
                <w:color w:val="auto"/>
                <w:sz w:val="20"/>
                <w:szCs w:val="20"/>
              </w:rPr>
              <w:t>los</w:t>
            </w:r>
            <w:r w:rsidR="008153B0">
              <w:rPr>
                <w:color w:val="auto"/>
                <w:sz w:val="20"/>
                <w:szCs w:val="20"/>
              </w:rPr>
              <w:t xml:space="preserve"> Plan</w:t>
            </w:r>
            <w:r w:rsidR="009111AB">
              <w:rPr>
                <w:color w:val="auto"/>
                <w:sz w:val="20"/>
                <w:szCs w:val="20"/>
              </w:rPr>
              <w:t>es</w:t>
            </w:r>
            <w:r w:rsidR="008153B0">
              <w:rPr>
                <w:color w:val="auto"/>
                <w:sz w:val="20"/>
                <w:szCs w:val="20"/>
              </w:rPr>
              <w:t xml:space="preserve"> anual</w:t>
            </w:r>
            <w:r w:rsidR="009111AB">
              <w:rPr>
                <w:color w:val="auto"/>
                <w:sz w:val="20"/>
                <w:szCs w:val="20"/>
              </w:rPr>
              <w:t>es</w:t>
            </w:r>
            <w:r w:rsidR="008153B0">
              <w:rPr>
                <w:color w:val="auto"/>
                <w:sz w:val="20"/>
                <w:szCs w:val="20"/>
              </w:rPr>
              <w:t xml:space="preserve"> 202</w:t>
            </w:r>
            <w:r w:rsidR="009111AB">
              <w:rPr>
                <w:color w:val="auto"/>
                <w:sz w:val="20"/>
                <w:szCs w:val="20"/>
              </w:rPr>
              <w:t>2 y 2023</w:t>
            </w:r>
            <w:r w:rsidR="008153B0">
              <w:rPr>
                <w:color w:val="auto"/>
                <w:sz w:val="20"/>
                <w:szCs w:val="20"/>
              </w:rPr>
              <w:t xml:space="preserve">. </w:t>
            </w:r>
          </w:p>
        </w:tc>
      </w:tr>
      <w:tr w:rsidR="0039504F" w:rsidRPr="00CB5511" w:rsidTr="00F26C50">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Grado de cumplimiento y </w:t>
            </w:r>
            <w:r>
              <w:rPr>
                <w:rStyle w:val="Ttulo2Car"/>
                <w:b w:val="0"/>
                <w:color w:val="auto"/>
                <w:sz w:val="20"/>
                <w:szCs w:val="20"/>
                <w:lang w:bidi="es-ES"/>
              </w:rPr>
              <w:lastRenderedPageBreak/>
              <w:t>resultados</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CE7036">
            <w:pPr>
              <w:pStyle w:val="Cuerpodelboletn"/>
              <w:numPr>
                <w:ilvl w:val="0"/>
                <w:numId w:val="15"/>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CB5511" w:rsidRDefault="00CE7036" w:rsidP="0085358A">
            <w:pPr>
              <w:pStyle w:val="Cuerpodelboletn"/>
              <w:spacing w:before="120" w:after="120" w:line="312" w:lineRule="auto"/>
              <w:rPr>
                <w:rStyle w:val="Ttulo2Car"/>
                <w:sz w:val="20"/>
                <w:szCs w:val="20"/>
                <w:lang w:bidi="es-ES"/>
              </w:rPr>
            </w:pPr>
            <w:r>
              <w:rPr>
                <w:color w:val="auto"/>
                <w:sz w:val="20"/>
                <w:szCs w:val="20"/>
              </w:rPr>
              <w:t xml:space="preserve">Localizable en el apartado Indicadores de Medida y Valoración del acceso planificación estratégica y </w:t>
            </w:r>
            <w:r>
              <w:rPr>
                <w:color w:val="auto"/>
                <w:sz w:val="20"/>
                <w:szCs w:val="20"/>
              </w:rPr>
              <w:lastRenderedPageBreak/>
              <w:t>responsabilidad social corporativa</w:t>
            </w:r>
          </w:p>
        </w:tc>
      </w:tr>
      <w:tr w:rsidR="0039504F" w:rsidRPr="00CB5511" w:rsidTr="00F26C50">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8576CD">
            <w:pPr>
              <w:pStyle w:val="Cuerpodelboletn"/>
              <w:numPr>
                <w:ilvl w:val="0"/>
                <w:numId w:val="15"/>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E37AEC" w:rsidRPr="008153B0" w:rsidRDefault="008576CD" w:rsidP="008576CD">
            <w:pPr>
              <w:pStyle w:val="Cuerpodelboletn"/>
              <w:spacing w:before="120" w:after="120" w:line="312" w:lineRule="auto"/>
              <w:rPr>
                <w:bCs/>
                <w:color w:val="auto"/>
                <w:sz w:val="20"/>
              </w:rPr>
            </w:pPr>
            <w:r>
              <w:rPr>
                <w:bCs/>
                <w:color w:val="auto"/>
                <w:sz w:val="20"/>
              </w:rPr>
              <w:t>Los indicadores de medida y valoración se publican en los documentos relativos a los planes</w:t>
            </w:r>
            <w:r w:rsidR="00E37AEC" w:rsidRPr="008153B0">
              <w:rPr>
                <w:bCs/>
                <w:color w:val="auto"/>
                <w:sz w:val="20"/>
              </w:rPr>
              <w:t xml:space="preserve"> </w:t>
            </w:r>
          </w:p>
        </w:tc>
      </w:tr>
    </w:tbl>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r w:rsidRPr="006A2766">
        <w:rPr>
          <w:rStyle w:val="Ttulo2Car"/>
          <w:noProof/>
        </w:rPr>
        <mc:AlternateContent>
          <mc:Choice Requires="wps">
            <w:drawing>
              <wp:anchor distT="0" distB="0" distL="114300" distR="114300" simplePos="0" relativeHeight="251675648" behindDoc="0" locked="0" layoutInCell="1" allowOverlap="1" wp14:anchorId="7E2A58EA" wp14:editId="39A208B0">
                <wp:simplePos x="0" y="0"/>
                <wp:positionH relativeFrom="column">
                  <wp:posOffset>713105</wp:posOffset>
                </wp:positionH>
                <wp:positionV relativeFrom="paragraph">
                  <wp:posOffset>-126365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92D72" w:rsidRDefault="00A92D72" w:rsidP="00D103EF">
                            <w:pPr>
                              <w:rPr>
                                <w:sz w:val="20"/>
                                <w:szCs w:val="20"/>
                              </w:rPr>
                            </w:pPr>
                            <w:r>
                              <w:rPr>
                                <w:sz w:val="20"/>
                                <w:szCs w:val="20"/>
                              </w:rPr>
                              <w:t>La información publicada no recoge todos los contenidos obligatorios contemplados en los artículos 6 y 6 bis de la LTAIBG:</w:t>
                            </w:r>
                          </w:p>
                          <w:p w:rsidR="00A92D72" w:rsidRDefault="00A92D72" w:rsidP="008153B0">
                            <w:pPr>
                              <w:pStyle w:val="Prrafodelista"/>
                              <w:numPr>
                                <w:ilvl w:val="0"/>
                                <w:numId w:val="14"/>
                              </w:numPr>
                              <w:rPr>
                                <w:sz w:val="20"/>
                                <w:szCs w:val="20"/>
                              </w:rPr>
                            </w:pPr>
                            <w:r>
                              <w:rPr>
                                <w:sz w:val="20"/>
                                <w:szCs w:val="20"/>
                              </w:rPr>
                              <w:t>No se publica una descripción de las estructura organizativa del centro</w:t>
                            </w:r>
                          </w:p>
                          <w:p w:rsidR="00A92D72" w:rsidRPr="00A30413" w:rsidRDefault="00A92D72" w:rsidP="00D103EF">
                            <w:pPr>
                              <w:rPr>
                                <w:b/>
                                <w:color w:val="00642D"/>
                              </w:rPr>
                            </w:pPr>
                            <w:r w:rsidRPr="00A30413">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9.9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">
                <v:textbox style="mso-fit-shape-to-text:t">
                  <w:txbxContent>
                    <w:p w:rsidR="00C64997" w:rsidRDefault="00C64997" w:rsidP="00D103EF">
                      <w:pPr>
                        <w:rPr>
                          <w:sz w:val="20"/>
                          <w:szCs w:val="20"/>
                        </w:rPr>
                      </w:pPr>
                      <w:r>
                        <w:rPr>
                          <w:sz w:val="20"/>
                          <w:szCs w:val="20"/>
                        </w:rPr>
                        <w:t>La información publicada no recoge todos los contenidos obligatorios contemplados en los artículos 6 y 6 bis de la LTAIBG:</w:t>
                      </w:r>
                    </w:p>
                    <w:p w:rsidR="00C64997" w:rsidRDefault="00C64997" w:rsidP="008153B0">
                      <w:pPr>
                        <w:pStyle w:val="Prrafodelista"/>
                        <w:numPr>
                          <w:ilvl w:val="0"/>
                          <w:numId w:val="14"/>
                        </w:numPr>
                        <w:rPr>
                          <w:sz w:val="20"/>
                          <w:szCs w:val="20"/>
                        </w:rPr>
                      </w:pPr>
                      <w:r>
                        <w:rPr>
                          <w:sz w:val="20"/>
                          <w:szCs w:val="20"/>
                        </w:rPr>
                        <w:t>No se publica una descripción de las estructura organizativa del centro</w:t>
                      </w:r>
                    </w:p>
                    <w:p w:rsidR="00C64997" w:rsidRPr="00A30413" w:rsidRDefault="00C64997" w:rsidP="00D103EF">
                      <w:pPr>
                        <w:rPr>
                          <w:b/>
                          <w:color w:val="00642D"/>
                        </w:rPr>
                      </w:pPr>
                      <w:r w:rsidRPr="00A30413">
                        <w:rPr>
                          <w:b/>
                          <w:color w:val="00642D"/>
                        </w:rPr>
                        <w:t>Calidad de la Información</w:t>
                      </w:r>
                    </w:p>
                  </w:txbxContent>
                </v:textbox>
              </v:shape>
            </w:pict>
          </mc:Fallback>
        </mc:AlternateContent>
      </w: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C7425" w:rsidRPr="00CB5511" w:rsidTr="006A2766">
        <w:tc>
          <w:tcPr>
            <w:tcW w:w="1477" w:type="dxa"/>
            <w:vMerge w:val="restart"/>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CB5511" w:rsidRDefault="00D103EF" w:rsidP="008153B0">
            <w:pPr>
              <w:pStyle w:val="Cuerpodelboletn"/>
              <w:spacing w:before="120" w:after="120" w:line="312" w:lineRule="auto"/>
              <w:rPr>
                <w:rStyle w:val="Ttulo2Car"/>
                <w:sz w:val="20"/>
                <w:szCs w:val="20"/>
                <w:lang w:bidi="es-ES"/>
              </w:rPr>
            </w:pPr>
            <w:r>
              <w:rPr>
                <w:color w:val="auto"/>
                <w:sz w:val="20"/>
                <w:szCs w:val="20"/>
              </w:rPr>
              <w:t xml:space="preserve">Dadas las funciones </w:t>
            </w:r>
            <w:r w:rsidR="008153B0">
              <w:rPr>
                <w:color w:val="auto"/>
                <w:sz w:val="20"/>
                <w:szCs w:val="20"/>
              </w:rPr>
              <w:t>del CUD</w:t>
            </w:r>
            <w:r>
              <w:rPr>
                <w:color w:val="auto"/>
                <w:sz w:val="20"/>
                <w:szCs w:val="20"/>
              </w:rPr>
              <w:t xml:space="preserve"> se ha considerado no aplicable esta obligación.</w:t>
            </w:r>
          </w:p>
        </w:tc>
      </w:tr>
      <w:tr w:rsidR="009C7425" w:rsidRPr="00CB5511" w:rsidTr="006A2766">
        <w:tc>
          <w:tcPr>
            <w:tcW w:w="1477" w:type="dxa"/>
            <w:vMerge/>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9C7425" w:rsidRDefault="009C7425" w:rsidP="009C7425">
            <w:pPr>
              <w:rPr>
                <w:sz w:val="20"/>
                <w:szCs w:val="20"/>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CB5511" w:rsidRDefault="00D103EF" w:rsidP="008153B0">
            <w:pPr>
              <w:pStyle w:val="Cuerpodelboletn"/>
              <w:spacing w:before="120" w:after="120" w:line="312" w:lineRule="auto"/>
              <w:rPr>
                <w:rStyle w:val="Ttulo2Car"/>
                <w:sz w:val="20"/>
                <w:szCs w:val="20"/>
                <w:lang w:bidi="es-ES"/>
              </w:rPr>
            </w:pPr>
            <w:r>
              <w:rPr>
                <w:color w:val="auto"/>
                <w:sz w:val="20"/>
                <w:szCs w:val="20"/>
              </w:rPr>
              <w:t xml:space="preserve">Dadas las funciones del </w:t>
            </w:r>
            <w:r w:rsidR="008153B0">
              <w:rPr>
                <w:color w:val="auto"/>
                <w:sz w:val="20"/>
                <w:szCs w:val="20"/>
              </w:rPr>
              <w:t>CUD</w:t>
            </w:r>
            <w:r>
              <w:rPr>
                <w:color w:val="auto"/>
                <w:sz w:val="20"/>
                <w:szCs w:val="20"/>
              </w:rPr>
              <w:t xml:space="preserve"> se ha considerado no aplicable esta obligación.</w:t>
            </w:r>
          </w:p>
        </w:tc>
      </w:tr>
    </w:tbl>
    <w:p w:rsidR="008576CD" w:rsidRDefault="008576CD" w:rsidP="00C33A23">
      <w:pPr>
        <w:pStyle w:val="Cuerpodelboletn"/>
        <w:spacing w:before="120" w:after="120" w:line="312" w:lineRule="auto"/>
        <w:ind w:left="360"/>
        <w:rPr>
          <w:rStyle w:val="Ttulo2Car"/>
          <w:color w:val="00642D"/>
          <w:lang w:bidi="es-ES"/>
        </w:rPr>
      </w:pPr>
    </w:p>
    <w:p w:rsidR="008E503C" w:rsidRDefault="008E503C" w:rsidP="00C33A23">
      <w:pPr>
        <w:pStyle w:val="Cuerpodelboletn"/>
        <w:spacing w:before="120" w:after="120" w:line="312" w:lineRule="auto"/>
        <w:ind w:left="360"/>
        <w:rPr>
          <w:rStyle w:val="Ttulo2Car"/>
          <w:color w:val="00642D"/>
          <w:lang w:bidi="es-ES"/>
        </w:rPr>
      </w:pPr>
    </w:p>
    <w:p w:rsidR="008E503C" w:rsidRDefault="008E503C" w:rsidP="00C33A23">
      <w:pPr>
        <w:pStyle w:val="Cuerpodelboletn"/>
        <w:spacing w:before="120" w:after="120" w:line="312" w:lineRule="auto"/>
        <w:ind w:left="360"/>
        <w:rPr>
          <w:rStyle w:val="Ttulo2Car"/>
          <w:color w:val="00642D"/>
          <w:lang w:bidi="es-ES"/>
        </w:rPr>
      </w:pPr>
    </w:p>
    <w:p w:rsidR="008E503C" w:rsidRDefault="008E503C" w:rsidP="00C33A23">
      <w:pPr>
        <w:pStyle w:val="Cuerpodelboletn"/>
        <w:spacing w:before="120" w:after="120" w:line="312" w:lineRule="auto"/>
        <w:ind w:left="360"/>
        <w:rPr>
          <w:rStyle w:val="Ttulo2Car"/>
          <w:color w:val="00642D"/>
          <w:lang w:bidi="es-ES"/>
        </w:rPr>
      </w:pPr>
    </w:p>
    <w:p w:rsidR="008E503C" w:rsidRDefault="008E503C"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395"/>
      </w:tblGrid>
      <w:tr w:rsidR="00C33A23" w:rsidRPr="00E34195" w:rsidTr="008576CD">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395"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39504F" w:rsidRPr="00CB5511" w:rsidTr="008576CD">
        <w:tc>
          <w:tcPr>
            <w:tcW w:w="1024" w:type="dxa"/>
            <w:vMerge w:val="restart"/>
            <w:tcBorders>
              <w:right w:val="single" w:sz="4" w:space="0" w:color="00642D"/>
            </w:tcBorders>
            <w:shd w:val="clear" w:color="auto" w:fill="00642D"/>
            <w:textDirection w:val="btLr"/>
          </w:tcPr>
          <w:p w:rsidR="0039504F" w:rsidRPr="00E34195" w:rsidRDefault="0039504F"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39504F" w:rsidRPr="00CB5511" w:rsidRDefault="0039504F"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8E503C">
            <w:pPr>
              <w:pStyle w:val="Cuerpodelboletn"/>
              <w:numPr>
                <w:ilvl w:val="0"/>
                <w:numId w:val="15"/>
              </w:numPr>
              <w:spacing w:before="120" w:after="120" w:line="312" w:lineRule="auto"/>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027E52" w:rsidRDefault="008E503C" w:rsidP="008E503C">
            <w:pPr>
              <w:pStyle w:val="Cuerpodelboletn"/>
              <w:spacing w:before="120" w:after="120" w:line="312" w:lineRule="auto"/>
              <w:rPr>
                <w:rStyle w:val="Ttulo2Car"/>
                <w:b w:val="0"/>
                <w:sz w:val="20"/>
                <w:szCs w:val="20"/>
                <w:lang w:bidi="es-ES"/>
              </w:rPr>
            </w:pPr>
            <w:r>
              <w:rPr>
                <w:rStyle w:val="Ttulo2Car"/>
                <w:b w:val="0"/>
                <w:bCs w:val="0"/>
                <w:color w:val="auto"/>
                <w:sz w:val="20"/>
                <w:szCs w:val="20"/>
                <w:lang w:bidi="es-ES"/>
              </w:rPr>
              <w:t>En el apartado contratos y modificaciones se publica un enlace al perfil del contratante del CUD en la Plataforma de Contratación del Sector Público.</w:t>
            </w:r>
            <w:r w:rsidR="009111AB">
              <w:rPr>
                <w:rStyle w:val="Ttulo2Car"/>
                <w:b w:val="0"/>
                <w:bCs w:val="0"/>
                <w:color w:val="auto"/>
                <w:sz w:val="20"/>
                <w:szCs w:val="20"/>
                <w:lang w:bidi="es-ES"/>
              </w:rPr>
              <w:t xml:space="preserve"> </w:t>
            </w:r>
          </w:p>
        </w:tc>
      </w:tr>
      <w:tr w:rsidR="0039504F" w:rsidRPr="00CB5511" w:rsidTr="008576CD">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spacing w:before="120" w:after="120" w:line="312" w:lineRule="auto"/>
              <w:ind w:left="425"/>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0B012B" w:rsidRDefault="0039504F" w:rsidP="0039504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9504F" w:rsidRPr="00CB5511" w:rsidTr="008576CD">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8E503C">
            <w:pPr>
              <w:pStyle w:val="Cuerpodelboletn"/>
              <w:numPr>
                <w:ilvl w:val="0"/>
                <w:numId w:val="15"/>
              </w:numPr>
              <w:spacing w:before="120" w:after="120" w:line="312" w:lineRule="auto"/>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0B012B" w:rsidRDefault="008E503C" w:rsidP="00A2054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No se han localizado adjudicaciones desistidas en el perfil del contratante.</w:t>
            </w:r>
          </w:p>
        </w:tc>
      </w:tr>
      <w:tr w:rsidR="0039504F" w:rsidRPr="00CB5511" w:rsidTr="008576CD">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spacing w:before="120" w:after="120" w:line="312" w:lineRule="auto"/>
              <w:ind w:left="425"/>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0B012B" w:rsidRDefault="0039504F" w:rsidP="0039504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9504F" w:rsidRPr="00CB5511" w:rsidTr="008576CD">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rPr>
                <w:rStyle w:val="Ttulo2Car"/>
                <w:b w:val="0"/>
                <w:color w:val="auto"/>
                <w:sz w:val="20"/>
                <w:szCs w:val="20"/>
                <w:lang w:bidi="es-ES"/>
              </w:rPr>
            </w:pPr>
            <w:r>
              <w:rPr>
                <w:rStyle w:val="Ttulo2Car"/>
                <w:b w:val="0"/>
                <w:color w:val="auto"/>
                <w:sz w:val="20"/>
                <w:szCs w:val="20"/>
                <w:lang w:bidi="es-ES"/>
              </w:rPr>
              <w:t>Contratos Menores</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8E503C">
            <w:pPr>
              <w:pStyle w:val="Cuerpodelboletn"/>
              <w:numPr>
                <w:ilvl w:val="0"/>
                <w:numId w:val="15"/>
              </w:numPr>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0B012B" w:rsidRDefault="008E503C" w:rsidP="0039504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Localizables en el perfil del contratante del CUD</w:t>
            </w:r>
          </w:p>
        </w:tc>
      </w:tr>
      <w:tr w:rsidR="0039504F" w:rsidRPr="00CB5511" w:rsidTr="008576CD">
        <w:trPr>
          <w:trHeight w:val="1388"/>
        </w:trPr>
        <w:tc>
          <w:tcPr>
            <w:tcW w:w="1024" w:type="dxa"/>
            <w:tcBorders>
              <w:right w:val="single" w:sz="4" w:space="0" w:color="00642D"/>
            </w:tcBorders>
            <w:shd w:val="clear" w:color="auto" w:fill="00642D"/>
            <w:textDirection w:val="btLr"/>
            <w:vAlign w:val="center"/>
          </w:tcPr>
          <w:p w:rsidR="0039504F" w:rsidRPr="00E34195" w:rsidRDefault="0039504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39504F" w:rsidRPr="00CB5511" w:rsidRDefault="0039504F"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8E503C">
            <w:pPr>
              <w:pStyle w:val="Cuerpodelboletn"/>
              <w:spacing w:before="120" w:after="120" w:line="312" w:lineRule="auto"/>
              <w:ind w:left="785"/>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39504F" w:rsidRDefault="008E503C" w:rsidP="00603DE8">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En el apartado Convenios se proporciona un enlace que posiciona en la página de convenios del Portal de Transparencia de la AGE, en la que es preciso efectuar una nueva búsqueda para localizar la información. </w:t>
            </w:r>
            <w:r w:rsidR="00D31624">
              <w:rPr>
                <w:rStyle w:val="Ttulo2Car"/>
                <w:b w:val="0"/>
                <w:color w:val="auto"/>
                <w:sz w:val="20"/>
                <w:szCs w:val="20"/>
                <w:lang w:bidi="es-ES"/>
              </w:rPr>
              <w:t xml:space="preserve">En este apartado se publica una relación de los convenios suscritos, pero se incluye información sobre los ítems obligatorios que establece la LTAIBG en su artículo </w:t>
            </w:r>
            <w:proofErr w:type="spellStart"/>
            <w:r w:rsidR="00D31624">
              <w:rPr>
                <w:rStyle w:val="Ttulo2Car"/>
                <w:b w:val="0"/>
                <w:color w:val="auto"/>
                <w:sz w:val="20"/>
                <w:szCs w:val="20"/>
                <w:lang w:bidi="es-ES"/>
              </w:rPr>
              <w:t>8.1.b</w:t>
            </w:r>
            <w:proofErr w:type="spellEnd"/>
            <w:r w:rsidR="00D31624">
              <w:rPr>
                <w:rStyle w:val="Ttulo2Car"/>
                <w:b w:val="0"/>
                <w:color w:val="auto"/>
                <w:sz w:val="20"/>
                <w:szCs w:val="20"/>
                <w:lang w:bidi="es-ES"/>
              </w:rPr>
              <w:t>)</w:t>
            </w:r>
            <w:r w:rsidR="008576CD">
              <w:rPr>
                <w:rStyle w:val="Ttulo2Car"/>
                <w:b w:val="0"/>
                <w:sz w:val="20"/>
                <w:szCs w:val="20"/>
                <w:lang w:bidi="es-ES"/>
              </w:rPr>
              <w:t xml:space="preserve"> </w:t>
            </w:r>
          </w:p>
        </w:tc>
      </w:tr>
      <w:tr w:rsidR="0039504F" w:rsidRPr="009609E9" w:rsidTr="008576CD">
        <w:tc>
          <w:tcPr>
            <w:tcW w:w="1024" w:type="dxa"/>
            <w:vMerge w:val="restart"/>
            <w:tcBorders>
              <w:right w:val="single" w:sz="4" w:space="0" w:color="00642D"/>
            </w:tcBorders>
            <w:shd w:val="clear" w:color="auto" w:fill="00642D"/>
            <w:textDirection w:val="btLr"/>
          </w:tcPr>
          <w:p w:rsidR="0039504F" w:rsidRPr="009609E9" w:rsidRDefault="0039504F"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39504F" w:rsidRPr="009609E9" w:rsidRDefault="0039504F"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992" w:type="dxa"/>
            <w:tcBorders>
              <w:top w:val="single" w:sz="4" w:space="0" w:color="00642D"/>
              <w:left w:val="single" w:sz="4" w:space="0" w:color="00642D"/>
              <w:bottom w:val="single" w:sz="4" w:space="0" w:color="00642D"/>
              <w:right w:val="single" w:sz="4" w:space="0" w:color="00642D"/>
            </w:tcBorders>
          </w:tcPr>
          <w:p w:rsidR="0039504F" w:rsidRPr="009609E9" w:rsidRDefault="0039504F" w:rsidP="009609E9">
            <w:pPr>
              <w:pStyle w:val="Cuerpodelboletn"/>
              <w:spacing w:before="120" w:after="120" w:line="312" w:lineRule="auto"/>
              <w:rPr>
                <w:rStyle w:val="Ttulo2Car"/>
                <w:b w:val="0"/>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Default="0039504F" w:rsidP="0039504F">
            <w:r w:rsidRPr="008116C0">
              <w:rPr>
                <w:rStyle w:val="Ttulo2Car"/>
                <w:b w:val="0"/>
                <w:color w:val="auto"/>
                <w:sz w:val="20"/>
                <w:szCs w:val="20"/>
                <w:lang w:bidi="es-ES"/>
              </w:rPr>
              <w:t>No se ha localizado información</w:t>
            </w:r>
            <w:r w:rsidR="00934C4C">
              <w:rPr>
                <w:rStyle w:val="Ttulo2Car"/>
                <w:b w:val="0"/>
                <w:color w:val="auto"/>
                <w:sz w:val="20"/>
                <w:szCs w:val="20"/>
                <w:lang w:bidi="es-ES"/>
              </w:rPr>
              <w:t>.</w:t>
            </w:r>
          </w:p>
        </w:tc>
      </w:tr>
      <w:tr w:rsidR="0039504F" w:rsidRPr="00CB5511" w:rsidTr="008576CD">
        <w:trPr>
          <w:trHeight w:val="994"/>
        </w:trPr>
        <w:tc>
          <w:tcPr>
            <w:tcW w:w="1024" w:type="dxa"/>
            <w:vMerge/>
            <w:tcBorders>
              <w:right w:val="single" w:sz="4" w:space="0" w:color="00642D"/>
            </w:tcBorders>
            <w:shd w:val="clear" w:color="auto" w:fill="00642D"/>
            <w:textDirection w:val="btLr"/>
          </w:tcPr>
          <w:p w:rsidR="0039504F" w:rsidRDefault="0039504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9609E9">
            <w:pPr>
              <w:pStyle w:val="Cuerpodelboletn"/>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Default="0039504F" w:rsidP="0039504F">
            <w:r w:rsidRPr="008116C0">
              <w:rPr>
                <w:rStyle w:val="Ttulo2Car"/>
                <w:b w:val="0"/>
                <w:color w:val="auto"/>
                <w:sz w:val="20"/>
                <w:szCs w:val="20"/>
                <w:lang w:bidi="es-ES"/>
              </w:rPr>
              <w:t>No se ha localizado información</w:t>
            </w:r>
            <w:r w:rsidR="00934C4C">
              <w:rPr>
                <w:rStyle w:val="Ttulo2Car"/>
                <w:b w:val="0"/>
                <w:color w:val="auto"/>
                <w:sz w:val="20"/>
                <w:szCs w:val="20"/>
                <w:lang w:bidi="es-ES"/>
              </w:rPr>
              <w:t>.</w:t>
            </w:r>
          </w:p>
        </w:tc>
      </w:tr>
      <w:tr w:rsidR="005E55FC" w:rsidRPr="00CB5511" w:rsidTr="008576CD">
        <w:trPr>
          <w:trHeight w:val="1675"/>
        </w:trPr>
        <w:tc>
          <w:tcPr>
            <w:tcW w:w="1024" w:type="dxa"/>
            <w:tcBorders>
              <w:right w:val="single" w:sz="4" w:space="0" w:color="00642D"/>
            </w:tcBorders>
            <w:shd w:val="clear" w:color="auto" w:fill="00642D"/>
            <w:textDirection w:val="btLr"/>
          </w:tcPr>
          <w:p w:rsidR="005E55FC" w:rsidRDefault="005E55FC"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2011F8">
            <w:pPr>
              <w:pStyle w:val="Cuerpodelboletn"/>
              <w:numPr>
                <w:ilvl w:val="0"/>
                <w:numId w:val="15"/>
              </w:numPr>
              <w:spacing w:before="120" w:after="120" w:line="312" w:lineRule="auto"/>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77658D" w:rsidRDefault="002011F8" w:rsidP="00C941B5">
            <w:pPr>
              <w:pStyle w:val="Cuerpodelboletn"/>
              <w:spacing w:before="120" w:after="120" w:line="312" w:lineRule="auto"/>
              <w:rPr>
                <w:rStyle w:val="Ttulo2Car"/>
                <w:sz w:val="20"/>
                <w:szCs w:val="20"/>
                <w:lang w:bidi="es-ES"/>
              </w:rPr>
            </w:pPr>
            <w:r>
              <w:rPr>
                <w:rFonts w:eastAsiaTheme="majorEastAsia" w:cstheme="majorBidi"/>
                <w:bCs/>
                <w:color w:val="auto"/>
                <w:sz w:val="20"/>
                <w:szCs w:val="20"/>
                <w:lang w:bidi="es-ES"/>
              </w:rPr>
              <w:t>No aplicable. En el Portal de Transparencia se informa de que el CUD no concede subvenciones ni ayudas públicas.</w:t>
            </w:r>
          </w:p>
        </w:tc>
      </w:tr>
      <w:tr w:rsidR="005E55FC" w:rsidRPr="00CB5511" w:rsidTr="008576CD">
        <w:trPr>
          <w:trHeight w:val="1570"/>
        </w:trPr>
        <w:tc>
          <w:tcPr>
            <w:tcW w:w="1024" w:type="dxa"/>
            <w:tcBorders>
              <w:right w:val="single" w:sz="4" w:space="0" w:color="00642D"/>
            </w:tcBorders>
            <w:shd w:val="clear" w:color="auto" w:fill="00642D"/>
            <w:textDirection w:val="btLr"/>
          </w:tcPr>
          <w:p w:rsidR="005E55FC" w:rsidRDefault="005E55FC"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5E55FC" w:rsidRDefault="005E55FC" w:rsidP="009609E9">
            <w:pPr>
              <w:pStyle w:val="Cuerpodelboletn"/>
              <w:spacing w:before="120" w:after="120" w:line="312" w:lineRule="auto"/>
              <w:rPr>
                <w:rStyle w:val="Ttulo2Car"/>
                <w:b w:val="0"/>
                <w:color w:val="auto"/>
                <w:sz w:val="20"/>
                <w:szCs w:val="20"/>
                <w:lang w:bidi="es-ES"/>
              </w:rPr>
            </w:pP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934C4C">
            <w:pPr>
              <w:pStyle w:val="Cuerpodelboletn"/>
              <w:spacing w:before="120" w:after="120" w:line="312" w:lineRule="auto"/>
              <w:ind w:left="425"/>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2011F8" w:rsidP="009609E9">
            <w:pPr>
              <w:pStyle w:val="Cuerpodelboletn"/>
              <w:spacing w:before="120" w:after="120" w:line="312" w:lineRule="auto"/>
              <w:rPr>
                <w:rStyle w:val="Ttulo2Car"/>
                <w:sz w:val="20"/>
                <w:szCs w:val="20"/>
                <w:lang w:bidi="es-ES"/>
              </w:rPr>
            </w:pPr>
            <w:r>
              <w:rPr>
                <w:rFonts w:eastAsiaTheme="majorEastAsia" w:cstheme="majorBidi"/>
                <w:bCs/>
                <w:color w:val="auto"/>
                <w:sz w:val="20"/>
                <w:szCs w:val="20"/>
                <w:lang w:bidi="es-ES"/>
              </w:rPr>
              <w:t xml:space="preserve">En </w:t>
            </w:r>
            <w:proofErr w:type="gramStart"/>
            <w:r>
              <w:rPr>
                <w:rFonts w:eastAsiaTheme="majorEastAsia" w:cstheme="majorBidi"/>
                <w:bCs/>
                <w:color w:val="auto"/>
                <w:sz w:val="20"/>
                <w:szCs w:val="20"/>
                <w:lang w:bidi="es-ES"/>
              </w:rPr>
              <w:t>el apartado presupuestos</w:t>
            </w:r>
            <w:proofErr w:type="gramEnd"/>
            <w:r>
              <w:rPr>
                <w:rFonts w:eastAsiaTheme="majorEastAsia" w:cstheme="majorBidi"/>
                <w:bCs/>
                <w:color w:val="auto"/>
                <w:sz w:val="20"/>
                <w:szCs w:val="20"/>
                <w:lang w:bidi="es-ES"/>
              </w:rPr>
              <w:t xml:space="preserve"> se publica un enlace al registro de cuentas anuales de la IGAE. Aunque se dan instrucciones para l</w:t>
            </w:r>
            <w:r w:rsidR="00A92D72">
              <w:rPr>
                <w:rFonts w:eastAsiaTheme="majorEastAsia" w:cstheme="majorBidi"/>
                <w:bCs/>
                <w:color w:val="auto"/>
                <w:sz w:val="20"/>
                <w:szCs w:val="20"/>
                <w:lang w:bidi="es-ES"/>
              </w:rPr>
              <w:t>ocalizar la información del CUD</w:t>
            </w:r>
            <w:r>
              <w:rPr>
                <w:rFonts w:eastAsiaTheme="majorEastAsia" w:cstheme="majorBidi"/>
                <w:bCs/>
                <w:color w:val="auto"/>
                <w:sz w:val="20"/>
                <w:szCs w:val="20"/>
                <w:lang w:bidi="es-ES"/>
              </w:rPr>
              <w:t>, esta forma de publicar supone una considerable barrera para acceder a la información. Por esta razón se ha considerado no cumplida la obligación</w:t>
            </w:r>
          </w:p>
        </w:tc>
      </w:tr>
      <w:tr w:rsidR="005E55FC" w:rsidRPr="00CB5511" w:rsidTr="008576CD">
        <w:trPr>
          <w:trHeight w:val="1114"/>
        </w:trPr>
        <w:tc>
          <w:tcPr>
            <w:tcW w:w="1024" w:type="dxa"/>
            <w:vMerge w:val="restart"/>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77658D">
            <w:pPr>
              <w:pStyle w:val="Cuerpodelboletn"/>
              <w:spacing w:before="120" w:after="120" w:line="312" w:lineRule="auto"/>
              <w:ind w:left="360"/>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2011F8" w:rsidP="0077658D">
            <w:pPr>
              <w:pStyle w:val="Cuerpodelboletn"/>
              <w:spacing w:before="120" w:after="120" w:line="312" w:lineRule="auto"/>
              <w:rPr>
                <w:rStyle w:val="Ttulo2Car"/>
                <w:sz w:val="20"/>
                <w:szCs w:val="20"/>
                <w:lang w:bidi="es-ES"/>
              </w:rPr>
            </w:pPr>
            <w:r>
              <w:rPr>
                <w:rStyle w:val="Ttulo2Car"/>
                <w:b w:val="0"/>
                <w:color w:val="auto"/>
                <w:sz w:val="20"/>
                <w:szCs w:val="20"/>
                <w:lang w:bidi="es-ES"/>
              </w:rPr>
              <w:t>Localizables a través del enlace citado en el apartado anterior. No se considera cumplida la obligación por las dificultades de acceso a la información que implica esta manera de publicar las cuentas anuales</w:t>
            </w:r>
          </w:p>
        </w:tc>
      </w:tr>
      <w:tr w:rsidR="005E55FC" w:rsidRPr="00CB5511" w:rsidTr="008576CD">
        <w:trPr>
          <w:trHeight w:val="940"/>
        </w:trPr>
        <w:tc>
          <w:tcPr>
            <w:tcW w:w="1024" w:type="dxa"/>
            <w:vMerge/>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C87A6A">
            <w:pPr>
              <w:pStyle w:val="Cuerpodelboletn"/>
              <w:spacing w:before="120" w:after="120" w:line="312" w:lineRule="auto"/>
              <w:ind w:left="425"/>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77658D" w:rsidP="00603DE8">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603DE8" w:rsidRPr="00603DE8">
              <w:rPr>
                <w:rStyle w:val="Ttulo2Car"/>
                <w:sz w:val="20"/>
                <w:szCs w:val="20"/>
                <w:lang w:bidi="es-ES"/>
              </w:rPr>
              <w:t xml:space="preserve"> </w:t>
            </w:r>
            <w:r w:rsidR="005E55FC" w:rsidRPr="00603DE8">
              <w:rPr>
                <w:rStyle w:val="Ttulo2Car"/>
                <w:sz w:val="20"/>
                <w:szCs w:val="20"/>
                <w:lang w:bidi="es-ES"/>
              </w:rPr>
              <w:t xml:space="preserve"> </w:t>
            </w:r>
          </w:p>
        </w:tc>
      </w:tr>
      <w:tr w:rsidR="005E55FC" w:rsidRPr="00CB5511" w:rsidTr="008576CD">
        <w:trPr>
          <w:trHeight w:val="940"/>
        </w:trPr>
        <w:tc>
          <w:tcPr>
            <w:tcW w:w="1024" w:type="dxa"/>
            <w:vMerge w:val="restart"/>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77658D">
            <w:pPr>
              <w:pStyle w:val="Cuerpodelboletn"/>
              <w:spacing w:before="120" w:after="120" w:line="312" w:lineRule="auto"/>
              <w:ind w:left="360"/>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717836" w:rsidRDefault="0077658D" w:rsidP="00603DE8">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p>
        </w:tc>
      </w:tr>
      <w:tr w:rsidR="005E55FC" w:rsidRPr="00CB5511" w:rsidTr="008576CD">
        <w:trPr>
          <w:trHeight w:val="940"/>
        </w:trPr>
        <w:tc>
          <w:tcPr>
            <w:tcW w:w="1024" w:type="dxa"/>
            <w:vMerge/>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r w:rsidRPr="008116C0">
              <w:rPr>
                <w:rStyle w:val="Ttulo2Car"/>
                <w:b w:val="0"/>
                <w:color w:val="auto"/>
                <w:sz w:val="20"/>
                <w:szCs w:val="20"/>
                <w:lang w:bidi="es-ES"/>
              </w:rPr>
              <w:t>No se ha localizado información</w:t>
            </w:r>
          </w:p>
        </w:tc>
      </w:tr>
      <w:tr w:rsidR="005E55FC" w:rsidRPr="00CB5511" w:rsidTr="008576CD">
        <w:trPr>
          <w:trHeight w:val="940"/>
        </w:trPr>
        <w:tc>
          <w:tcPr>
            <w:tcW w:w="1024" w:type="dxa"/>
            <w:vMerge w:val="restart"/>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2011F8">
            <w:pPr>
              <w:pStyle w:val="Cuerpodelboletn"/>
              <w:numPr>
                <w:ilvl w:val="0"/>
                <w:numId w:val="15"/>
              </w:numPr>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2011F8"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aplicable. En el Portal de Transparencia se informa de que no se han concedido este tipo de autorizaciones</w:t>
            </w:r>
          </w:p>
        </w:tc>
      </w:tr>
      <w:tr w:rsidR="005E55FC" w:rsidRPr="00CB5511" w:rsidTr="008576CD">
        <w:trPr>
          <w:trHeight w:val="940"/>
        </w:trPr>
        <w:tc>
          <w:tcPr>
            <w:tcW w:w="1024" w:type="dxa"/>
            <w:vMerge/>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r w:rsidRPr="008116C0">
              <w:rPr>
                <w:rStyle w:val="Ttulo2Car"/>
                <w:b w:val="0"/>
                <w:color w:val="auto"/>
                <w:sz w:val="20"/>
                <w:szCs w:val="20"/>
                <w:lang w:bidi="es-ES"/>
              </w:rPr>
              <w:t>No se ha loca</w:t>
            </w:r>
            <w:bookmarkStart w:id="0" w:name="_GoBack"/>
            <w:bookmarkEnd w:id="0"/>
            <w:r w:rsidRPr="008116C0">
              <w:rPr>
                <w:rStyle w:val="Ttulo2Car"/>
                <w:b w:val="0"/>
                <w:color w:val="auto"/>
                <w:sz w:val="20"/>
                <w:szCs w:val="20"/>
                <w:lang w:bidi="es-ES"/>
              </w:rPr>
              <w:t>lizado información</w:t>
            </w:r>
          </w:p>
        </w:tc>
      </w:tr>
      <w:tr w:rsidR="005E55FC" w:rsidRPr="00CB5511" w:rsidTr="008576CD">
        <w:trPr>
          <w:trHeight w:val="1703"/>
        </w:trPr>
        <w:tc>
          <w:tcPr>
            <w:tcW w:w="1024" w:type="dxa"/>
            <w:tcBorders>
              <w:right w:val="single" w:sz="4" w:space="0" w:color="00642D"/>
            </w:tcBorders>
            <w:shd w:val="clear" w:color="auto" w:fill="00642D"/>
            <w:textDirection w:val="btLr"/>
          </w:tcPr>
          <w:p w:rsidR="005E55FC" w:rsidRDefault="005E55FC"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2011F8">
            <w:pPr>
              <w:pStyle w:val="Cuerpodelboletn"/>
              <w:numPr>
                <w:ilvl w:val="0"/>
                <w:numId w:val="15"/>
              </w:numPr>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2011F8" w:rsidRDefault="002011F8" w:rsidP="009609E9">
            <w:pPr>
              <w:pStyle w:val="Cuerpodelboletn"/>
              <w:spacing w:before="120" w:after="120" w:line="312" w:lineRule="auto"/>
              <w:rPr>
                <w:rStyle w:val="Ttulo2Car"/>
                <w:b w:val="0"/>
                <w:color w:val="auto"/>
                <w:sz w:val="20"/>
                <w:szCs w:val="20"/>
                <w:lang w:bidi="es-ES"/>
              </w:rPr>
            </w:pPr>
            <w:r w:rsidRPr="002011F8">
              <w:rPr>
                <w:rStyle w:val="Ttulo2Car"/>
                <w:b w:val="0"/>
                <w:color w:val="auto"/>
                <w:sz w:val="20"/>
                <w:szCs w:val="20"/>
                <w:lang w:bidi="es-ES"/>
              </w:rPr>
              <w:t xml:space="preserve">Localizable en las memorias académicas. </w:t>
            </w:r>
          </w:p>
        </w:tc>
      </w:tr>
    </w:tbl>
    <w:p w:rsid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934C4C" w:rsidRPr="00C33A23" w:rsidRDefault="00934C4C" w:rsidP="00C33A23">
      <w:pPr>
        <w:pStyle w:val="Cuerpodelboletn"/>
        <w:spacing w:before="120" w:after="120" w:line="312" w:lineRule="auto"/>
        <w:ind w:left="360"/>
        <w:rPr>
          <w:rStyle w:val="Ttulo2Car"/>
          <w:color w:val="00642D"/>
          <w:lang w:bidi="es-ES"/>
        </w:rPr>
      </w:pP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92D72" w:rsidRDefault="00A92D72" w:rsidP="00BD4582">
                            <w:pPr>
                              <w:rPr>
                                <w:b/>
                                <w:color w:val="00642D"/>
                              </w:rPr>
                            </w:pPr>
                            <w:r w:rsidRPr="00BD4582">
                              <w:rPr>
                                <w:b/>
                                <w:color w:val="00642D"/>
                              </w:rPr>
                              <w:t>Contenidos</w:t>
                            </w:r>
                          </w:p>
                          <w:p w:rsidR="00A92D72" w:rsidRDefault="00A92D72" w:rsidP="00934C4C">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A92D72" w:rsidRDefault="00A92D72" w:rsidP="00934C4C">
                            <w:pPr>
                              <w:pStyle w:val="Prrafodelista"/>
                              <w:numPr>
                                <w:ilvl w:val="0"/>
                                <w:numId w:val="7"/>
                              </w:numPr>
                              <w:jc w:val="both"/>
                              <w:rPr>
                                <w:rStyle w:val="Ttulo2Car"/>
                                <w:b w:val="0"/>
                                <w:color w:val="auto"/>
                                <w:sz w:val="20"/>
                                <w:szCs w:val="20"/>
                                <w:lang w:bidi="es-ES"/>
                              </w:rPr>
                            </w:pPr>
                            <w:r w:rsidRPr="0035129A">
                              <w:rPr>
                                <w:rStyle w:val="Ttulo2Car"/>
                                <w:b w:val="0"/>
                                <w:color w:val="auto"/>
                                <w:sz w:val="20"/>
                                <w:szCs w:val="20"/>
                                <w:lang w:bidi="es-ES"/>
                              </w:rPr>
                              <w:t>No se ha localizado información sobre modificaciones de contratos adjudicados. Esta información no es obtenible a través de la PCSP</w:t>
                            </w:r>
                            <w:r>
                              <w:rPr>
                                <w:rStyle w:val="Ttulo2Car"/>
                                <w:b w:val="0"/>
                                <w:color w:val="auto"/>
                                <w:sz w:val="20"/>
                                <w:szCs w:val="20"/>
                                <w:lang w:bidi="es-ES"/>
                              </w:rPr>
                              <w:t>.</w:t>
                            </w:r>
                          </w:p>
                          <w:p w:rsidR="00A92D72"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A92D72" w:rsidRPr="000405C6"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Para la publicación de los convenios se redirige al Portal de Transparencia de la AGE.</w:t>
                            </w:r>
                          </w:p>
                          <w:p w:rsidR="00A92D72"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A92D72"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Para la publicación de los </w:t>
                            </w:r>
                            <w:r w:rsidRPr="009A519C">
                              <w:rPr>
                                <w:rStyle w:val="Ttulo2Car"/>
                                <w:b w:val="0"/>
                                <w:color w:val="auto"/>
                                <w:sz w:val="20"/>
                                <w:szCs w:val="20"/>
                                <w:lang w:bidi="es-ES"/>
                              </w:rPr>
                              <w:t>presupuestos</w:t>
                            </w:r>
                            <w:r>
                              <w:rPr>
                                <w:rStyle w:val="Ttulo2Car"/>
                                <w:b w:val="0"/>
                                <w:color w:val="auto"/>
                                <w:sz w:val="20"/>
                                <w:szCs w:val="20"/>
                                <w:lang w:bidi="es-ES"/>
                              </w:rPr>
                              <w:t xml:space="preserve"> se redirige al registro de cuentas de la IGAE</w:t>
                            </w:r>
                            <w:r w:rsidRPr="009A519C">
                              <w:rPr>
                                <w:rStyle w:val="Ttulo2Car"/>
                                <w:b w:val="0"/>
                                <w:color w:val="auto"/>
                                <w:sz w:val="20"/>
                                <w:szCs w:val="20"/>
                                <w:lang w:bidi="es-ES"/>
                              </w:rPr>
                              <w:t>.</w:t>
                            </w:r>
                            <w:r>
                              <w:rPr>
                                <w:rStyle w:val="Ttulo2Car"/>
                                <w:b w:val="0"/>
                                <w:color w:val="auto"/>
                                <w:sz w:val="20"/>
                                <w:szCs w:val="20"/>
                                <w:lang w:bidi="es-ES"/>
                              </w:rPr>
                              <w:t xml:space="preserve"> </w:t>
                            </w:r>
                          </w:p>
                          <w:p w:rsidR="00A92D72"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La forma de publicar las cuentas anuales constituye una barrera a la accesibilidad a la información.</w:t>
                            </w:r>
                          </w:p>
                          <w:p w:rsidR="00A92D72" w:rsidRPr="000405C6" w:rsidRDefault="00A92D72" w:rsidP="00934C4C">
                            <w:pPr>
                              <w:pStyle w:val="Prrafodelista"/>
                              <w:numPr>
                                <w:ilvl w:val="0"/>
                                <w:numId w:val="7"/>
                              </w:numPr>
                              <w:rPr>
                                <w:rStyle w:val="Ttulo2Car"/>
                                <w:b w:val="0"/>
                                <w:color w:val="auto"/>
                                <w:sz w:val="20"/>
                                <w:szCs w:val="20"/>
                                <w:lang w:bidi="es-ES"/>
                              </w:rPr>
                            </w:pPr>
                            <w:r w:rsidRPr="000405C6">
                              <w:rPr>
                                <w:rStyle w:val="Ttulo2Car"/>
                                <w:b w:val="0"/>
                                <w:color w:val="auto"/>
                                <w:sz w:val="20"/>
                                <w:szCs w:val="20"/>
                                <w:lang w:bidi="es-ES"/>
                              </w:rPr>
                              <w:t>No se ha localizado información sobre los informes de auditoría y fiscalización elaborados por el Tribunal de Cuentas</w:t>
                            </w:r>
                          </w:p>
                          <w:p w:rsidR="00A92D72" w:rsidRPr="009A519C"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No se ha localizado </w:t>
                            </w:r>
                            <w:r w:rsidRPr="009A519C">
                              <w:rPr>
                                <w:rStyle w:val="Ttulo2Car"/>
                                <w:b w:val="0"/>
                                <w:color w:val="auto"/>
                                <w:sz w:val="20"/>
                                <w:szCs w:val="20"/>
                                <w:lang w:bidi="es-ES"/>
                              </w:rPr>
                              <w:t xml:space="preserve"> información sobre las retribuciones de </w:t>
                            </w:r>
                            <w:r>
                              <w:rPr>
                                <w:rStyle w:val="Ttulo2Car"/>
                                <w:b w:val="0"/>
                                <w:color w:val="auto"/>
                                <w:sz w:val="20"/>
                                <w:szCs w:val="20"/>
                                <w:lang w:bidi="es-ES"/>
                              </w:rPr>
                              <w:t xml:space="preserve">los </w:t>
                            </w:r>
                            <w:r w:rsidRPr="009A519C">
                              <w:rPr>
                                <w:rStyle w:val="Ttulo2Car"/>
                                <w:b w:val="0"/>
                                <w:color w:val="auto"/>
                                <w:sz w:val="20"/>
                                <w:szCs w:val="20"/>
                                <w:lang w:bidi="es-ES"/>
                              </w:rPr>
                              <w:t>altos cargos y máximos responsables.</w:t>
                            </w:r>
                          </w:p>
                          <w:p w:rsidR="00A92D72" w:rsidRPr="009A519C" w:rsidRDefault="00A92D72"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A92D72" w:rsidRDefault="00A92D72"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A92D72" w:rsidRPr="00BD4582" w:rsidRDefault="00A92D72" w:rsidP="00BD4582">
                            <w:pPr>
                              <w:rPr>
                                <w:b/>
                                <w:color w:val="00642D"/>
                              </w:rPr>
                            </w:pPr>
                            <w:r>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C64997" w:rsidRDefault="00C64997" w:rsidP="00BD4582">
                      <w:pPr>
                        <w:rPr>
                          <w:b/>
                          <w:color w:val="00642D"/>
                        </w:rPr>
                      </w:pPr>
                      <w:r w:rsidRPr="00BD4582">
                        <w:rPr>
                          <w:b/>
                          <w:color w:val="00642D"/>
                        </w:rPr>
                        <w:t>Contenidos</w:t>
                      </w:r>
                    </w:p>
                    <w:p w:rsidR="00C64997" w:rsidRDefault="00C64997" w:rsidP="00934C4C">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C64997" w:rsidRDefault="00C64997" w:rsidP="00934C4C">
                      <w:pPr>
                        <w:pStyle w:val="Prrafodelista"/>
                        <w:numPr>
                          <w:ilvl w:val="0"/>
                          <w:numId w:val="7"/>
                        </w:numPr>
                        <w:jc w:val="both"/>
                        <w:rPr>
                          <w:rStyle w:val="Ttulo2Car"/>
                          <w:b w:val="0"/>
                          <w:color w:val="auto"/>
                          <w:sz w:val="20"/>
                          <w:szCs w:val="20"/>
                          <w:lang w:bidi="es-ES"/>
                        </w:rPr>
                      </w:pPr>
                      <w:r w:rsidRPr="0035129A">
                        <w:rPr>
                          <w:rStyle w:val="Ttulo2Car"/>
                          <w:b w:val="0"/>
                          <w:color w:val="auto"/>
                          <w:sz w:val="20"/>
                          <w:szCs w:val="20"/>
                          <w:lang w:bidi="es-ES"/>
                        </w:rPr>
                        <w:t>No se ha localizado información sobre modificaciones de contratos adjudicados. Esta información no es obtenible a través de la PCSP</w:t>
                      </w:r>
                      <w:r>
                        <w:rPr>
                          <w:rStyle w:val="Ttulo2Car"/>
                          <w:b w:val="0"/>
                          <w:color w:val="auto"/>
                          <w:sz w:val="20"/>
                          <w:szCs w:val="20"/>
                          <w:lang w:bidi="es-ES"/>
                        </w:rPr>
                        <w:t>.</w:t>
                      </w:r>
                    </w:p>
                    <w:p w:rsidR="00C64997"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C64997" w:rsidRPr="000405C6"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Para la publicación de los convenios se redirige al Portal de Transparencia de la AGE.</w:t>
                      </w:r>
                    </w:p>
                    <w:p w:rsidR="00C64997"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C64997"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Para la publicación de los </w:t>
                      </w:r>
                      <w:r w:rsidRPr="009A519C">
                        <w:rPr>
                          <w:rStyle w:val="Ttulo2Car"/>
                          <w:b w:val="0"/>
                          <w:color w:val="auto"/>
                          <w:sz w:val="20"/>
                          <w:szCs w:val="20"/>
                          <w:lang w:bidi="es-ES"/>
                        </w:rPr>
                        <w:t>presupuestos</w:t>
                      </w:r>
                      <w:r>
                        <w:rPr>
                          <w:rStyle w:val="Ttulo2Car"/>
                          <w:b w:val="0"/>
                          <w:color w:val="auto"/>
                          <w:sz w:val="20"/>
                          <w:szCs w:val="20"/>
                          <w:lang w:bidi="es-ES"/>
                        </w:rPr>
                        <w:t xml:space="preserve"> se redirige al registro de cuentas de la IGAE</w:t>
                      </w:r>
                      <w:r w:rsidRPr="009A519C">
                        <w:rPr>
                          <w:rStyle w:val="Ttulo2Car"/>
                          <w:b w:val="0"/>
                          <w:color w:val="auto"/>
                          <w:sz w:val="20"/>
                          <w:szCs w:val="20"/>
                          <w:lang w:bidi="es-ES"/>
                        </w:rPr>
                        <w:t>.</w:t>
                      </w:r>
                      <w:r>
                        <w:rPr>
                          <w:rStyle w:val="Ttulo2Car"/>
                          <w:b w:val="0"/>
                          <w:color w:val="auto"/>
                          <w:sz w:val="20"/>
                          <w:szCs w:val="20"/>
                          <w:lang w:bidi="es-ES"/>
                        </w:rPr>
                        <w:t xml:space="preserve"> </w:t>
                      </w:r>
                    </w:p>
                    <w:p w:rsidR="00C64997"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La forma de publicar las cuentas anuales constituye una barrera a la accesibilidad a la información.</w:t>
                      </w:r>
                    </w:p>
                    <w:p w:rsidR="00C64997" w:rsidRPr="000405C6" w:rsidRDefault="00C64997" w:rsidP="00934C4C">
                      <w:pPr>
                        <w:pStyle w:val="Prrafodelista"/>
                        <w:numPr>
                          <w:ilvl w:val="0"/>
                          <w:numId w:val="7"/>
                        </w:numPr>
                        <w:rPr>
                          <w:rStyle w:val="Ttulo2Car"/>
                          <w:b w:val="0"/>
                          <w:color w:val="auto"/>
                          <w:sz w:val="20"/>
                          <w:szCs w:val="20"/>
                          <w:lang w:bidi="es-ES"/>
                        </w:rPr>
                      </w:pPr>
                      <w:r w:rsidRPr="000405C6">
                        <w:rPr>
                          <w:rStyle w:val="Ttulo2Car"/>
                          <w:b w:val="0"/>
                          <w:color w:val="auto"/>
                          <w:sz w:val="20"/>
                          <w:szCs w:val="20"/>
                          <w:lang w:bidi="es-ES"/>
                        </w:rPr>
                        <w:t>No se ha localizado información sobre los informes de auditoría y fiscalización elaborados por el Tribunal de Cuentas</w:t>
                      </w:r>
                    </w:p>
                    <w:p w:rsidR="00C64997" w:rsidRPr="009A519C"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No se ha localizado </w:t>
                      </w:r>
                      <w:r w:rsidRPr="009A519C">
                        <w:rPr>
                          <w:rStyle w:val="Ttulo2Car"/>
                          <w:b w:val="0"/>
                          <w:color w:val="auto"/>
                          <w:sz w:val="20"/>
                          <w:szCs w:val="20"/>
                          <w:lang w:bidi="es-ES"/>
                        </w:rPr>
                        <w:t xml:space="preserve"> información sobre las retribuciones de </w:t>
                      </w:r>
                      <w:r>
                        <w:rPr>
                          <w:rStyle w:val="Ttulo2Car"/>
                          <w:b w:val="0"/>
                          <w:color w:val="auto"/>
                          <w:sz w:val="20"/>
                          <w:szCs w:val="20"/>
                          <w:lang w:bidi="es-ES"/>
                        </w:rPr>
                        <w:t xml:space="preserve">los </w:t>
                      </w:r>
                      <w:r w:rsidRPr="009A519C">
                        <w:rPr>
                          <w:rStyle w:val="Ttulo2Car"/>
                          <w:b w:val="0"/>
                          <w:color w:val="auto"/>
                          <w:sz w:val="20"/>
                          <w:szCs w:val="20"/>
                          <w:lang w:bidi="es-ES"/>
                        </w:rPr>
                        <w:t>altos cargos y máximos responsables.</w:t>
                      </w:r>
                    </w:p>
                    <w:p w:rsidR="00C64997" w:rsidRPr="009A519C" w:rsidRDefault="00C6499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C64997" w:rsidRDefault="00C6499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C64997" w:rsidRPr="00BD4582" w:rsidRDefault="00C64997" w:rsidP="00BD4582">
                      <w:pPr>
                        <w:rPr>
                          <w:b/>
                          <w:color w:val="00642D"/>
                        </w:rPr>
                      </w:pPr>
                      <w:r>
                        <w:rPr>
                          <w:b/>
                          <w:color w:val="00642D"/>
                        </w:rPr>
                        <w:t>Calidad de la Información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5E55FC">
            <w:pPr>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F57523">
            <w:pPr>
              <w:pStyle w:val="Cuerpodelboletn"/>
              <w:numPr>
                <w:ilvl w:val="0"/>
                <w:numId w:val="10"/>
              </w:numPr>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BD4582" w:rsidP="000405C6">
            <w:pPr>
              <w:pStyle w:val="Cuerpodelboletn"/>
              <w:spacing w:before="120" w:after="120" w:line="312" w:lineRule="auto"/>
              <w:rPr>
                <w:rStyle w:val="Ttulo2Car"/>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92D72" w:rsidRDefault="00A92D72" w:rsidP="002A154B">
                            <w:pPr>
                              <w:rPr>
                                <w:b/>
                                <w:color w:val="00642D"/>
                              </w:rPr>
                            </w:pPr>
                            <w:r w:rsidRPr="00BD4582">
                              <w:rPr>
                                <w:b/>
                                <w:color w:val="00642D"/>
                              </w:rPr>
                              <w:t>Contenidos</w:t>
                            </w:r>
                          </w:p>
                          <w:p w:rsidR="00A92D72" w:rsidRPr="000405C6" w:rsidRDefault="00A92D72" w:rsidP="002A154B">
                            <w:pPr>
                              <w:rPr>
                                <w:rStyle w:val="Ttulo2Car"/>
                                <w:b w:val="0"/>
                                <w:color w:val="auto"/>
                                <w:sz w:val="20"/>
                                <w:szCs w:val="20"/>
                                <w:lang w:bidi="es-ES"/>
                              </w:rPr>
                            </w:pPr>
                            <w:r w:rsidRPr="000405C6">
                              <w:rPr>
                                <w:rStyle w:val="Ttulo2Car"/>
                                <w:b w:val="0"/>
                                <w:color w:val="auto"/>
                                <w:sz w:val="20"/>
                                <w:szCs w:val="20"/>
                                <w:lang w:bidi="es-ES"/>
                              </w:rPr>
                              <w:t>La información publicada recoge todos los contenidos obligatorios establecidos en el artículo 8.3 de la LTAIBG.</w:t>
                            </w:r>
                          </w:p>
                          <w:p w:rsidR="00A92D72" w:rsidRPr="00BD4582" w:rsidRDefault="00A92D72" w:rsidP="002A154B">
                            <w:pPr>
                              <w:rPr>
                                <w:b/>
                                <w:color w:val="00642D"/>
                              </w:rPr>
                            </w:pPr>
                            <w:r>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C64997" w:rsidRDefault="00C64997" w:rsidP="002A154B">
                      <w:pPr>
                        <w:rPr>
                          <w:b/>
                          <w:color w:val="00642D"/>
                        </w:rPr>
                      </w:pPr>
                      <w:r w:rsidRPr="00BD4582">
                        <w:rPr>
                          <w:b/>
                          <w:color w:val="00642D"/>
                        </w:rPr>
                        <w:t>Contenidos</w:t>
                      </w:r>
                    </w:p>
                    <w:p w:rsidR="00C64997" w:rsidRPr="000405C6" w:rsidRDefault="00C64997" w:rsidP="002A154B">
                      <w:pPr>
                        <w:rPr>
                          <w:rStyle w:val="Ttulo2Car"/>
                          <w:b w:val="0"/>
                          <w:color w:val="auto"/>
                          <w:sz w:val="20"/>
                          <w:szCs w:val="20"/>
                          <w:lang w:bidi="es-ES"/>
                        </w:rPr>
                      </w:pPr>
                      <w:r w:rsidRPr="000405C6">
                        <w:rPr>
                          <w:rStyle w:val="Ttulo2Car"/>
                          <w:b w:val="0"/>
                          <w:color w:val="auto"/>
                          <w:sz w:val="20"/>
                          <w:szCs w:val="20"/>
                          <w:lang w:bidi="es-ES"/>
                        </w:rPr>
                        <w:t>La información publicada recoge todos los contenidos obligatorios establecidos en el artículo 8.3 de la LTAIBG.</w:t>
                      </w:r>
                    </w:p>
                    <w:p w:rsidR="00C64997" w:rsidRPr="00BD4582" w:rsidRDefault="00C64997" w:rsidP="002A154B">
                      <w:pPr>
                        <w:rPr>
                          <w:b/>
                          <w:color w:val="00642D"/>
                        </w:rPr>
                      </w:pPr>
                      <w:r>
                        <w:rPr>
                          <w:b/>
                          <w:color w:val="00642D"/>
                        </w:rPr>
                        <w:t>Calidad de la Información</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770"/>
        <w:gridCol w:w="770"/>
        <w:gridCol w:w="769"/>
        <w:gridCol w:w="769"/>
        <w:gridCol w:w="769"/>
        <w:gridCol w:w="769"/>
        <w:gridCol w:w="769"/>
        <w:gridCol w:w="948"/>
      </w:tblGrid>
      <w:tr w:rsidR="002A154B" w:rsidRPr="00FD0689" w:rsidTr="00B963F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92"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1685A" w:rsidRPr="00FD0689" w:rsidTr="00B963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1685A" w:rsidRPr="00FD0689" w:rsidRDefault="00A1685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87,5</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90,0</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90,0</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90,0</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90,0</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90,0</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85,0</w:t>
            </w:r>
          </w:p>
        </w:tc>
        <w:tc>
          <w:tcPr>
            <w:tcW w:w="892" w:type="dxa"/>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88,9</w:t>
            </w:r>
          </w:p>
        </w:tc>
      </w:tr>
      <w:tr w:rsidR="00D06199" w:rsidRPr="00FD0689" w:rsidTr="00B963F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06199" w:rsidRPr="00FD0689" w:rsidRDefault="00D06199"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6333" w:type="dxa"/>
            <w:gridSpan w:val="8"/>
            <w:tcBorders>
              <w:left w:val="single" w:sz="18" w:space="0" w:color="FFFFFF" w:themeColor="background1"/>
            </w:tcBorders>
            <w:noWrap/>
            <w:vAlign w:val="center"/>
          </w:tcPr>
          <w:p w:rsidR="00D06199" w:rsidRPr="00B963FD" w:rsidRDefault="00D06199"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No aplicable</w:t>
            </w:r>
          </w:p>
        </w:tc>
      </w:tr>
      <w:tr w:rsidR="00B963FD" w:rsidRPr="00FD0689" w:rsidTr="00B963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963FD" w:rsidRPr="00FD0689" w:rsidRDefault="00B963FD"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21,4</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7,1</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21,4</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7,1</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21,4</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21,4</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21,4</w:t>
            </w:r>
          </w:p>
        </w:tc>
        <w:tc>
          <w:tcPr>
            <w:tcW w:w="892" w:type="dxa"/>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17,3</w:t>
            </w:r>
          </w:p>
        </w:tc>
      </w:tr>
      <w:tr w:rsidR="00B963FD" w:rsidRPr="00FD0689" w:rsidTr="00B963F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963FD" w:rsidRPr="00FD0689" w:rsidRDefault="00B963FD"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892" w:type="dxa"/>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r>
      <w:tr w:rsidR="00B963FD" w:rsidRPr="00A94BCA" w:rsidTr="00B963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963FD" w:rsidRPr="002A154B" w:rsidRDefault="00B963FD"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51,0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44,0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52,0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44,0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52,0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52,0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50,0</w:t>
            </w:r>
          </w:p>
        </w:tc>
        <w:tc>
          <w:tcPr>
            <w:tcW w:w="892" w:type="dxa"/>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49,3</w:t>
            </w:r>
          </w:p>
        </w:tc>
      </w:tr>
    </w:tbl>
    <w:p w:rsidR="00094305" w:rsidRDefault="00094305" w:rsidP="00094305">
      <w:pPr>
        <w:jc w:val="both"/>
      </w:pPr>
    </w:p>
    <w:p w:rsidR="00094305" w:rsidRPr="00A63D61" w:rsidRDefault="00094305" w:rsidP="00094305">
      <w:pPr>
        <w:jc w:val="both"/>
      </w:pPr>
      <w:r w:rsidRPr="001C7C32">
        <w:t xml:space="preserve">El Índice de Cumplimiento de la Información Obligatoria (ICIO) se sitúa en el </w:t>
      </w:r>
      <w:r w:rsidR="001C7C32">
        <w:t>49,3</w:t>
      </w:r>
      <w:r w:rsidRPr="001C7C32">
        <w:t xml:space="preserve">%. La falta de publicación de contenidos obligatorios – no se publica el </w:t>
      </w:r>
      <w:r w:rsidR="001C7C32">
        <w:t>49</w:t>
      </w:r>
      <w:r w:rsidRPr="001C7C32">
        <w:t xml:space="preserve">% de estos contenidos -, el recurso a fuentes centralizadas para la publicación de algunas informaciones económicas </w:t>
      </w:r>
      <w:r w:rsidR="001C7C32">
        <w:t>o en el Portal de Transparencia de la AGE,</w:t>
      </w:r>
      <w:r w:rsidRPr="00A63D61">
        <w:t xml:space="preserve"> son los factores que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92D72" w:rsidRDefault="00A92D72">
                            <w:pPr>
                              <w:rPr>
                                <w:b/>
                                <w:color w:val="00642D"/>
                              </w:rPr>
                            </w:pPr>
                            <w:r w:rsidRPr="002A154B">
                              <w:rPr>
                                <w:b/>
                                <w:color w:val="00642D"/>
                              </w:rPr>
                              <w:t xml:space="preserve">Transparencia </w:t>
                            </w:r>
                            <w:r>
                              <w:rPr>
                                <w:b/>
                                <w:color w:val="00642D"/>
                              </w:rPr>
                              <w:t>Voluntaria</w:t>
                            </w:r>
                          </w:p>
                          <w:p w:rsidR="00A92D72" w:rsidRPr="00D06199" w:rsidRDefault="00A92D72">
                            <w:pPr>
                              <w:rPr>
                                <w:sz w:val="20"/>
                                <w:szCs w:val="20"/>
                              </w:rPr>
                            </w:pPr>
                            <w:r w:rsidRPr="00D06199">
                              <w:rPr>
                                <w:sz w:val="20"/>
                                <w:szCs w:val="20"/>
                              </w:rPr>
                              <w:t xml:space="preserve">El </w:t>
                            </w:r>
                            <w:r>
                              <w:rPr>
                                <w:sz w:val="20"/>
                                <w:szCs w:val="20"/>
                              </w:rPr>
                              <w:t>CUD Zaragoza</w:t>
                            </w:r>
                            <w:r w:rsidRPr="00D06199">
                              <w:rPr>
                                <w:sz w:val="20"/>
                                <w:szCs w:val="20"/>
                              </w:rPr>
                              <w:t xml:space="preserve"> publica informaciones adicionales a las obligatorias que pueden considerarse relevantes desde el punto de vista de la transparencia y la rendición de cuentas:</w:t>
                            </w:r>
                          </w:p>
                          <w:p w:rsidR="00A92D72" w:rsidRDefault="00A92D72" w:rsidP="00D16D12">
                            <w:pPr>
                              <w:pStyle w:val="Prrafodelista"/>
                              <w:numPr>
                                <w:ilvl w:val="0"/>
                                <w:numId w:val="5"/>
                              </w:numPr>
                              <w:rPr>
                                <w:sz w:val="20"/>
                                <w:szCs w:val="20"/>
                              </w:rPr>
                            </w:pPr>
                            <w:r>
                              <w:rPr>
                                <w:sz w:val="20"/>
                                <w:szCs w:val="20"/>
                              </w:rPr>
                              <w:t>Política Antifraude</w:t>
                            </w:r>
                          </w:p>
                          <w:p w:rsidR="00A92D72" w:rsidRPr="00A20542" w:rsidRDefault="00A92D72" w:rsidP="00D16D12">
                            <w:pPr>
                              <w:pStyle w:val="Prrafodelista"/>
                              <w:numPr>
                                <w:ilvl w:val="0"/>
                                <w:numId w:val="5"/>
                              </w:numPr>
                              <w:rPr>
                                <w:sz w:val="20"/>
                                <w:szCs w:val="20"/>
                              </w:rPr>
                            </w:pPr>
                            <w:r>
                              <w:rPr>
                                <w:sz w:val="20"/>
                                <w:szCs w:val="20"/>
                              </w:rPr>
                              <w:t>Memorias de responsabilidad social</w:t>
                            </w:r>
                          </w:p>
                          <w:p w:rsidR="00A92D72" w:rsidRPr="00A20542" w:rsidRDefault="00A92D72" w:rsidP="00A20542">
                            <w:pPr>
                              <w:pStyle w:val="Prrafodelista"/>
                              <w:numPr>
                                <w:ilvl w:val="0"/>
                                <w:numId w:val="5"/>
                              </w:numPr>
                              <w:rPr>
                                <w:sz w:val="20"/>
                                <w:szCs w:val="20"/>
                              </w:rPr>
                            </w:pPr>
                            <w:r>
                              <w:rPr>
                                <w:sz w:val="20"/>
                                <w:szCs w:val="20"/>
                              </w:rPr>
                              <w:t>Ofertas de empleo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C64997" w:rsidRDefault="00C64997">
                      <w:pPr>
                        <w:rPr>
                          <w:b/>
                          <w:color w:val="00642D"/>
                        </w:rPr>
                      </w:pPr>
                      <w:r w:rsidRPr="002A154B">
                        <w:rPr>
                          <w:b/>
                          <w:color w:val="00642D"/>
                        </w:rPr>
                        <w:t xml:space="preserve">Transparencia </w:t>
                      </w:r>
                      <w:r>
                        <w:rPr>
                          <w:b/>
                          <w:color w:val="00642D"/>
                        </w:rPr>
                        <w:t>Voluntaria</w:t>
                      </w:r>
                    </w:p>
                    <w:p w:rsidR="00C64997" w:rsidRPr="00D06199" w:rsidRDefault="00C64997">
                      <w:pPr>
                        <w:rPr>
                          <w:sz w:val="20"/>
                          <w:szCs w:val="20"/>
                        </w:rPr>
                      </w:pPr>
                      <w:r w:rsidRPr="00D06199">
                        <w:rPr>
                          <w:sz w:val="20"/>
                          <w:szCs w:val="20"/>
                        </w:rPr>
                        <w:t xml:space="preserve">El </w:t>
                      </w:r>
                      <w:r>
                        <w:rPr>
                          <w:sz w:val="20"/>
                          <w:szCs w:val="20"/>
                        </w:rPr>
                        <w:t>CUD Zaragoza</w:t>
                      </w:r>
                      <w:r w:rsidRPr="00D06199">
                        <w:rPr>
                          <w:sz w:val="20"/>
                          <w:szCs w:val="20"/>
                        </w:rPr>
                        <w:t xml:space="preserve"> publica informaciones adicionales a las obligatorias que pueden considerarse relevantes desde el punto de vista de la transparencia y la rendición de cuentas:</w:t>
                      </w:r>
                    </w:p>
                    <w:p w:rsidR="00C64997" w:rsidRDefault="00C64997" w:rsidP="00D16D12">
                      <w:pPr>
                        <w:pStyle w:val="Prrafodelista"/>
                        <w:numPr>
                          <w:ilvl w:val="0"/>
                          <w:numId w:val="5"/>
                        </w:numPr>
                        <w:rPr>
                          <w:sz w:val="20"/>
                          <w:szCs w:val="20"/>
                        </w:rPr>
                      </w:pPr>
                      <w:r>
                        <w:rPr>
                          <w:sz w:val="20"/>
                          <w:szCs w:val="20"/>
                        </w:rPr>
                        <w:t>Política Antifraude</w:t>
                      </w:r>
                    </w:p>
                    <w:p w:rsidR="00C64997" w:rsidRPr="00A20542" w:rsidRDefault="00C64997" w:rsidP="00D16D12">
                      <w:pPr>
                        <w:pStyle w:val="Prrafodelista"/>
                        <w:numPr>
                          <w:ilvl w:val="0"/>
                          <w:numId w:val="5"/>
                        </w:numPr>
                        <w:rPr>
                          <w:sz w:val="20"/>
                          <w:szCs w:val="20"/>
                        </w:rPr>
                      </w:pPr>
                      <w:r>
                        <w:rPr>
                          <w:sz w:val="20"/>
                          <w:szCs w:val="20"/>
                        </w:rPr>
                        <w:t>Memorias de responsabilidad social</w:t>
                      </w:r>
                    </w:p>
                    <w:p w:rsidR="00C64997" w:rsidRPr="00A20542" w:rsidRDefault="00C64997" w:rsidP="00A20542">
                      <w:pPr>
                        <w:pStyle w:val="Prrafodelista"/>
                        <w:numPr>
                          <w:ilvl w:val="0"/>
                          <w:numId w:val="5"/>
                        </w:numPr>
                        <w:rPr>
                          <w:sz w:val="20"/>
                          <w:szCs w:val="20"/>
                        </w:rPr>
                      </w:pPr>
                      <w:r>
                        <w:rPr>
                          <w:sz w:val="20"/>
                          <w:szCs w:val="20"/>
                        </w:rPr>
                        <w:t>Ofertas de empleo</w:t>
                      </w:r>
                    </w:p>
                  </w:txbxContent>
                </v:textbox>
              </v:shape>
            </w:pict>
          </mc:Fallback>
        </mc:AlternateContent>
      </w:r>
    </w:p>
    <w:p w:rsidR="00932008" w:rsidRDefault="00932008"/>
    <w:p w:rsidR="00932008" w:rsidRDefault="00932008"/>
    <w:p w:rsidR="00932008" w:rsidRDefault="00932008"/>
    <w:p w:rsidR="00932008" w:rsidRDefault="00932008"/>
    <w:p w:rsidR="00932008" w:rsidRDefault="007F4346">
      <w:r w:rsidRPr="002A154B">
        <w:rPr>
          <w:noProof/>
          <w:u w:val="single"/>
        </w:rPr>
        <mc:AlternateContent>
          <mc:Choice Requires="wps">
            <w:drawing>
              <wp:anchor distT="0" distB="0" distL="114300" distR="114300" simplePos="0" relativeHeight="251673600" behindDoc="0" locked="0" layoutInCell="1" allowOverlap="1" wp14:anchorId="72E7E297" wp14:editId="44ECA9E6">
                <wp:simplePos x="0" y="0"/>
                <wp:positionH relativeFrom="column">
                  <wp:posOffset>133350</wp:posOffset>
                </wp:positionH>
                <wp:positionV relativeFrom="paragraph">
                  <wp:posOffset>207011</wp:posOffset>
                </wp:positionV>
                <wp:extent cx="6312535" cy="1543050"/>
                <wp:effectExtent l="0" t="0" r="1206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543050"/>
                        </a:xfrm>
                        <a:prstGeom prst="rect">
                          <a:avLst/>
                        </a:prstGeom>
                        <a:solidFill>
                          <a:srgbClr val="FFFFFF"/>
                        </a:solidFill>
                        <a:ln w="9525">
                          <a:solidFill>
                            <a:srgbClr val="000000"/>
                          </a:solidFill>
                          <a:miter lim="800000"/>
                          <a:headEnd/>
                          <a:tailEnd/>
                        </a:ln>
                      </wps:spPr>
                      <wps:txbx>
                        <w:txbxContent>
                          <w:p w:rsidR="00A92D72" w:rsidRDefault="00A92D72" w:rsidP="002A154B">
                            <w:pPr>
                              <w:rPr>
                                <w:b/>
                                <w:color w:val="00642D"/>
                              </w:rPr>
                            </w:pPr>
                            <w:r>
                              <w:rPr>
                                <w:b/>
                                <w:color w:val="00642D"/>
                              </w:rPr>
                              <w:t>Buenas Prácticas</w:t>
                            </w:r>
                          </w:p>
                          <w:p w:rsidR="00A92D72" w:rsidRDefault="00A92D72" w:rsidP="001C7C32">
                            <w:pPr>
                              <w:pStyle w:val="Prrafodelista"/>
                              <w:numPr>
                                <w:ilvl w:val="0"/>
                                <w:numId w:val="19"/>
                              </w:numPr>
                              <w:rPr>
                                <w:sz w:val="20"/>
                                <w:szCs w:val="20"/>
                              </w:rPr>
                            </w:pPr>
                            <w:r>
                              <w:rPr>
                                <w:sz w:val="20"/>
                                <w:szCs w:val="20"/>
                              </w:rPr>
                              <w:t>La publicación de textos introductorios a los diferentes apartados del Portal de Transparencia</w:t>
                            </w:r>
                          </w:p>
                          <w:p w:rsidR="00A92D72" w:rsidRPr="001C7C32" w:rsidRDefault="00A92D72" w:rsidP="001C7C32">
                            <w:pPr>
                              <w:pStyle w:val="Prrafodelista"/>
                              <w:numPr>
                                <w:ilvl w:val="0"/>
                                <w:numId w:val="19"/>
                              </w:numPr>
                              <w:rPr>
                                <w:sz w:val="20"/>
                                <w:szCs w:val="20"/>
                              </w:rPr>
                            </w:pPr>
                            <w:r>
                              <w:rPr>
                                <w:sz w:val="20"/>
                                <w:szCs w:val="20"/>
                              </w:rPr>
                              <w:t>La habilitación de un espacio específico para la presentación de solicitudes de acceso a la información pública del CUD, en el que se informa del derecho de los ciudadanos a solicitar información pública, de los canales para la presentación de las solicitudes y de los requisitos para presentarlas.</w:t>
                            </w:r>
                            <w:r w:rsidRPr="001C7C32">
                              <w:rPr>
                                <w:sz w:val="20"/>
                                <w:szCs w:val="20"/>
                              </w:rPr>
                              <w:t xml:space="preserve">  </w:t>
                            </w:r>
                          </w:p>
                          <w:p w:rsidR="00A92D72" w:rsidRDefault="00A92D72" w:rsidP="002A154B">
                            <w:pPr>
                              <w:rPr>
                                <w:b/>
                                <w:color w:val="00642D"/>
                              </w:rPr>
                            </w:pPr>
                          </w:p>
                          <w:p w:rsidR="00A92D72" w:rsidRPr="002A154B" w:rsidRDefault="00A92D72"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16.3pt;width:497.05pt;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">
                <v:textbox>
                  <w:txbxContent>
                    <w:p w:rsidR="00C64997" w:rsidRDefault="00C64997" w:rsidP="002A154B">
                      <w:pPr>
                        <w:rPr>
                          <w:b/>
                          <w:color w:val="00642D"/>
                        </w:rPr>
                      </w:pPr>
                      <w:r>
                        <w:rPr>
                          <w:b/>
                          <w:color w:val="00642D"/>
                        </w:rPr>
                        <w:t>Buenas Prácticas</w:t>
                      </w:r>
                    </w:p>
                    <w:p w:rsidR="00C64997" w:rsidRDefault="00C64997" w:rsidP="001C7C32">
                      <w:pPr>
                        <w:pStyle w:val="Prrafodelista"/>
                        <w:numPr>
                          <w:ilvl w:val="0"/>
                          <w:numId w:val="19"/>
                        </w:numPr>
                        <w:rPr>
                          <w:sz w:val="20"/>
                          <w:szCs w:val="20"/>
                        </w:rPr>
                      </w:pPr>
                      <w:r>
                        <w:rPr>
                          <w:sz w:val="20"/>
                          <w:szCs w:val="20"/>
                        </w:rPr>
                        <w:t>La publicación de textos introductorios a los diferentes apartados del Portal de Transparencia</w:t>
                      </w:r>
                    </w:p>
                    <w:p w:rsidR="00C64997" w:rsidRPr="001C7C32" w:rsidRDefault="00C64997" w:rsidP="001C7C32">
                      <w:pPr>
                        <w:pStyle w:val="Prrafodelista"/>
                        <w:numPr>
                          <w:ilvl w:val="0"/>
                          <w:numId w:val="19"/>
                        </w:numPr>
                        <w:rPr>
                          <w:sz w:val="20"/>
                          <w:szCs w:val="20"/>
                        </w:rPr>
                      </w:pPr>
                      <w:r>
                        <w:rPr>
                          <w:sz w:val="20"/>
                          <w:szCs w:val="20"/>
                        </w:rPr>
                        <w:t>La habilitación de un espacio específico para la presentación de solicitudes de acceso a la información pública del CUD, en el que se informa del derecho de los ciudadanos a solicitar información pública, de los canales para la presentación de las solicitudes y de los requisitos para presentarlas.</w:t>
                      </w:r>
                      <w:r w:rsidRPr="001C7C32">
                        <w:rPr>
                          <w:sz w:val="20"/>
                          <w:szCs w:val="20"/>
                        </w:rPr>
                        <w:t xml:space="preserve">  </w:t>
                      </w:r>
                    </w:p>
                    <w:p w:rsidR="00C64997" w:rsidRDefault="00C64997" w:rsidP="002A154B">
                      <w:pPr>
                        <w:rPr>
                          <w:b/>
                          <w:color w:val="00642D"/>
                        </w:rPr>
                      </w:pPr>
                    </w:p>
                    <w:p w:rsidR="00C64997" w:rsidRPr="002A154B" w:rsidRDefault="00C64997" w:rsidP="002A154B">
                      <w:pPr>
                        <w:rPr>
                          <w:b/>
                          <w:color w:val="00642D"/>
                        </w:rPr>
                      </w:pPr>
                    </w:p>
                  </w:txbxContent>
                </v:textbox>
              </v:shape>
            </w:pict>
          </mc:Fallback>
        </mc:AlternateContent>
      </w:r>
    </w:p>
    <w:p w:rsidR="00932008" w:rsidRDefault="00932008"/>
    <w:p w:rsidR="000C6CFF" w:rsidRDefault="000C6CFF"/>
    <w:p w:rsidR="007F4346" w:rsidRDefault="007F4346"/>
    <w:p w:rsidR="001C7C32" w:rsidRDefault="001C7C32"/>
    <w:p w:rsidR="001C7C32" w:rsidRDefault="001C7C32"/>
    <w:p w:rsidR="001C7C32" w:rsidRDefault="001C7C32"/>
    <w:p w:rsidR="007F4346" w:rsidRDefault="007F43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C87A6A" w:rsidRDefault="00C87A6A" w:rsidP="00C87A6A">
      <w:pPr>
        <w:jc w:val="both"/>
      </w:pPr>
      <w:r>
        <w:t xml:space="preserve">El cumplimiento de las obligaciones de transparencia de la LTAIBG por parte del  </w:t>
      </w:r>
      <w:r w:rsidR="00D06199">
        <w:t>CUD Zaragoza</w:t>
      </w:r>
      <w:r>
        <w:t xml:space="preserve">, en función de la información disponible en su web, alcanza el </w:t>
      </w:r>
      <w:r w:rsidR="001C7C32">
        <w:t>49,3</w:t>
      </w:r>
      <w:r>
        <w:t xml:space="preserve">%. </w:t>
      </w:r>
    </w:p>
    <w:p w:rsidR="00C87A6A" w:rsidRDefault="00C87A6A" w:rsidP="00C87A6A">
      <w:pPr>
        <w:jc w:val="both"/>
      </w:pPr>
      <w:r>
        <w:t xml:space="preserve">A lo largo del informe se han señalado una serie de carencias. Por ello y para procurar avances en el grado de cumplimiento de la LTAIBG por parte del organismo, este CTBG </w:t>
      </w:r>
      <w:r w:rsidRPr="00443004">
        <w:rPr>
          <w:b/>
          <w:color w:val="00642D"/>
        </w:rPr>
        <w:t>recomienda</w:t>
      </w:r>
      <w:r>
        <w:t>:</w:t>
      </w:r>
    </w:p>
    <w:p w:rsidR="00C87A6A" w:rsidRPr="00443391" w:rsidRDefault="00C87A6A" w:rsidP="00C87A6A">
      <w:pPr>
        <w:spacing w:before="120" w:after="120" w:line="312" w:lineRule="auto"/>
        <w:jc w:val="both"/>
        <w:rPr>
          <w:b/>
          <w:color w:val="00642D"/>
        </w:rPr>
      </w:pPr>
      <w:r w:rsidRPr="00443391">
        <w:rPr>
          <w:b/>
          <w:color w:val="00642D"/>
        </w:rPr>
        <w:t>Localización y Estructuración de la información</w:t>
      </w:r>
    </w:p>
    <w:p w:rsidR="00C87A6A" w:rsidRDefault="00C87A6A" w:rsidP="00C87A6A">
      <w:pPr>
        <w:spacing w:before="120" w:after="120" w:line="312" w:lineRule="auto"/>
        <w:jc w:val="both"/>
      </w:pPr>
      <w: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87A6A" w:rsidRDefault="00C87A6A" w:rsidP="00C87A6A">
      <w:pPr>
        <w:spacing w:before="120" w:after="120" w:line="312" w:lineRule="auto"/>
        <w:jc w:val="both"/>
      </w:pPr>
      <w:r>
        <w:t xml:space="preserve">Dentro de cada uno de estos bloques deben publicarse - o enlazarse si la información está publicada en otros apartados de la web institucional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C87A6A" w:rsidRDefault="00C87A6A" w:rsidP="00C87A6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w:t>
      </w:r>
      <w:r>
        <w:rPr>
          <w:rFonts w:eastAsiaTheme="majorEastAsia" w:cstheme="majorBidi"/>
          <w:bCs/>
        </w:rPr>
        <w:lastRenderedPageBreak/>
        <w:t xml:space="preserve">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C87A6A" w:rsidRDefault="00C87A6A" w:rsidP="00C87A6A">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C7C32" w:rsidRDefault="00C64997" w:rsidP="00C87A6A">
      <w:pPr>
        <w:spacing w:before="120" w:after="120" w:line="312" w:lineRule="auto"/>
        <w:jc w:val="both"/>
      </w:pPr>
      <w:r>
        <w:t>Finalmente, e</w:t>
      </w:r>
      <w:r w:rsidRPr="00C64997">
        <w:t xml:space="preserve">n cuanto a la publicación de información de una obligación a través de otra, este CTBG recuerda que la publicación de las informaciones obligatorias debe realizarse manera individualizada. Una cuestión adicional, </w:t>
      </w:r>
      <w:r w:rsidR="003B7A42">
        <w:t>es que,</w:t>
      </w:r>
      <w:r w:rsidRPr="00C64997">
        <w:t xml:space="preserve"> se redirige, para la publicación de informaciones como, por ejemplo,  las retribuciones o las subvenciones</w:t>
      </w:r>
      <w:r w:rsidR="003B7A42">
        <w:t xml:space="preserve"> - como en el caso del CUD, para la publicación de los presupuestos -</w:t>
      </w:r>
      <w:r w:rsidRPr="00C64997">
        <w:t xml:space="preserve">, a las cuentas anuales. La publicación de diferentes informaciones de naturaleza económica por remisión a las cuentas anuales presenta serios inconvenientes. El primer problema que plantea esta forma de publicar la información, es la dificultad de comprensión que documentos como </w:t>
      </w:r>
      <w:r w:rsidRPr="003B7A42">
        <w:t>las cuentas anuales, pueden tener para personas no especializadas. A ello se añade una segunda dificultad</w:t>
      </w:r>
      <w:r w:rsidRPr="00C64997">
        <w:t xml:space="preserve">, que es la localización de una información obligatoria concreta – por ejemplo, las subvenciones percibidas -, en un documento tan amplio y prolijo como las cuentas anuales. Este Consejo recuerda que la claridad y la accesibilidad, son dos atributos relativos a la calidad en la publicación de la información obligatoria, que establece la LTAIBG en su artículo 5.4.  </w:t>
      </w:r>
    </w:p>
    <w:p w:rsidR="00C64997" w:rsidRDefault="00C64997" w:rsidP="00C87A6A">
      <w:pPr>
        <w:spacing w:before="120" w:after="120" w:line="312" w:lineRule="auto"/>
        <w:jc w:val="both"/>
      </w:pPr>
    </w:p>
    <w:p w:rsidR="00C87A6A" w:rsidRDefault="00C87A6A" w:rsidP="00C87A6A">
      <w:pPr>
        <w:spacing w:before="120" w:after="120" w:line="312" w:lineRule="auto"/>
        <w:jc w:val="both"/>
        <w:rPr>
          <w:b/>
          <w:color w:val="00642D"/>
        </w:rPr>
      </w:pPr>
      <w:r w:rsidRPr="008E224F">
        <w:rPr>
          <w:b/>
          <w:color w:val="00642D"/>
        </w:rPr>
        <w:t>Incorporación de información</w:t>
      </w:r>
    </w:p>
    <w:p w:rsidR="00C87A6A" w:rsidRDefault="00C87A6A" w:rsidP="00C87A6A">
      <w:pPr>
        <w:spacing w:before="120" w:after="120" w:line="312" w:lineRule="auto"/>
        <w:jc w:val="both"/>
        <w:outlineLvl w:val="1"/>
        <w:rPr>
          <w:b/>
          <w:color w:val="00642D"/>
        </w:rPr>
      </w:pPr>
      <w:r w:rsidRPr="008C6237">
        <w:rPr>
          <w:b/>
          <w:color w:val="00642D"/>
        </w:rPr>
        <w:t xml:space="preserve">Información Institucional, Organizativa y de Planificación. </w:t>
      </w:r>
    </w:p>
    <w:p w:rsidR="00C87A6A" w:rsidRDefault="00C87A6A" w:rsidP="00C87A6A">
      <w:pPr>
        <w:pStyle w:val="Prrafodelista"/>
      </w:pPr>
    </w:p>
    <w:p w:rsidR="00C87A6A" w:rsidRPr="00C87A6A" w:rsidRDefault="00C87A6A" w:rsidP="00C87A6A">
      <w:pPr>
        <w:pStyle w:val="Prrafodelista"/>
        <w:numPr>
          <w:ilvl w:val="0"/>
          <w:numId w:val="8"/>
        </w:numPr>
        <w:jc w:val="both"/>
      </w:pPr>
      <w:r>
        <w:t xml:space="preserve">Debe </w:t>
      </w:r>
      <w:r w:rsidR="00D06199">
        <w:t xml:space="preserve">publicarse </w:t>
      </w:r>
      <w:r w:rsidR="001C7C32">
        <w:t>una descripción de la estructura organizativa del centro, incluyendo órganos de gobierno y de gestión.</w:t>
      </w:r>
    </w:p>
    <w:p w:rsidR="00C87A6A" w:rsidRDefault="00C87A6A" w:rsidP="00C87A6A">
      <w:pPr>
        <w:pStyle w:val="Prrafodelista"/>
        <w:rPr>
          <w:b/>
          <w:color w:val="00642D"/>
        </w:rPr>
      </w:pPr>
    </w:p>
    <w:p w:rsidR="00C87A6A" w:rsidRDefault="00C87A6A" w:rsidP="00C87A6A">
      <w:pPr>
        <w:spacing w:before="120" w:after="120" w:line="312" w:lineRule="auto"/>
        <w:jc w:val="both"/>
        <w:outlineLvl w:val="1"/>
        <w:rPr>
          <w:b/>
          <w:color w:val="00642D"/>
        </w:rPr>
      </w:pPr>
      <w:r w:rsidRPr="008C6237">
        <w:rPr>
          <w:b/>
          <w:color w:val="00642D"/>
        </w:rPr>
        <w:t>Información Económica, Presupuestaria y Estadística.</w:t>
      </w:r>
    </w:p>
    <w:p w:rsidR="00C87A6A" w:rsidRDefault="00C87A6A" w:rsidP="00C87A6A">
      <w:pPr>
        <w:pStyle w:val="Prrafodelista"/>
        <w:numPr>
          <w:ilvl w:val="0"/>
          <w:numId w:val="8"/>
        </w:numPr>
      </w:pPr>
      <w: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C87A6A" w:rsidRDefault="00C87A6A" w:rsidP="00C87A6A">
      <w:pPr>
        <w:pStyle w:val="Prrafodelista"/>
        <w:numPr>
          <w:ilvl w:val="0"/>
          <w:numId w:val="8"/>
        </w:numPr>
      </w:pPr>
      <w:r>
        <w:t xml:space="preserve">Debe publicarse la información estadística sobre el volumen de contratación </w:t>
      </w:r>
      <w:r w:rsidR="000D506C">
        <w:t xml:space="preserve">en términos presupuestarios y </w:t>
      </w:r>
      <w:r>
        <w:t>según procedimiento de licitación.</w:t>
      </w:r>
    </w:p>
    <w:p w:rsidR="00C87A6A" w:rsidRDefault="00C87A6A" w:rsidP="00C87A6A">
      <w:pPr>
        <w:pStyle w:val="Prrafodelista"/>
        <w:numPr>
          <w:ilvl w:val="0"/>
          <w:numId w:val="8"/>
        </w:numPr>
      </w:pPr>
      <w:r>
        <w:lastRenderedPageBreak/>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C87A6A" w:rsidRPr="00016C23" w:rsidRDefault="00C87A6A" w:rsidP="00C87A6A">
      <w:pPr>
        <w:pStyle w:val="Prrafodelista"/>
        <w:numPr>
          <w:ilvl w:val="0"/>
          <w:numId w:val="8"/>
        </w:numPr>
      </w:pPr>
      <w:r>
        <w:t xml:space="preserve">Debe </w:t>
      </w:r>
      <w:r w:rsidR="00D06199">
        <w:t>completarse la</w:t>
      </w:r>
      <w:r>
        <w:t xml:space="preserve"> información sobre convenios, </w:t>
      </w:r>
      <w:r w:rsidRPr="00016C23">
        <w:t>incluyendo todos los ítems informativo</w:t>
      </w:r>
      <w:r w:rsidR="00690988">
        <w:t>s</w:t>
      </w:r>
      <w:r w:rsidRPr="00016C23">
        <w:t xml:space="preserve"> que establec</w:t>
      </w:r>
      <w:r>
        <w:t>e la LTAIBG en su artículo 8.1.b</w:t>
      </w:r>
    </w:p>
    <w:p w:rsidR="00C87A6A" w:rsidRDefault="00C87A6A" w:rsidP="00C87A6A">
      <w:pPr>
        <w:pStyle w:val="Prrafodelista"/>
        <w:numPr>
          <w:ilvl w:val="0"/>
          <w:numId w:val="8"/>
        </w:numPr>
      </w:pPr>
      <w:r>
        <w:t>Debe publicarse información sobre las encomiendas de gestión, incluyendo todos los ítems informativo</w:t>
      </w:r>
      <w:r w:rsidR="00690988">
        <w:t>s</w:t>
      </w:r>
      <w:r>
        <w:t xml:space="preserve"> que establece la LTAIBG en su artículo 8.1.b</w:t>
      </w:r>
    </w:p>
    <w:p w:rsidR="00C87A6A" w:rsidRDefault="00C87A6A" w:rsidP="007F4346">
      <w:pPr>
        <w:pStyle w:val="Prrafodelista"/>
        <w:numPr>
          <w:ilvl w:val="0"/>
          <w:numId w:val="8"/>
        </w:numPr>
        <w:jc w:val="both"/>
      </w:pPr>
      <w:r>
        <w:t>Debe publicarse información sobre las subcontrataciones derivadas de las encomiendas de gestión.  Esta información sólo es  obtenible si se publica expresamente, ya que a partir</w:t>
      </w:r>
      <w:r w:rsidR="00690988">
        <w:t xml:space="preserve"> del documento de la encomienda</w:t>
      </w:r>
      <w:r>
        <w:t xml:space="preserve"> no es posible conocer el procedimiento de adjudicación de la </w:t>
      </w:r>
      <w:r w:rsidRPr="009C2A6A">
        <w:t>subcontratación</w:t>
      </w:r>
      <w:r>
        <w:t xml:space="preserve">, el adjudicatario y la cuantía, ítems informativos que establece la LTAIBG </w:t>
      </w:r>
      <w:r w:rsidRPr="007B22FB">
        <w:t>para esta obligación</w:t>
      </w:r>
      <w:r>
        <w:t>.</w:t>
      </w:r>
    </w:p>
    <w:p w:rsidR="00C87A6A" w:rsidRPr="00D06199" w:rsidRDefault="00C87A6A" w:rsidP="00C87A6A">
      <w:pPr>
        <w:pStyle w:val="Prrafodelista"/>
        <w:numPr>
          <w:ilvl w:val="0"/>
          <w:numId w:val="8"/>
        </w:numPr>
      </w:pPr>
      <w:r w:rsidRPr="00D06199">
        <w:t xml:space="preserve">Debe publicarse </w:t>
      </w:r>
      <w:r w:rsidR="007F4346" w:rsidRPr="00D06199">
        <w:t xml:space="preserve"> información sobre el  </w:t>
      </w:r>
      <w:r w:rsidRPr="00D06199">
        <w:t xml:space="preserve">presupuesto </w:t>
      </w:r>
      <w:r w:rsidR="001C7C32">
        <w:t>de manera diferenciada de las cuentas anuales</w:t>
      </w:r>
    </w:p>
    <w:p w:rsidR="00C87A6A" w:rsidRDefault="00C87A6A" w:rsidP="00C87A6A">
      <w:pPr>
        <w:pStyle w:val="Prrafodelista"/>
        <w:numPr>
          <w:ilvl w:val="0"/>
          <w:numId w:val="8"/>
        </w:numPr>
      </w:pPr>
      <w:r>
        <w:t xml:space="preserve">Debe publicarse </w:t>
      </w:r>
      <w:r w:rsidR="00D06199">
        <w:t xml:space="preserve">en la web del CUD </w:t>
      </w:r>
      <w:r>
        <w:t>información sobre las cuentas anuales</w:t>
      </w:r>
    </w:p>
    <w:p w:rsidR="00C87A6A" w:rsidRDefault="00C87A6A" w:rsidP="00C87A6A">
      <w:pPr>
        <w:pStyle w:val="Prrafodelista"/>
        <w:numPr>
          <w:ilvl w:val="0"/>
          <w:numId w:val="8"/>
        </w:numPr>
      </w:pPr>
      <w:r>
        <w:t>Deben publicarse los informes de auditoría y fiscalización elaborados por el Tribunal de Cuentas.</w:t>
      </w:r>
    </w:p>
    <w:p w:rsidR="00C87A6A" w:rsidRDefault="00C87A6A" w:rsidP="00C87A6A">
      <w:pPr>
        <w:pStyle w:val="Prrafodelista"/>
        <w:numPr>
          <w:ilvl w:val="0"/>
          <w:numId w:val="8"/>
        </w:numPr>
      </w:pPr>
      <w:r>
        <w:t>Debe publicarse información sobre las retribuciones percibidas por</w:t>
      </w:r>
      <w:r w:rsidR="00690988">
        <w:t xml:space="preserve"> todos</w:t>
      </w:r>
      <w:r>
        <w:t xml:space="preserve"> los máximos responsables</w:t>
      </w:r>
    </w:p>
    <w:p w:rsidR="00C87A6A" w:rsidRDefault="00C87A6A" w:rsidP="00C87A6A">
      <w:pPr>
        <w:pStyle w:val="Prrafodelista"/>
        <w:numPr>
          <w:ilvl w:val="0"/>
          <w:numId w:val="8"/>
        </w:numPr>
      </w:pPr>
      <w:r>
        <w:t>Debe publicarse información sobre las indemnizaciones percibidas por altos cargos y máximos responsables con ocasión del cese.</w:t>
      </w:r>
    </w:p>
    <w:p w:rsidR="007F4346" w:rsidRDefault="007F4346" w:rsidP="00C87A6A">
      <w:pPr>
        <w:pStyle w:val="Prrafodelista"/>
        <w:numPr>
          <w:ilvl w:val="0"/>
          <w:numId w:val="8"/>
        </w:numPr>
      </w:pPr>
      <w:r w:rsidRPr="00D06199">
        <w:t>Debe publicarse información sobre las autorizaciones para el ejercicio de actividades privadas tras el cese de altos cargos.</w:t>
      </w:r>
    </w:p>
    <w:p w:rsidR="00690988" w:rsidRPr="00111C48" w:rsidRDefault="00690988" w:rsidP="00690988"/>
    <w:p w:rsidR="00C87A6A" w:rsidRPr="008C6237" w:rsidRDefault="00C87A6A" w:rsidP="00C87A6A">
      <w:pPr>
        <w:spacing w:before="120" w:after="120" w:line="312" w:lineRule="auto"/>
        <w:jc w:val="both"/>
        <w:outlineLvl w:val="1"/>
        <w:rPr>
          <w:b/>
          <w:color w:val="00642D"/>
        </w:rPr>
      </w:pPr>
      <w:r w:rsidRPr="008C6237">
        <w:rPr>
          <w:b/>
          <w:color w:val="00642D"/>
        </w:rPr>
        <w:t>Calidad de la Información.</w:t>
      </w:r>
    </w:p>
    <w:p w:rsidR="00C87A6A" w:rsidRDefault="00C87A6A" w:rsidP="00C87A6A">
      <w:pPr>
        <w:pStyle w:val="Prrafodelista"/>
        <w:numPr>
          <w:ilvl w:val="0"/>
          <w:numId w:val="9"/>
        </w:numPr>
        <w:jc w:val="both"/>
      </w:pPr>
      <w:r>
        <w:t>Debería valorarse la publicación de cuadros-resumen en el caso de que se opte por la publicación de obligaciones como los contratos a través de fuentes centralizadas (Plataforma de Contratación del Sector Público, por ejemplo), incluyendo todos los ítems informativos que establece la LTAIBG en su artículo 8 a y b.</w:t>
      </w:r>
    </w:p>
    <w:p w:rsidR="00C87A6A" w:rsidRDefault="00C87A6A" w:rsidP="00C87A6A">
      <w:pPr>
        <w:pStyle w:val="Prrafodelista"/>
        <w:numPr>
          <w:ilvl w:val="0"/>
          <w:numId w:val="9"/>
        </w:numPr>
        <w:jc w:val="both"/>
      </w:pPr>
      <w:r>
        <w:t>Se reitera la recomendación de que en el caso de que no hubiera información que publicar, se señale expresamente esta circunstancia.</w:t>
      </w:r>
    </w:p>
    <w:p w:rsidR="00C87A6A" w:rsidRDefault="00C87A6A" w:rsidP="00C87A6A">
      <w:pPr>
        <w:pStyle w:val="Prrafodelista"/>
        <w:numPr>
          <w:ilvl w:val="0"/>
          <w:numId w:val="9"/>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CA4FB1" w:rsidRDefault="00CA4FB1"/>
    <w:p w:rsidR="00FE29BC" w:rsidRDefault="003B7A42" w:rsidP="003B7A42">
      <w:pPr>
        <w:ind w:left="7080" w:firstLine="708"/>
      </w:pPr>
      <w:r>
        <w:t>Madrid, mayo de 2023</w:t>
      </w:r>
    </w:p>
    <w:p w:rsidR="00FE29BC" w:rsidRDefault="00FE29BC"/>
    <w:p w:rsidR="00FE29BC" w:rsidRDefault="00FE29BC"/>
    <w:p w:rsidR="00CA4FB1" w:rsidRPr="00CA4FB1" w:rsidRDefault="00A92D72"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DD342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DD342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DD342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DD342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DD342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DD342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DD342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DD342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DD342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DD342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DD342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DD342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DD342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DD342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DD342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DD342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DD342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DD342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DD342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DD342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DD342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DD342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DD342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DD342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DD342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DD342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72" w:rsidRDefault="00A92D72" w:rsidP="00932008">
      <w:pPr>
        <w:spacing w:after="0" w:line="240" w:lineRule="auto"/>
      </w:pPr>
      <w:r>
        <w:separator/>
      </w:r>
    </w:p>
  </w:endnote>
  <w:endnote w:type="continuationSeparator" w:id="0">
    <w:p w:rsidR="00A92D72" w:rsidRDefault="00A92D7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72" w:rsidRDefault="00A92D72" w:rsidP="00932008">
      <w:pPr>
        <w:spacing w:after="0" w:line="240" w:lineRule="auto"/>
      </w:pPr>
      <w:r>
        <w:separator/>
      </w:r>
    </w:p>
  </w:footnote>
  <w:footnote w:type="continuationSeparator" w:id="0">
    <w:p w:rsidR="00A92D72" w:rsidRDefault="00A92D72"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72" w:rsidRDefault="00A92D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60" type="#_x0000_t75" style="width:11.25pt;height:11.25pt" o:bullet="t">
        <v:imagedata r:id="rId1" o:title="BD14654_"/>
      </v:shape>
    </w:pict>
  </w:numPicBullet>
  <w:numPicBullet w:numPicBulletId="1">
    <w:pict>
      <v:shape id="_x0000_i2961" type="#_x0000_t75" style="width:9pt;height:9pt" o:bullet="t">
        <v:imagedata r:id="rId2" o:title="BD14533_"/>
      </v:shape>
    </w:pict>
  </w:numPicBullet>
  <w:abstractNum w:abstractNumId="0">
    <w:nsid w:val="0D6C121D"/>
    <w:multiLevelType w:val="hybridMultilevel"/>
    <w:tmpl w:val="A0926C10"/>
    <w:lvl w:ilvl="0" w:tplc="58C86A0E">
      <w:start w:val="1"/>
      <w:numFmt w:val="bullet"/>
      <w:lvlText w:val=""/>
      <w:lvlJc w:val="right"/>
      <w:pPr>
        <w:ind w:left="1145" w:hanging="360"/>
      </w:pPr>
      <w:rPr>
        <w:rFonts w:ascii="Wingdings" w:hAnsi="Wingdings" w:hint="default"/>
        <w:color w:val="00B050"/>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
    <w:nsid w:val="11A77A26"/>
    <w:multiLevelType w:val="hybridMultilevel"/>
    <w:tmpl w:val="C95C761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281D64"/>
    <w:multiLevelType w:val="hybridMultilevel"/>
    <w:tmpl w:val="6248EEA2"/>
    <w:lvl w:ilvl="0" w:tplc="B7C2270E">
      <w:start w:val="1"/>
      <w:numFmt w:val="bullet"/>
      <w:lvlText w:val=""/>
      <w:lvlPicBulletId w:val="1"/>
      <w:lvlJc w:val="left"/>
      <w:pPr>
        <w:ind w:left="785"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535686"/>
    <w:multiLevelType w:val="hybridMultilevel"/>
    <w:tmpl w:val="3EC46690"/>
    <w:lvl w:ilvl="0" w:tplc="6A3AB4BA">
      <w:start w:val="1"/>
      <w:numFmt w:val="bullet"/>
      <w:lvlText w:val=""/>
      <w:lvlJc w:val="center"/>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5518FF"/>
    <w:multiLevelType w:val="hybridMultilevel"/>
    <w:tmpl w:val="63CE763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912FCB"/>
    <w:multiLevelType w:val="hybridMultilevel"/>
    <w:tmpl w:val="87A8B88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0F7CE3"/>
    <w:multiLevelType w:val="hybridMultilevel"/>
    <w:tmpl w:val="B770F4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67032D"/>
    <w:multiLevelType w:val="hybridMultilevel"/>
    <w:tmpl w:val="CC86EEEE"/>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33352D24"/>
    <w:multiLevelType w:val="hybridMultilevel"/>
    <w:tmpl w:val="6ABE93A2"/>
    <w:lvl w:ilvl="0" w:tplc="58C86A0E">
      <w:start w:val="1"/>
      <w:numFmt w:val="bullet"/>
      <w:lvlText w:val=""/>
      <w:lvlJc w:val="right"/>
      <w:pPr>
        <w:ind w:left="1145" w:hanging="360"/>
      </w:pPr>
      <w:rPr>
        <w:rFonts w:ascii="Wingdings" w:hAnsi="Wingdings" w:hint="default"/>
        <w:color w:val="00B050"/>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0">
    <w:nsid w:val="437475D7"/>
    <w:multiLevelType w:val="hybridMultilevel"/>
    <w:tmpl w:val="099E716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272A7D"/>
    <w:multiLevelType w:val="hybridMultilevel"/>
    <w:tmpl w:val="667E8FB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615BAF"/>
    <w:multiLevelType w:val="hybridMultilevel"/>
    <w:tmpl w:val="48540E82"/>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09B34D2"/>
    <w:multiLevelType w:val="hybridMultilevel"/>
    <w:tmpl w:val="8D9AE350"/>
    <w:lvl w:ilvl="0" w:tplc="10D6301C">
      <w:start w:val="1"/>
      <w:numFmt w:val="bullet"/>
      <w:lvlText w:val=""/>
      <w:lvlJc w:val="left"/>
      <w:pPr>
        <w:ind w:left="785"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340480"/>
    <w:multiLevelType w:val="hybridMultilevel"/>
    <w:tmpl w:val="80ACC804"/>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16"/>
  </w:num>
  <w:num w:numId="5">
    <w:abstractNumId w:val="10"/>
  </w:num>
  <w:num w:numId="6">
    <w:abstractNumId w:val="17"/>
  </w:num>
  <w:num w:numId="7">
    <w:abstractNumId w:val="7"/>
  </w:num>
  <w:num w:numId="8">
    <w:abstractNumId w:val="15"/>
  </w:num>
  <w:num w:numId="9">
    <w:abstractNumId w:val="18"/>
  </w:num>
  <w:num w:numId="10">
    <w:abstractNumId w:val="12"/>
  </w:num>
  <w:num w:numId="11">
    <w:abstractNumId w:val="3"/>
  </w:num>
  <w:num w:numId="12">
    <w:abstractNumId w:val="8"/>
  </w:num>
  <w:num w:numId="13">
    <w:abstractNumId w:val="2"/>
  </w:num>
  <w:num w:numId="14">
    <w:abstractNumId w:val="11"/>
  </w:num>
  <w:num w:numId="15">
    <w:abstractNumId w:val="0"/>
  </w:num>
  <w:num w:numId="16">
    <w:abstractNumId w:val="9"/>
  </w:num>
  <w:num w:numId="17">
    <w:abstractNumId w:val="6"/>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7E52"/>
    <w:rsid w:val="000405C6"/>
    <w:rsid w:val="00094305"/>
    <w:rsid w:val="000965B3"/>
    <w:rsid w:val="000C6CFF"/>
    <w:rsid w:val="000D37BA"/>
    <w:rsid w:val="000D506C"/>
    <w:rsid w:val="00102733"/>
    <w:rsid w:val="001561A4"/>
    <w:rsid w:val="001C7C32"/>
    <w:rsid w:val="002011F8"/>
    <w:rsid w:val="0025087C"/>
    <w:rsid w:val="002A154B"/>
    <w:rsid w:val="002B49B5"/>
    <w:rsid w:val="00386B17"/>
    <w:rsid w:val="0039504F"/>
    <w:rsid w:val="003B7A42"/>
    <w:rsid w:val="003F271E"/>
    <w:rsid w:val="003F572A"/>
    <w:rsid w:val="003F7E41"/>
    <w:rsid w:val="00406B60"/>
    <w:rsid w:val="004F2655"/>
    <w:rsid w:val="00521DA9"/>
    <w:rsid w:val="00526FEE"/>
    <w:rsid w:val="00544E0C"/>
    <w:rsid w:val="00561402"/>
    <w:rsid w:val="005703AD"/>
    <w:rsid w:val="00574817"/>
    <w:rsid w:val="0057532F"/>
    <w:rsid w:val="005B19E4"/>
    <w:rsid w:val="005E55FC"/>
    <w:rsid w:val="005F29B8"/>
    <w:rsid w:val="00603DE8"/>
    <w:rsid w:val="006246AB"/>
    <w:rsid w:val="00671D67"/>
    <w:rsid w:val="00686C9A"/>
    <w:rsid w:val="00690988"/>
    <w:rsid w:val="006A2766"/>
    <w:rsid w:val="006D59A4"/>
    <w:rsid w:val="006E5667"/>
    <w:rsid w:val="00710031"/>
    <w:rsid w:val="00712984"/>
    <w:rsid w:val="00717836"/>
    <w:rsid w:val="007204A6"/>
    <w:rsid w:val="00743756"/>
    <w:rsid w:val="0077658D"/>
    <w:rsid w:val="00781BB7"/>
    <w:rsid w:val="007A43E8"/>
    <w:rsid w:val="007B0F99"/>
    <w:rsid w:val="007E528C"/>
    <w:rsid w:val="007F4346"/>
    <w:rsid w:val="008153B0"/>
    <w:rsid w:val="00844FA9"/>
    <w:rsid w:val="0085358A"/>
    <w:rsid w:val="008576CD"/>
    <w:rsid w:val="008C1E1E"/>
    <w:rsid w:val="008E503C"/>
    <w:rsid w:val="009111AB"/>
    <w:rsid w:val="0092723A"/>
    <w:rsid w:val="00932008"/>
    <w:rsid w:val="00934C4C"/>
    <w:rsid w:val="009609E9"/>
    <w:rsid w:val="00964420"/>
    <w:rsid w:val="009C7425"/>
    <w:rsid w:val="009F5EF6"/>
    <w:rsid w:val="00A1685A"/>
    <w:rsid w:val="00A20542"/>
    <w:rsid w:val="00A92D72"/>
    <w:rsid w:val="00A94F4C"/>
    <w:rsid w:val="00AD2022"/>
    <w:rsid w:val="00B40246"/>
    <w:rsid w:val="00B47AC9"/>
    <w:rsid w:val="00B841AE"/>
    <w:rsid w:val="00B963FD"/>
    <w:rsid w:val="00BB6799"/>
    <w:rsid w:val="00BD4582"/>
    <w:rsid w:val="00BE6A46"/>
    <w:rsid w:val="00C33A23"/>
    <w:rsid w:val="00C5744D"/>
    <w:rsid w:val="00C64997"/>
    <w:rsid w:val="00C65B5B"/>
    <w:rsid w:val="00C87A6A"/>
    <w:rsid w:val="00C941B5"/>
    <w:rsid w:val="00CA4FB1"/>
    <w:rsid w:val="00CB5511"/>
    <w:rsid w:val="00CC2049"/>
    <w:rsid w:val="00CE7036"/>
    <w:rsid w:val="00D06199"/>
    <w:rsid w:val="00D103EF"/>
    <w:rsid w:val="00D16D12"/>
    <w:rsid w:val="00D31624"/>
    <w:rsid w:val="00D95FBE"/>
    <w:rsid w:val="00D96F84"/>
    <w:rsid w:val="00DD3423"/>
    <w:rsid w:val="00DF5F2A"/>
    <w:rsid w:val="00DF63E7"/>
    <w:rsid w:val="00E3088D"/>
    <w:rsid w:val="00E34195"/>
    <w:rsid w:val="00E37AEC"/>
    <w:rsid w:val="00E47613"/>
    <w:rsid w:val="00E67B45"/>
    <w:rsid w:val="00EC7F7C"/>
    <w:rsid w:val="00F14DA4"/>
    <w:rsid w:val="00F26C50"/>
    <w:rsid w:val="00F47C3B"/>
    <w:rsid w:val="00F57523"/>
    <w:rsid w:val="00F71D7D"/>
    <w:rsid w:val="00FE0FC5"/>
    <w:rsid w:val="00FE29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26FEE"/>
    <w:rPr>
      <w:color w:val="0000FF" w:themeColor="hyperlink"/>
      <w:u w:val="single"/>
    </w:rPr>
  </w:style>
  <w:style w:type="paragraph" w:styleId="Prrafodelista">
    <w:name w:val="List Paragraph"/>
    <w:basedOn w:val="Normal"/>
    <w:uiPriority w:val="34"/>
    <w:qFormat/>
    <w:rsid w:val="00D95FBE"/>
    <w:pPr>
      <w:ind w:left="720"/>
      <w:contextualSpacing/>
    </w:pPr>
  </w:style>
  <w:style w:type="character" w:styleId="Refdecomentario">
    <w:name w:val="annotation reference"/>
    <w:basedOn w:val="Fuentedeprrafopredeter"/>
    <w:uiPriority w:val="99"/>
    <w:semiHidden/>
    <w:unhideWhenUsed/>
    <w:rsid w:val="00574817"/>
    <w:rPr>
      <w:sz w:val="16"/>
      <w:szCs w:val="16"/>
    </w:rPr>
  </w:style>
  <w:style w:type="paragraph" w:styleId="Textocomentario">
    <w:name w:val="annotation text"/>
    <w:basedOn w:val="Normal"/>
    <w:link w:val="TextocomentarioCar"/>
    <w:uiPriority w:val="99"/>
    <w:semiHidden/>
    <w:unhideWhenUsed/>
    <w:rsid w:val="005748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481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74817"/>
    <w:rPr>
      <w:b/>
      <w:bCs/>
    </w:rPr>
  </w:style>
  <w:style w:type="character" w:customStyle="1" w:styleId="AsuntodelcomentarioCar">
    <w:name w:val="Asunto del comentario Car"/>
    <w:basedOn w:val="TextocomentarioCar"/>
    <w:link w:val="Asuntodelcomentario"/>
    <w:uiPriority w:val="99"/>
    <w:semiHidden/>
    <w:rsid w:val="00574817"/>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26FEE"/>
    <w:rPr>
      <w:color w:val="0000FF" w:themeColor="hyperlink"/>
      <w:u w:val="single"/>
    </w:rPr>
  </w:style>
  <w:style w:type="paragraph" w:styleId="Prrafodelista">
    <w:name w:val="List Paragraph"/>
    <w:basedOn w:val="Normal"/>
    <w:uiPriority w:val="34"/>
    <w:qFormat/>
    <w:rsid w:val="00D95FBE"/>
    <w:pPr>
      <w:ind w:left="720"/>
      <w:contextualSpacing/>
    </w:pPr>
  </w:style>
  <w:style w:type="character" w:styleId="Refdecomentario">
    <w:name w:val="annotation reference"/>
    <w:basedOn w:val="Fuentedeprrafopredeter"/>
    <w:uiPriority w:val="99"/>
    <w:semiHidden/>
    <w:unhideWhenUsed/>
    <w:rsid w:val="00574817"/>
    <w:rPr>
      <w:sz w:val="16"/>
      <w:szCs w:val="16"/>
    </w:rPr>
  </w:style>
  <w:style w:type="paragraph" w:styleId="Textocomentario">
    <w:name w:val="annotation text"/>
    <w:basedOn w:val="Normal"/>
    <w:link w:val="TextocomentarioCar"/>
    <w:uiPriority w:val="99"/>
    <w:semiHidden/>
    <w:unhideWhenUsed/>
    <w:rsid w:val="005748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481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74817"/>
    <w:rPr>
      <w:b/>
      <w:bCs/>
    </w:rPr>
  </w:style>
  <w:style w:type="character" w:customStyle="1" w:styleId="AsuntodelcomentarioCar">
    <w:name w:val="Asunto del comentario Car"/>
    <w:basedOn w:val="TextocomentarioCar"/>
    <w:link w:val="Asuntodelcomentario"/>
    <w:uiPriority w:val="99"/>
    <w:semiHidden/>
    <w:rsid w:val="0057481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27A33"/>
    <w:rsid w:val="00043360"/>
    <w:rsid w:val="0013771E"/>
    <w:rsid w:val="00140D1F"/>
    <w:rsid w:val="003D088C"/>
    <w:rsid w:val="004F291A"/>
    <w:rsid w:val="00683329"/>
    <w:rsid w:val="00892BF5"/>
    <w:rsid w:val="009C2FB4"/>
    <w:rsid w:val="00B3019B"/>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0BC1C4A-BEEB-427D-A9FA-F7EBB355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1131</TotalTime>
  <Pages>13</Pages>
  <Words>3072</Words>
  <Characters>16897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9</cp:revision>
  <cp:lastPrinted>2007-10-26T10:03:00Z</cp:lastPrinted>
  <dcterms:created xsi:type="dcterms:W3CDTF">2023-03-22T15:30:00Z</dcterms:created>
  <dcterms:modified xsi:type="dcterms:W3CDTF">2023-06-16T11:19:00Z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