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C0" w:rsidRDefault="003B5E5B"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B27FC0" w:rsidRPr="007F1D56">
                                  <w:rPr>
                                    <w:rFonts w:ascii="Century Gothic" w:hAnsi="Century Gothic"/>
                                    <w:sz w:val="40"/>
                                    <w:szCs w:val="40"/>
                                  </w:rPr>
                                  <w:t>Informe de r</w:t>
                                </w:r>
                                <w:r w:rsidR="00B27FC0" w:rsidRPr="007F1D56">
                                  <w:rPr>
                                    <w:rFonts w:ascii="Century Gothic" w:hAnsi="Century Gothic"/>
                                    <w:sz w:val="40"/>
                                    <w:szCs w:val="40"/>
                                    <w:lang w:bidi="es-ES"/>
                                  </w:rPr>
                                  <w:t xml:space="preserve">evisión  del cumplimiento de las recomendaciones efectuadas por el CTBG en materia de Publicidad Activa  por parte </w:t>
                                </w:r>
                                <w:r w:rsidR="00B27FC0">
                                  <w:rPr>
                                    <w:rFonts w:ascii="Century Gothic" w:hAnsi="Century Gothic"/>
                                    <w:sz w:val="40"/>
                                    <w:szCs w:val="40"/>
                                    <w:lang w:bidi="es-ES"/>
                                  </w:rPr>
                                  <w:t xml:space="preserve">de  SECEGSA, SME </w:t>
                                </w:r>
                              </w:sdtContent>
                            </w:sdt>
                            <w:r w:rsidR="00B27FC0"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B27FC0" w:rsidRDefault="003B5E5B"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B27FC0" w:rsidRPr="007F1D56">
                            <w:rPr>
                              <w:rFonts w:ascii="Century Gothic" w:hAnsi="Century Gothic"/>
                              <w:sz w:val="40"/>
                              <w:szCs w:val="40"/>
                            </w:rPr>
                            <w:t>Informe de r</w:t>
                          </w:r>
                          <w:r w:rsidR="00B27FC0" w:rsidRPr="007F1D56">
                            <w:rPr>
                              <w:rFonts w:ascii="Century Gothic" w:hAnsi="Century Gothic"/>
                              <w:sz w:val="40"/>
                              <w:szCs w:val="40"/>
                              <w:lang w:bidi="es-ES"/>
                            </w:rPr>
                            <w:t xml:space="preserve">evisión  del cumplimiento de las recomendaciones efectuadas por el CTBG en materia de Publicidad Activa  por parte </w:t>
                          </w:r>
                          <w:r w:rsidR="00B27FC0">
                            <w:rPr>
                              <w:rFonts w:ascii="Century Gothic" w:hAnsi="Century Gothic"/>
                              <w:sz w:val="40"/>
                              <w:szCs w:val="40"/>
                              <w:lang w:bidi="es-ES"/>
                            </w:rPr>
                            <w:t xml:space="preserve">de  SECEGSA, SME </w:t>
                          </w:r>
                        </w:sdtContent>
                      </w:sdt>
                      <w:r w:rsidR="00B27FC0"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27FC0" w:rsidRDefault="00B27FC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27FC0" w:rsidRDefault="00B27FC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3B5E5B" w:rsidRDefault="003B5E5B" w:rsidP="00415DBD">
      <w:pPr>
        <w:spacing w:before="120" w:after="120" w:line="312" w:lineRule="auto"/>
        <w:ind w:right="-2"/>
        <w:jc w:val="both"/>
        <w:rPr>
          <w:rFonts w:cs="Arial"/>
          <w:szCs w:val="22"/>
        </w:rPr>
      </w:pPr>
    </w:p>
    <w:tbl>
      <w:tblPr>
        <w:tblStyle w:val="Tablaconcuadrcula1"/>
        <w:tblW w:w="0" w:type="auto"/>
        <w:tblLook w:val="04A0" w:firstRow="1" w:lastRow="0" w:firstColumn="1" w:lastColumn="0" w:noHBand="0" w:noVBand="1"/>
      </w:tblPr>
      <w:tblGrid>
        <w:gridCol w:w="5348"/>
        <w:gridCol w:w="5348"/>
      </w:tblGrid>
      <w:tr w:rsidR="003B5E5B" w:rsidRPr="00BB34D1" w:rsidTr="006A26B2">
        <w:tc>
          <w:tcPr>
            <w:tcW w:w="5348" w:type="dxa"/>
            <w:tcBorders>
              <w:top w:val="single" w:sz="4" w:space="0" w:color="auto"/>
              <w:left w:val="single" w:sz="4" w:space="0" w:color="auto"/>
              <w:bottom w:val="single" w:sz="4" w:space="0" w:color="auto"/>
              <w:right w:val="single" w:sz="4" w:space="0" w:color="auto"/>
            </w:tcBorders>
            <w:hideMark/>
          </w:tcPr>
          <w:p w:rsidR="003B5E5B" w:rsidRPr="00BB34D1" w:rsidRDefault="003B5E5B" w:rsidP="006A26B2">
            <w:r w:rsidRPr="00BB34D1">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3B5E5B" w:rsidRPr="00BB34D1" w:rsidRDefault="003B5E5B" w:rsidP="006A26B2">
            <w:r>
              <w:t>20</w:t>
            </w:r>
            <w:r w:rsidRPr="00BB34D1">
              <w:t>/04/2023</w:t>
            </w:r>
          </w:p>
          <w:p w:rsidR="003B5E5B" w:rsidRPr="00BB34D1" w:rsidRDefault="003B5E5B" w:rsidP="006A26B2">
            <w:r w:rsidRPr="00BB34D1">
              <w:t>Segunda revisión: 16/05/2023</w:t>
            </w:r>
          </w:p>
        </w:tc>
      </w:tr>
    </w:tbl>
    <w:p w:rsidR="003B5E5B" w:rsidRDefault="003B5E5B" w:rsidP="00415DBD">
      <w:pPr>
        <w:spacing w:before="120" w:after="120" w:line="312" w:lineRule="auto"/>
        <w:ind w:right="-2"/>
        <w:jc w:val="both"/>
        <w:rPr>
          <w:rFonts w:cs="Arial"/>
          <w:szCs w:val="22"/>
        </w:rPr>
        <w:sectPr w:rsidR="003B5E5B" w:rsidSect="00F31BC3">
          <w:pgSz w:w="11906" w:h="16838" w:code="9"/>
          <w:pgMar w:top="1440" w:right="630" w:bottom="1440" w:left="720" w:header="720" w:footer="720" w:gutter="0"/>
          <w:cols w:space="720"/>
          <w:docGrid w:linePitch="326"/>
        </w:sectPr>
      </w:pPr>
    </w:p>
    <w:p w:rsidR="00415DBD" w:rsidRPr="00B1184C" w:rsidRDefault="00415DBD" w:rsidP="00415DBD">
      <w:bookmarkStart w:id="0" w:name="_GoBack"/>
      <w:bookmarkEnd w:id="0"/>
    </w:p>
    <w:p w:rsidR="0082470D" w:rsidRPr="002D27E4" w:rsidRDefault="003B5E5B"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8918C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F65739" w:rsidRDefault="00A249BB" w:rsidP="00F65739">
            <w:pPr>
              <w:ind w:left="360"/>
              <w:jc w:val="center"/>
              <w:rPr>
                <w:sz w:val="18"/>
                <w:szCs w:val="18"/>
              </w:rPr>
            </w:pPr>
          </w:p>
        </w:tc>
        <w:tc>
          <w:tcPr>
            <w:tcW w:w="2777" w:type="dxa"/>
          </w:tcPr>
          <w:p w:rsidR="00A249BB" w:rsidRPr="007465AA" w:rsidRDefault="00A249BB" w:rsidP="006A5B1C">
            <w:pPr>
              <w:rPr>
                <w:sz w:val="18"/>
                <w:szCs w:val="18"/>
              </w:rPr>
            </w:pPr>
          </w:p>
        </w:tc>
      </w:tr>
      <w:tr w:rsidR="0092389F" w:rsidRPr="007465AA" w:rsidTr="0092389F">
        <w:tc>
          <w:tcPr>
            <w:tcW w:w="1668" w:type="dxa"/>
            <w:vMerge w:val="restart"/>
            <w:vAlign w:val="center"/>
          </w:tcPr>
          <w:p w:rsidR="0092389F" w:rsidRPr="00E07201" w:rsidRDefault="0092389F"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92389F" w:rsidRPr="00505719" w:rsidRDefault="0092389F" w:rsidP="0092389F">
            <w:pPr>
              <w:rPr>
                <w:sz w:val="18"/>
                <w:szCs w:val="18"/>
              </w:rPr>
            </w:pPr>
            <w:r>
              <w:rPr>
                <w:sz w:val="18"/>
                <w:szCs w:val="18"/>
              </w:rPr>
              <w:t>Descripción de la estructura organizativa</w:t>
            </w:r>
          </w:p>
        </w:tc>
        <w:tc>
          <w:tcPr>
            <w:tcW w:w="709" w:type="dxa"/>
          </w:tcPr>
          <w:p w:rsidR="0092389F" w:rsidRPr="00F65739" w:rsidRDefault="0092389F" w:rsidP="00F65739">
            <w:pPr>
              <w:ind w:left="360"/>
              <w:rPr>
                <w:sz w:val="18"/>
                <w:szCs w:val="18"/>
              </w:rPr>
            </w:pPr>
          </w:p>
        </w:tc>
        <w:tc>
          <w:tcPr>
            <w:tcW w:w="2777" w:type="dxa"/>
          </w:tcPr>
          <w:p w:rsidR="0092389F" w:rsidRDefault="00F65739" w:rsidP="0092389F">
            <w:pPr>
              <w:rPr>
                <w:sz w:val="18"/>
                <w:szCs w:val="18"/>
              </w:rPr>
            </w:pPr>
            <w:r>
              <w:rPr>
                <w:sz w:val="18"/>
                <w:szCs w:val="18"/>
              </w:rPr>
              <w:t>No</w:t>
            </w:r>
          </w:p>
        </w:tc>
      </w:tr>
      <w:tr w:rsidR="0092389F" w:rsidRPr="007465AA" w:rsidTr="007465AA">
        <w:tc>
          <w:tcPr>
            <w:tcW w:w="1668" w:type="dxa"/>
            <w:vMerge/>
            <w:vAlign w:val="center"/>
          </w:tcPr>
          <w:p w:rsidR="0092389F" w:rsidRPr="00E07201" w:rsidRDefault="0092389F" w:rsidP="001521CD">
            <w:pPr>
              <w:rPr>
                <w:sz w:val="18"/>
                <w:szCs w:val="18"/>
              </w:rPr>
            </w:pPr>
          </w:p>
        </w:tc>
        <w:tc>
          <w:tcPr>
            <w:tcW w:w="5528" w:type="dxa"/>
          </w:tcPr>
          <w:p w:rsidR="0092389F" w:rsidRPr="00505719" w:rsidRDefault="0092389F" w:rsidP="00027CF0">
            <w:pPr>
              <w:rPr>
                <w:sz w:val="18"/>
                <w:szCs w:val="18"/>
              </w:rPr>
            </w:pPr>
            <w:r>
              <w:rPr>
                <w:sz w:val="18"/>
                <w:szCs w:val="18"/>
              </w:rPr>
              <w:t>Contratos mayores</w:t>
            </w:r>
            <w:r w:rsidR="00F65739">
              <w:rPr>
                <w:sz w:val="18"/>
                <w:szCs w:val="18"/>
              </w:rPr>
              <w:t>: publicación en la web de la entidad</w:t>
            </w:r>
            <w:r w:rsidR="00027CF0">
              <w:rPr>
                <w:sz w:val="18"/>
                <w:szCs w:val="18"/>
              </w:rPr>
              <w:t xml:space="preserve"> o al menos, enlace al perfil del contratante de la entidad</w:t>
            </w:r>
          </w:p>
        </w:tc>
        <w:tc>
          <w:tcPr>
            <w:tcW w:w="709" w:type="dxa"/>
          </w:tcPr>
          <w:p w:rsidR="0092389F" w:rsidRPr="00505719" w:rsidRDefault="0092389F" w:rsidP="00505719">
            <w:pPr>
              <w:pStyle w:val="Prrafodelista"/>
              <w:numPr>
                <w:ilvl w:val="0"/>
                <w:numId w:val="27"/>
              </w:numPr>
              <w:rPr>
                <w:sz w:val="18"/>
                <w:szCs w:val="18"/>
              </w:rPr>
            </w:pPr>
          </w:p>
        </w:tc>
        <w:tc>
          <w:tcPr>
            <w:tcW w:w="2777" w:type="dxa"/>
          </w:tcPr>
          <w:p w:rsidR="0092389F" w:rsidRDefault="0092389F" w:rsidP="00027CF0">
            <w:pPr>
              <w:rPr>
                <w:sz w:val="18"/>
                <w:szCs w:val="18"/>
              </w:rPr>
            </w:pPr>
            <w:r>
              <w:rPr>
                <w:sz w:val="18"/>
                <w:szCs w:val="18"/>
              </w:rPr>
              <w:t xml:space="preserve">Si, </w:t>
            </w:r>
            <w:r w:rsidR="00027CF0">
              <w:rPr>
                <w:sz w:val="18"/>
                <w:szCs w:val="18"/>
              </w:rPr>
              <w:t>enlaza al perfil del contratante de la entidad en la Plataforma de Contratación del Sector Público.</w:t>
            </w:r>
          </w:p>
        </w:tc>
      </w:tr>
      <w:tr w:rsidR="00F65739" w:rsidRPr="007465AA" w:rsidTr="007465AA">
        <w:tc>
          <w:tcPr>
            <w:tcW w:w="1668" w:type="dxa"/>
            <w:vMerge/>
            <w:vAlign w:val="center"/>
          </w:tcPr>
          <w:p w:rsidR="00F65739" w:rsidRPr="007465AA" w:rsidRDefault="00F65739" w:rsidP="001521CD">
            <w:pPr>
              <w:rPr>
                <w:sz w:val="18"/>
                <w:szCs w:val="18"/>
              </w:rPr>
            </w:pPr>
          </w:p>
        </w:tc>
        <w:tc>
          <w:tcPr>
            <w:tcW w:w="5528" w:type="dxa"/>
          </w:tcPr>
          <w:p w:rsidR="00F65739" w:rsidRPr="007465AA" w:rsidRDefault="00F65739" w:rsidP="0092389F">
            <w:pPr>
              <w:rPr>
                <w:sz w:val="18"/>
                <w:szCs w:val="18"/>
              </w:rPr>
            </w:pPr>
            <w:r>
              <w:rPr>
                <w:sz w:val="18"/>
                <w:szCs w:val="18"/>
              </w:rPr>
              <w:t>Modificaciones de contratos</w:t>
            </w:r>
          </w:p>
        </w:tc>
        <w:tc>
          <w:tcPr>
            <w:tcW w:w="709" w:type="dxa"/>
          </w:tcPr>
          <w:p w:rsidR="00F65739" w:rsidRPr="00505719" w:rsidRDefault="00F65739" w:rsidP="00505719">
            <w:pPr>
              <w:pStyle w:val="Prrafodelista"/>
              <w:numPr>
                <w:ilvl w:val="0"/>
                <w:numId w:val="27"/>
              </w:numPr>
              <w:rPr>
                <w:sz w:val="18"/>
                <w:szCs w:val="18"/>
              </w:rPr>
            </w:pPr>
          </w:p>
        </w:tc>
        <w:tc>
          <w:tcPr>
            <w:tcW w:w="2777" w:type="dxa"/>
          </w:tcPr>
          <w:p w:rsidR="00F65739" w:rsidRDefault="00F65739" w:rsidP="00027CF0">
            <w:pPr>
              <w:rPr>
                <w:sz w:val="18"/>
                <w:szCs w:val="18"/>
              </w:rPr>
            </w:pPr>
            <w:r>
              <w:rPr>
                <w:sz w:val="18"/>
                <w:szCs w:val="18"/>
              </w:rPr>
              <w:t>Si, se inform</w:t>
            </w:r>
            <w:r w:rsidR="00027CF0">
              <w:rPr>
                <w:sz w:val="18"/>
                <w:szCs w:val="18"/>
              </w:rPr>
              <w:t>a de que en los ejercicios 2021,</w:t>
            </w:r>
            <w:r>
              <w:rPr>
                <w:sz w:val="18"/>
                <w:szCs w:val="18"/>
              </w:rPr>
              <w:t xml:space="preserve">2022 </w:t>
            </w:r>
            <w:r w:rsidR="00027CF0">
              <w:rPr>
                <w:sz w:val="18"/>
                <w:szCs w:val="18"/>
              </w:rPr>
              <w:t xml:space="preserve">y 2023 </w:t>
            </w:r>
            <w:r>
              <w:rPr>
                <w:sz w:val="18"/>
                <w:szCs w:val="18"/>
              </w:rPr>
              <w:t>no se han producido modificaciones</w:t>
            </w:r>
          </w:p>
        </w:tc>
      </w:tr>
      <w:tr w:rsidR="00F65739" w:rsidRPr="007465AA" w:rsidTr="007465AA">
        <w:tc>
          <w:tcPr>
            <w:tcW w:w="1668" w:type="dxa"/>
            <w:vMerge/>
            <w:vAlign w:val="center"/>
          </w:tcPr>
          <w:p w:rsidR="00F65739" w:rsidRPr="007465AA" w:rsidRDefault="00F65739" w:rsidP="001521CD">
            <w:pPr>
              <w:rPr>
                <w:sz w:val="18"/>
                <w:szCs w:val="18"/>
              </w:rPr>
            </w:pPr>
          </w:p>
        </w:tc>
        <w:tc>
          <w:tcPr>
            <w:tcW w:w="5528" w:type="dxa"/>
          </w:tcPr>
          <w:p w:rsidR="00F65739" w:rsidRPr="007465AA" w:rsidRDefault="00F65739" w:rsidP="0092389F">
            <w:pPr>
              <w:rPr>
                <w:sz w:val="18"/>
                <w:szCs w:val="18"/>
              </w:rPr>
            </w:pPr>
            <w:r>
              <w:rPr>
                <w:sz w:val="18"/>
                <w:szCs w:val="18"/>
              </w:rPr>
              <w:t>Desistimientos y renuncias a contratos adjudicados</w:t>
            </w:r>
          </w:p>
        </w:tc>
        <w:tc>
          <w:tcPr>
            <w:tcW w:w="709" w:type="dxa"/>
          </w:tcPr>
          <w:p w:rsidR="00F65739" w:rsidRPr="00505719" w:rsidRDefault="00F65739" w:rsidP="00505719">
            <w:pPr>
              <w:pStyle w:val="Prrafodelista"/>
              <w:numPr>
                <w:ilvl w:val="0"/>
                <w:numId w:val="27"/>
              </w:numPr>
              <w:rPr>
                <w:sz w:val="18"/>
                <w:szCs w:val="18"/>
              </w:rPr>
            </w:pPr>
          </w:p>
        </w:tc>
        <w:tc>
          <w:tcPr>
            <w:tcW w:w="2777" w:type="dxa"/>
          </w:tcPr>
          <w:p w:rsidR="00F65739" w:rsidRDefault="00F65739" w:rsidP="00F65739">
            <w:pPr>
              <w:rPr>
                <w:sz w:val="18"/>
                <w:szCs w:val="18"/>
              </w:rPr>
            </w:pPr>
            <w:r>
              <w:rPr>
                <w:sz w:val="18"/>
                <w:szCs w:val="18"/>
              </w:rPr>
              <w:t xml:space="preserve">Si, se informa de que en los ejercicios </w:t>
            </w:r>
            <w:r w:rsidR="00027CF0">
              <w:rPr>
                <w:sz w:val="18"/>
                <w:szCs w:val="18"/>
              </w:rPr>
              <w:t xml:space="preserve">2021,2022 y 2023 </w:t>
            </w:r>
            <w:r>
              <w:rPr>
                <w:sz w:val="18"/>
                <w:szCs w:val="18"/>
              </w:rPr>
              <w:t>no se han producido desafinamientos ni renuncias</w:t>
            </w:r>
          </w:p>
        </w:tc>
      </w:tr>
      <w:tr w:rsidR="00F65739" w:rsidRPr="007465AA" w:rsidTr="007465AA">
        <w:tc>
          <w:tcPr>
            <w:tcW w:w="1668" w:type="dxa"/>
            <w:vMerge/>
            <w:vAlign w:val="center"/>
          </w:tcPr>
          <w:p w:rsidR="00F65739" w:rsidRPr="007465AA" w:rsidRDefault="00F65739" w:rsidP="001521CD">
            <w:pPr>
              <w:rPr>
                <w:sz w:val="18"/>
                <w:szCs w:val="18"/>
              </w:rPr>
            </w:pPr>
          </w:p>
        </w:tc>
        <w:tc>
          <w:tcPr>
            <w:tcW w:w="5528" w:type="dxa"/>
          </w:tcPr>
          <w:p w:rsidR="00F65739" w:rsidRPr="007465AA" w:rsidRDefault="00F65739" w:rsidP="0092389F">
            <w:pPr>
              <w:rPr>
                <w:sz w:val="18"/>
                <w:szCs w:val="18"/>
              </w:rPr>
            </w:pPr>
            <w:r>
              <w:rPr>
                <w:sz w:val="18"/>
                <w:szCs w:val="18"/>
              </w:rPr>
              <w:t>Información estadística sobre contratación</w:t>
            </w:r>
          </w:p>
        </w:tc>
        <w:tc>
          <w:tcPr>
            <w:tcW w:w="709" w:type="dxa"/>
          </w:tcPr>
          <w:p w:rsidR="00F65739" w:rsidRPr="00505719" w:rsidRDefault="00F65739" w:rsidP="00505719">
            <w:pPr>
              <w:pStyle w:val="Prrafodelista"/>
              <w:numPr>
                <w:ilvl w:val="0"/>
                <w:numId w:val="27"/>
              </w:numPr>
              <w:rPr>
                <w:sz w:val="18"/>
                <w:szCs w:val="18"/>
              </w:rPr>
            </w:pPr>
          </w:p>
        </w:tc>
        <w:tc>
          <w:tcPr>
            <w:tcW w:w="2777" w:type="dxa"/>
          </w:tcPr>
          <w:p w:rsidR="00F65739" w:rsidRDefault="00F65739" w:rsidP="00027CF0">
            <w:pPr>
              <w:rPr>
                <w:sz w:val="18"/>
                <w:szCs w:val="18"/>
              </w:rPr>
            </w:pPr>
            <w:r>
              <w:rPr>
                <w:sz w:val="18"/>
                <w:szCs w:val="18"/>
              </w:rPr>
              <w:t>Aunque se publica esta información, se presenta de forma agregada – licitaciones y contratos menores – sin informar sobre el peso de cada uno de los procedimientos de licitación y por otra parte, la información corresponde al conjunto del periodo 201</w:t>
            </w:r>
            <w:r w:rsidR="00027CF0">
              <w:rPr>
                <w:sz w:val="18"/>
                <w:szCs w:val="18"/>
              </w:rPr>
              <w:t>7</w:t>
            </w:r>
            <w:r>
              <w:rPr>
                <w:sz w:val="18"/>
                <w:szCs w:val="18"/>
              </w:rPr>
              <w:t>-20</w:t>
            </w:r>
            <w:r w:rsidR="00027CF0">
              <w:rPr>
                <w:sz w:val="18"/>
                <w:szCs w:val="18"/>
              </w:rPr>
              <w:t>23</w:t>
            </w:r>
            <w:r>
              <w:rPr>
                <w:sz w:val="18"/>
                <w:szCs w:val="18"/>
              </w:rPr>
              <w:t xml:space="preserve">, sin desagregar por año. </w:t>
            </w:r>
            <w:r w:rsidR="00027CF0">
              <w:rPr>
                <w:sz w:val="18"/>
                <w:szCs w:val="18"/>
              </w:rPr>
              <w:t xml:space="preserve">La falta de desagregación por procedimiento de licitación ha motivado que </w:t>
            </w:r>
            <w:r>
              <w:rPr>
                <w:sz w:val="18"/>
                <w:szCs w:val="18"/>
              </w:rPr>
              <w:t xml:space="preserve"> no se </w:t>
            </w:r>
            <w:r w:rsidR="00027CF0">
              <w:rPr>
                <w:sz w:val="18"/>
                <w:szCs w:val="18"/>
              </w:rPr>
              <w:t>pueda</w:t>
            </w:r>
            <w:r>
              <w:rPr>
                <w:sz w:val="18"/>
                <w:szCs w:val="18"/>
              </w:rPr>
              <w:t xml:space="preserve"> dar por cumplida </w:t>
            </w:r>
            <w:r>
              <w:rPr>
                <w:sz w:val="18"/>
                <w:szCs w:val="18"/>
              </w:rPr>
              <w:lastRenderedPageBreak/>
              <w:t>esta obligación a efectos del cálculo del Índice de Cumplimiento.</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F65739">
            <w:pPr>
              <w:rPr>
                <w:sz w:val="18"/>
                <w:szCs w:val="18"/>
              </w:rPr>
            </w:pPr>
            <w:r w:rsidRPr="007465AA">
              <w:rPr>
                <w:sz w:val="18"/>
                <w:szCs w:val="18"/>
              </w:rPr>
              <w:t>Convenios</w:t>
            </w:r>
            <w:r>
              <w:rPr>
                <w:sz w:val="18"/>
                <w:szCs w:val="18"/>
              </w:rPr>
              <w:t xml:space="preserve">: </w:t>
            </w:r>
            <w:r w:rsidR="00F65739">
              <w:rPr>
                <w:sz w:val="18"/>
                <w:szCs w:val="18"/>
              </w:rPr>
              <w:t>actualización</w:t>
            </w:r>
          </w:p>
        </w:tc>
        <w:tc>
          <w:tcPr>
            <w:tcW w:w="709" w:type="dxa"/>
          </w:tcPr>
          <w:p w:rsidR="0092389F" w:rsidRPr="00505719" w:rsidRDefault="0092389F" w:rsidP="00505719">
            <w:pPr>
              <w:pStyle w:val="Prrafodelista"/>
              <w:numPr>
                <w:ilvl w:val="0"/>
                <w:numId w:val="27"/>
              </w:numPr>
              <w:rPr>
                <w:sz w:val="18"/>
                <w:szCs w:val="18"/>
              </w:rPr>
            </w:pPr>
          </w:p>
        </w:tc>
        <w:tc>
          <w:tcPr>
            <w:tcW w:w="2777" w:type="dxa"/>
          </w:tcPr>
          <w:p w:rsidR="0092389F" w:rsidRPr="007465AA" w:rsidRDefault="0092389F" w:rsidP="00027CF0">
            <w:pPr>
              <w:rPr>
                <w:sz w:val="18"/>
                <w:szCs w:val="18"/>
              </w:rPr>
            </w:pPr>
            <w:proofErr w:type="spellStart"/>
            <w:r w:rsidRPr="00A9411C">
              <w:rPr>
                <w:sz w:val="18"/>
                <w:szCs w:val="18"/>
              </w:rPr>
              <w:t>Si</w:t>
            </w:r>
            <w:proofErr w:type="spellEnd"/>
            <w:r w:rsidRPr="00A9411C">
              <w:rPr>
                <w:sz w:val="18"/>
                <w:szCs w:val="18"/>
              </w:rPr>
              <w:t xml:space="preserve">. Se ha incorporado información </w:t>
            </w:r>
            <w:r w:rsidR="00F65739" w:rsidRPr="00A9411C">
              <w:rPr>
                <w:sz w:val="18"/>
                <w:szCs w:val="18"/>
              </w:rPr>
              <w:t xml:space="preserve">sobre </w:t>
            </w:r>
            <w:r w:rsidR="00027CF0">
              <w:rPr>
                <w:sz w:val="18"/>
                <w:szCs w:val="18"/>
              </w:rPr>
              <w:t>dos</w:t>
            </w:r>
            <w:r w:rsidR="00F65739" w:rsidRPr="00A9411C">
              <w:rPr>
                <w:sz w:val="18"/>
                <w:szCs w:val="18"/>
              </w:rPr>
              <w:t xml:space="preserve"> convenio</w:t>
            </w:r>
            <w:r w:rsidR="00027CF0">
              <w:rPr>
                <w:sz w:val="18"/>
                <w:szCs w:val="18"/>
              </w:rPr>
              <w:t>s</w:t>
            </w:r>
            <w:r w:rsidR="00F65739" w:rsidRPr="00A9411C">
              <w:rPr>
                <w:sz w:val="18"/>
                <w:szCs w:val="18"/>
              </w:rPr>
              <w:t xml:space="preserve"> de 2022. El cuadro resumen no incorpora todos los ítems informativos</w:t>
            </w:r>
            <w:r w:rsidR="00A9411C">
              <w:rPr>
                <w:sz w:val="18"/>
                <w:szCs w:val="18"/>
              </w:rPr>
              <w:t xml:space="preserve"> que contempla el artículo </w:t>
            </w:r>
            <w:proofErr w:type="spellStart"/>
            <w:r w:rsidR="00A9411C">
              <w:rPr>
                <w:sz w:val="18"/>
                <w:szCs w:val="18"/>
              </w:rPr>
              <w:t>8.1b</w:t>
            </w:r>
            <w:proofErr w:type="spellEnd"/>
            <w:r w:rsidR="00A9411C">
              <w:rPr>
                <w:sz w:val="18"/>
                <w:szCs w:val="18"/>
              </w:rPr>
              <w:t xml:space="preserve"> de la LTAIBG. No se publica: la duración del convenio, la cuantía, en su caso, de las obligaciones económicas que se contemplen y las modificaciones</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505719">
            <w:pPr>
              <w:rPr>
                <w:sz w:val="18"/>
                <w:szCs w:val="18"/>
              </w:rPr>
            </w:pPr>
            <w:r>
              <w:rPr>
                <w:sz w:val="18"/>
                <w:szCs w:val="18"/>
              </w:rPr>
              <w:t>Subvenciones y ayudas públicas</w:t>
            </w:r>
          </w:p>
        </w:tc>
        <w:tc>
          <w:tcPr>
            <w:tcW w:w="709" w:type="dxa"/>
          </w:tcPr>
          <w:p w:rsidR="0092389F" w:rsidRPr="00505719" w:rsidRDefault="0092389F" w:rsidP="00505719">
            <w:pPr>
              <w:pStyle w:val="Prrafodelista"/>
              <w:numPr>
                <w:ilvl w:val="0"/>
                <w:numId w:val="28"/>
              </w:numPr>
              <w:jc w:val="center"/>
              <w:rPr>
                <w:sz w:val="18"/>
                <w:szCs w:val="18"/>
              </w:rPr>
            </w:pPr>
          </w:p>
        </w:tc>
        <w:tc>
          <w:tcPr>
            <w:tcW w:w="2777" w:type="dxa"/>
          </w:tcPr>
          <w:p w:rsidR="0092389F" w:rsidRDefault="0092389F" w:rsidP="00035DFF">
            <w:pPr>
              <w:rPr>
                <w:sz w:val="18"/>
                <w:szCs w:val="18"/>
              </w:rPr>
            </w:pPr>
            <w:r>
              <w:rPr>
                <w:sz w:val="18"/>
                <w:szCs w:val="18"/>
              </w:rPr>
              <w:t>Si, se informa de que no se han concedido subvenciones o ayudas públicas</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A9411C">
            <w:pPr>
              <w:tabs>
                <w:tab w:val="left" w:pos="4080"/>
              </w:tabs>
              <w:rPr>
                <w:sz w:val="18"/>
                <w:szCs w:val="18"/>
              </w:rPr>
            </w:pPr>
            <w:r>
              <w:rPr>
                <w:sz w:val="18"/>
                <w:szCs w:val="18"/>
              </w:rPr>
              <w:t xml:space="preserve">Presupuestos: </w:t>
            </w:r>
          </w:p>
        </w:tc>
        <w:tc>
          <w:tcPr>
            <w:tcW w:w="709" w:type="dxa"/>
          </w:tcPr>
          <w:p w:rsidR="0092389F" w:rsidRPr="00505719" w:rsidRDefault="0092389F" w:rsidP="00505719">
            <w:pPr>
              <w:pStyle w:val="Prrafodelista"/>
              <w:numPr>
                <w:ilvl w:val="0"/>
                <w:numId w:val="28"/>
              </w:numPr>
              <w:jc w:val="center"/>
              <w:rPr>
                <w:sz w:val="18"/>
                <w:szCs w:val="18"/>
              </w:rPr>
            </w:pPr>
          </w:p>
        </w:tc>
        <w:tc>
          <w:tcPr>
            <w:tcW w:w="2777" w:type="dxa"/>
          </w:tcPr>
          <w:p w:rsidR="0092389F" w:rsidRDefault="0092389F" w:rsidP="00027CF0">
            <w:pPr>
              <w:rPr>
                <w:sz w:val="18"/>
                <w:szCs w:val="18"/>
              </w:rPr>
            </w:pPr>
            <w:proofErr w:type="spellStart"/>
            <w:r>
              <w:rPr>
                <w:sz w:val="18"/>
                <w:szCs w:val="18"/>
              </w:rPr>
              <w:t>Si</w:t>
            </w:r>
            <w:proofErr w:type="spellEnd"/>
            <w:r w:rsidR="00A9411C">
              <w:rPr>
                <w:sz w:val="18"/>
                <w:szCs w:val="18"/>
              </w:rPr>
              <w:t>. El último presupuesto publicado corresponde al ejercicio 202</w:t>
            </w:r>
            <w:r w:rsidR="00027CF0">
              <w:rPr>
                <w:sz w:val="18"/>
                <w:szCs w:val="18"/>
              </w:rPr>
              <w:t>3</w:t>
            </w:r>
          </w:p>
        </w:tc>
      </w:tr>
      <w:tr w:rsidR="00A9411C" w:rsidRPr="007465AA" w:rsidTr="007465AA">
        <w:tc>
          <w:tcPr>
            <w:tcW w:w="1668" w:type="dxa"/>
            <w:vMerge/>
            <w:vAlign w:val="center"/>
          </w:tcPr>
          <w:p w:rsidR="00A9411C" w:rsidRPr="007465AA" w:rsidRDefault="00A9411C" w:rsidP="001521CD">
            <w:pPr>
              <w:rPr>
                <w:sz w:val="18"/>
                <w:szCs w:val="18"/>
              </w:rPr>
            </w:pPr>
          </w:p>
        </w:tc>
        <w:tc>
          <w:tcPr>
            <w:tcW w:w="5528" w:type="dxa"/>
          </w:tcPr>
          <w:p w:rsidR="00A9411C" w:rsidRPr="007465AA" w:rsidRDefault="00A9411C" w:rsidP="001521CD">
            <w:pPr>
              <w:rPr>
                <w:sz w:val="18"/>
                <w:szCs w:val="18"/>
              </w:rPr>
            </w:pPr>
            <w:r>
              <w:rPr>
                <w:sz w:val="18"/>
                <w:szCs w:val="18"/>
              </w:rPr>
              <w:t>Cuentas anuales: actualización</w:t>
            </w:r>
          </w:p>
        </w:tc>
        <w:tc>
          <w:tcPr>
            <w:tcW w:w="709" w:type="dxa"/>
          </w:tcPr>
          <w:p w:rsidR="00A9411C" w:rsidRPr="00A9411C" w:rsidRDefault="00A9411C" w:rsidP="00A9411C">
            <w:pPr>
              <w:pStyle w:val="Prrafodelista"/>
              <w:numPr>
                <w:ilvl w:val="0"/>
                <w:numId w:val="28"/>
              </w:numPr>
              <w:jc w:val="center"/>
              <w:rPr>
                <w:sz w:val="18"/>
                <w:szCs w:val="18"/>
              </w:rPr>
            </w:pPr>
          </w:p>
        </w:tc>
        <w:tc>
          <w:tcPr>
            <w:tcW w:w="2777" w:type="dxa"/>
          </w:tcPr>
          <w:p w:rsidR="00A9411C" w:rsidRDefault="00A9411C" w:rsidP="00505719">
            <w:pPr>
              <w:rPr>
                <w:sz w:val="18"/>
                <w:szCs w:val="18"/>
              </w:rPr>
            </w:pPr>
            <w:r>
              <w:rPr>
                <w:sz w:val="18"/>
                <w:szCs w:val="18"/>
              </w:rPr>
              <w:t>Si</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1521CD">
            <w:pPr>
              <w:rPr>
                <w:sz w:val="18"/>
                <w:szCs w:val="18"/>
              </w:rPr>
            </w:pPr>
            <w:r w:rsidRPr="007465AA">
              <w:rPr>
                <w:sz w:val="18"/>
                <w:szCs w:val="18"/>
              </w:rPr>
              <w:t xml:space="preserve">Informes de auditoría  </w:t>
            </w:r>
            <w:r>
              <w:rPr>
                <w:sz w:val="18"/>
                <w:szCs w:val="18"/>
              </w:rPr>
              <w:t>elaborados por el Tribunal de Cuentas</w:t>
            </w:r>
          </w:p>
        </w:tc>
        <w:tc>
          <w:tcPr>
            <w:tcW w:w="709" w:type="dxa"/>
          </w:tcPr>
          <w:p w:rsidR="0092389F" w:rsidRPr="00B27FC0" w:rsidRDefault="0092389F" w:rsidP="00B27FC0">
            <w:pPr>
              <w:pStyle w:val="Prrafodelista"/>
              <w:numPr>
                <w:ilvl w:val="0"/>
                <w:numId w:val="28"/>
              </w:numPr>
              <w:jc w:val="center"/>
              <w:rPr>
                <w:sz w:val="18"/>
                <w:szCs w:val="18"/>
              </w:rPr>
            </w:pPr>
          </w:p>
        </w:tc>
        <w:tc>
          <w:tcPr>
            <w:tcW w:w="2777" w:type="dxa"/>
          </w:tcPr>
          <w:p w:rsidR="0092389F" w:rsidRPr="007465AA" w:rsidRDefault="00B27FC0" w:rsidP="00B27FC0">
            <w:pPr>
              <w:rPr>
                <w:sz w:val="18"/>
                <w:szCs w:val="18"/>
              </w:rPr>
            </w:pPr>
            <w:proofErr w:type="spellStart"/>
            <w:r>
              <w:rPr>
                <w:sz w:val="18"/>
                <w:szCs w:val="18"/>
              </w:rPr>
              <w:t>Si</w:t>
            </w:r>
            <w:proofErr w:type="spellEnd"/>
            <w:r w:rsidR="0092389F">
              <w:rPr>
                <w:sz w:val="18"/>
                <w:szCs w:val="18"/>
              </w:rPr>
              <w:t xml:space="preserve">. </w:t>
            </w:r>
            <w:r>
              <w:rPr>
                <w:sz w:val="18"/>
                <w:szCs w:val="18"/>
              </w:rPr>
              <w:t>Se enlaza a una comunicación relativa a un informe del TCU sobre las empresas del Grupo Patrimonio a través de la que se puede acceder al informe completo.</w:t>
            </w:r>
          </w:p>
        </w:tc>
      </w:tr>
      <w:tr w:rsidR="00885853" w:rsidRPr="007465AA" w:rsidTr="007465AA">
        <w:tc>
          <w:tcPr>
            <w:tcW w:w="1668" w:type="dxa"/>
            <w:vMerge/>
            <w:vAlign w:val="center"/>
          </w:tcPr>
          <w:p w:rsidR="00885853" w:rsidRPr="007465AA" w:rsidRDefault="00885853" w:rsidP="001521CD">
            <w:pPr>
              <w:rPr>
                <w:sz w:val="18"/>
                <w:szCs w:val="18"/>
              </w:rPr>
            </w:pPr>
          </w:p>
        </w:tc>
        <w:tc>
          <w:tcPr>
            <w:tcW w:w="5528" w:type="dxa"/>
          </w:tcPr>
          <w:p w:rsidR="00885853" w:rsidRPr="007465AA" w:rsidRDefault="00885853" w:rsidP="00A9411C">
            <w:pPr>
              <w:rPr>
                <w:sz w:val="18"/>
                <w:szCs w:val="18"/>
              </w:rPr>
            </w:pPr>
            <w:r>
              <w:rPr>
                <w:sz w:val="18"/>
                <w:szCs w:val="18"/>
              </w:rPr>
              <w:t xml:space="preserve">Retribuciones: </w:t>
            </w:r>
            <w:r w:rsidR="00A9411C">
              <w:rPr>
                <w:sz w:val="18"/>
                <w:szCs w:val="18"/>
              </w:rPr>
              <w:t>actualización</w:t>
            </w:r>
          </w:p>
        </w:tc>
        <w:tc>
          <w:tcPr>
            <w:tcW w:w="709" w:type="dxa"/>
          </w:tcPr>
          <w:p w:rsidR="00885853" w:rsidRPr="00A9411C" w:rsidRDefault="00885853" w:rsidP="00A9411C">
            <w:pPr>
              <w:pStyle w:val="Prrafodelista"/>
              <w:numPr>
                <w:ilvl w:val="0"/>
                <w:numId w:val="28"/>
              </w:numPr>
              <w:jc w:val="center"/>
              <w:rPr>
                <w:sz w:val="18"/>
                <w:szCs w:val="18"/>
              </w:rPr>
            </w:pPr>
          </w:p>
        </w:tc>
        <w:tc>
          <w:tcPr>
            <w:tcW w:w="2777" w:type="dxa"/>
          </w:tcPr>
          <w:p w:rsidR="00885853" w:rsidRDefault="00A9411C" w:rsidP="001521CD">
            <w:pPr>
              <w:rPr>
                <w:sz w:val="18"/>
                <w:szCs w:val="18"/>
              </w:rPr>
            </w:pPr>
            <w:r>
              <w:rPr>
                <w:sz w:val="18"/>
                <w:szCs w:val="18"/>
              </w:rPr>
              <w:t>Si</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1521CD">
            <w:pPr>
              <w:rPr>
                <w:sz w:val="18"/>
                <w:szCs w:val="18"/>
              </w:rPr>
            </w:pPr>
            <w:r w:rsidRPr="007465AA">
              <w:rPr>
                <w:sz w:val="18"/>
                <w:szCs w:val="18"/>
              </w:rPr>
              <w:t>Indemnizaciones percibidas por Altos Cargos con ocasión del abandono del cargo</w:t>
            </w:r>
          </w:p>
        </w:tc>
        <w:tc>
          <w:tcPr>
            <w:tcW w:w="709" w:type="dxa"/>
          </w:tcPr>
          <w:p w:rsidR="0092389F" w:rsidRPr="00885853" w:rsidRDefault="0092389F" w:rsidP="00885853">
            <w:pPr>
              <w:pStyle w:val="Prrafodelista"/>
              <w:numPr>
                <w:ilvl w:val="0"/>
                <w:numId w:val="28"/>
              </w:numPr>
              <w:jc w:val="center"/>
              <w:rPr>
                <w:sz w:val="18"/>
                <w:szCs w:val="18"/>
              </w:rPr>
            </w:pPr>
          </w:p>
        </w:tc>
        <w:tc>
          <w:tcPr>
            <w:tcW w:w="2777" w:type="dxa"/>
          </w:tcPr>
          <w:p w:rsidR="0092389F" w:rsidRPr="007465AA" w:rsidRDefault="00885853" w:rsidP="001521CD">
            <w:pPr>
              <w:rPr>
                <w:sz w:val="18"/>
                <w:szCs w:val="18"/>
              </w:rPr>
            </w:pPr>
            <w:r>
              <w:rPr>
                <w:sz w:val="18"/>
                <w:szCs w:val="18"/>
              </w:rPr>
              <w:t>Si, se informa de que no se han percibido indemnizaciones en el ejercicio 2022</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1A0BD4" w:rsidRDefault="0092389F" w:rsidP="001521CD">
            <w:pPr>
              <w:rPr>
                <w:sz w:val="18"/>
                <w:szCs w:val="18"/>
              </w:rPr>
            </w:pPr>
            <w:r>
              <w:rPr>
                <w:sz w:val="18"/>
                <w:szCs w:val="18"/>
              </w:rPr>
              <w:t>Autorizaciones de compatibilidad concedidas a empleados: publicación en el Portal de Transparencia de la entidad</w:t>
            </w:r>
          </w:p>
        </w:tc>
        <w:tc>
          <w:tcPr>
            <w:tcW w:w="709" w:type="dxa"/>
          </w:tcPr>
          <w:p w:rsidR="0092389F" w:rsidRPr="00A9411C" w:rsidRDefault="0092389F" w:rsidP="00A9411C">
            <w:pPr>
              <w:pStyle w:val="Prrafodelista"/>
              <w:numPr>
                <w:ilvl w:val="0"/>
                <w:numId w:val="28"/>
              </w:numPr>
              <w:jc w:val="center"/>
              <w:rPr>
                <w:sz w:val="18"/>
                <w:szCs w:val="18"/>
              </w:rPr>
            </w:pPr>
          </w:p>
        </w:tc>
        <w:tc>
          <w:tcPr>
            <w:tcW w:w="2777" w:type="dxa"/>
          </w:tcPr>
          <w:p w:rsidR="0092389F" w:rsidRDefault="00A9411C" w:rsidP="00505719">
            <w:pPr>
              <w:rPr>
                <w:sz w:val="18"/>
                <w:szCs w:val="18"/>
              </w:rPr>
            </w:pPr>
            <w:r>
              <w:rPr>
                <w:sz w:val="18"/>
                <w:szCs w:val="18"/>
              </w:rPr>
              <w:t xml:space="preserve">Si, se informa </w:t>
            </w:r>
            <w:r w:rsidR="00401F45">
              <w:rPr>
                <w:sz w:val="18"/>
                <w:szCs w:val="18"/>
              </w:rPr>
              <w:t xml:space="preserve">de que no se han concedido estas </w:t>
            </w:r>
            <w:r>
              <w:rPr>
                <w:sz w:val="18"/>
                <w:szCs w:val="18"/>
              </w:rPr>
              <w:t>autorizaciones</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337C82" w:rsidRDefault="0092389F" w:rsidP="001521CD">
            <w:pPr>
              <w:rPr>
                <w:sz w:val="18"/>
                <w:szCs w:val="18"/>
              </w:rPr>
            </w:pPr>
            <w:r w:rsidRPr="001A0BD4">
              <w:rPr>
                <w:sz w:val="18"/>
                <w:szCs w:val="18"/>
              </w:rPr>
              <w:t>Autorización para actividad privada al cese de altos cargos en la AGE, CCAA o EELL</w:t>
            </w:r>
          </w:p>
        </w:tc>
        <w:tc>
          <w:tcPr>
            <w:tcW w:w="709" w:type="dxa"/>
          </w:tcPr>
          <w:p w:rsidR="0092389F" w:rsidRPr="00A9411C" w:rsidRDefault="0092389F" w:rsidP="00A9411C">
            <w:pPr>
              <w:pStyle w:val="Prrafodelista"/>
              <w:numPr>
                <w:ilvl w:val="0"/>
                <w:numId w:val="28"/>
              </w:numPr>
              <w:jc w:val="center"/>
              <w:rPr>
                <w:sz w:val="18"/>
                <w:szCs w:val="18"/>
              </w:rPr>
            </w:pPr>
          </w:p>
        </w:tc>
        <w:tc>
          <w:tcPr>
            <w:tcW w:w="2777" w:type="dxa"/>
          </w:tcPr>
          <w:p w:rsidR="0092389F" w:rsidRPr="007465AA" w:rsidRDefault="00A9411C" w:rsidP="001521CD">
            <w:pPr>
              <w:rPr>
                <w:sz w:val="18"/>
                <w:szCs w:val="18"/>
              </w:rPr>
            </w:pPr>
            <w:r>
              <w:rPr>
                <w:sz w:val="18"/>
                <w:szCs w:val="18"/>
              </w:rPr>
              <w:t xml:space="preserve">Si, se informa de que no se han </w:t>
            </w:r>
            <w:r w:rsidR="00C1635D">
              <w:rPr>
                <w:sz w:val="18"/>
                <w:szCs w:val="18"/>
              </w:rPr>
              <w:t>concedido</w:t>
            </w:r>
            <w:r>
              <w:rPr>
                <w:sz w:val="18"/>
                <w:szCs w:val="18"/>
              </w:rPr>
              <w:t xml:space="preserve"> estas autorizaciones</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885853">
            <w:pPr>
              <w:pStyle w:val="Prrafodelista"/>
              <w:numPr>
                <w:ilvl w:val="0"/>
                <w:numId w:val="28"/>
              </w:numPr>
              <w:rPr>
                <w:sz w:val="18"/>
                <w:szCs w:val="18"/>
              </w:rPr>
            </w:pPr>
          </w:p>
        </w:tc>
        <w:tc>
          <w:tcPr>
            <w:tcW w:w="2777" w:type="dxa"/>
          </w:tcPr>
          <w:p w:rsidR="00A249BB" w:rsidRPr="007465AA" w:rsidRDefault="00885853" w:rsidP="001521CD">
            <w:pPr>
              <w:rPr>
                <w:sz w:val="18"/>
                <w:szCs w:val="18"/>
              </w:rPr>
            </w:pPr>
            <w:proofErr w:type="spellStart"/>
            <w:r>
              <w:rPr>
                <w:sz w:val="18"/>
                <w:szCs w:val="18"/>
              </w:rPr>
              <w:t>Si</w:t>
            </w:r>
            <w:proofErr w:type="spellEnd"/>
            <w:r w:rsidR="004349B8">
              <w:rPr>
                <w:sz w:val="18"/>
                <w:szCs w:val="18"/>
              </w:rPr>
              <w:t>, pero para el bloque de información económica</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885853" w:rsidP="00C1635D">
            <w:pPr>
              <w:jc w:val="center"/>
              <w:rPr>
                <w:b/>
                <w:sz w:val="18"/>
                <w:szCs w:val="18"/>
              </w:rPr>
            </w:pPr>
            <w:r>
              <w:rPr>
                <w:b/>
                <w:sz w:val="18"/>
                <w:szCs w:val="18"/>
              </w:rPr>
              <w:t>1</w:t>
            </w:r>
            <w:r w:rsidR="00C1635D">
              <w:rPr>
                <w:b/>
                <w:sz w:val="18"/>
                <w:szCs w:val="18"/>
              </w:rPr>
              <w:t>5</w:t>
            </w:r>
          </w:p>
        </w:tc>
        <w:tc>
          <w:tcPr>
            <w:tcW w:w="2777" w:type="dxa"/>
          </w:tcPr>
          <w:p w:rsidR="00A249BB" w:rsidRPr="007465AA" w:rsidRDefault="00A249BB" w:rsidP="001521CD">
            <w:pPr>
              <w:rPr>
                <w:b/>
                <w:sz w:val="18"/>
                <w:szCs w:val="18"/>
              </w:rPr>
            </w:pPr>
          </w:p>
        </w:tc>
      </w:tr>
    </w:tbl>
    <w:p w:rsidR="003A1694" w:rsidRDefault="003A1694" w:rsidP="00AC4A6F"/>
    <w:p w:rsidR="00BA4354" w:rsidRDefault="00C1635D" w:rsidP="00DF56A7">
      <w:pPr>
        <w:jc w:val="both"/>
      </w:pPr>
      <w:r>
        <w:t>SECEGSA</w:t>
      </w:r>
      <w:r w:rsidR="00281234">
        <w:t xml:space="preserve"> </w:t>
      </w:r>
      <w:r w:rsidR="008B6789">
        <w:t xml:space="preserve">ha aplicado </w:t>
      </w:r>
      <w:r w:rsidR="00B27FC0">
        <w:t>14</w:t>
      </w:r>
      <w:r w:rsidR="00663F4A">
        <w:t xml:space="preserve"> </w:t>
      </w:r>
      <w:r w:rsidR="008B6789">
        <w:t xml:space="preserve">de las </w:t>
      </w:r>
      <w:r w:rsidR="00885853">
        <w:t>1</w:t>
      </w:r>
      <w:r>
        <w:t>5</w:t>
      </w:r>
      <w:r w:rsidR="006657D5">
        <w:t xml:space="preserve"> </w:t>
      </w:r>
      <w:r w:rsidR="008B6789">
        <w:t>recomendaciones derivadas de la evaluación 2022.</w:t>
      </w:r>
    </w:p>
    <w:p w:rsidR="00C1635D" w:rsidRDefault="00C1635D" w:rsidP="00DF56A7">
      <w:pPr>
        <w:jc w:val="both"/>
      </w:pPr>
    </w:p>
    <w:p w:rsidR="00C1635D" w:rsidRDefault="00C1635D" w:rsidP="00DF56A7">
      <w:pPr>
        <w:jc w:val="both"/>
      </w:pPr>
    </w:p>
    <w:p w:rsidR="00C1635D" w:rsidRDefault="00C1635D" w:rsidP="00DF56A7">
      <w:pPr>
        <w:jc w:val="both"/>
      </w:pPr>
    </w:p>
    <w:p w:rsidR="00B27FC0" w:rsidRDefault="00B27FC0" w:rsidP="00DF56A7">
      <w:pPr>
        <w:jc w:val="both"/>
      </w:pPr>
    </w:p>
    <w:p w:rsidR="00B27FC0" w:rsidRDefault="00B27FC0" w:rsidP="00DF56A7">
      <w:pPr>
        <w:jc w:val="both"/>
      </w:pPr>
    </w:p>
    <w:p w:rsidR="00B27FC0" w:rsidRDefault="00B27FC0" w:rsidP="00DF56A7">
      <w:pPr>
        <w:jc w:val="both"/>
      </w:pPr>
    </w:p>
    <w:p w:rsidR="00C1635D" w:rsidRDefault="00C1635D" w:rsidP="00DF56A7">
      <w:pPr>
        <w:jc w:val="both"/>
      </w:pPr>
    </w:p>
    <w:p w:rsidR="00C1635D" w:rsidRDefault="00C1635D" w:rsidP="00DF56A7">
      <w:pPr>
        <w:jc w:val="both"/>
      </w:pPr>
    </w:p>
    <w:p w:rsidR="00C1635D" w:rsidRDefault="00C1635D" w:rsidP="00DF56A7">
      <w:pPr>
        <w:jc w:val="both"/>
      </w:pPr>
    </w:p>
    <w:p w:rsidR="00C1635D" w:rsidRDefault="00C1635D" w:rsidP="00DF56A7">
      <w:pPr>
        <w:jc w:val="both"/>
      </w:pP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27FC0" w:rsidRPr="00F31BC3" w:rsidRDefault="00B27FC0"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27FC0" w:rsidRPr="00F31BC3" w:rsidRDefault="00B27FC0"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8"/>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952F27" w:rsidRPr="00952F27" w:rsidTr="008D4E5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Total</w:t>
            </w:r>
          </w:p>
        </w:tc>
      </w:tr>
      <w:tr w:rsidR="00401F45" w:rsidRPr="00952F27" w:rsidTr="00401F4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01F45" w:rsidRPr="00952F27" w:rsidRDefault="00401F45" w:rsidP="00952F27">
            <w:pPr>
              <w:spacing w:before="120" w:after="120"/>
              <w:rPr>
                <w:rFonts w:eastAsia="Calibri" w:cs="Calibri"/>
                <w:sz w:val="16"/>
                <w:szCs w:val="16"/>
              </w:rPr>
            </w:pPr>
            <w:r w:rsidRPr="00952F27">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83,3</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83,3</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83,3</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83,3</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83,3</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66,7</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16,7</w:t>
            </w:r>
          </w:p>
        </w:tc>
        <w:tc>
          <w:tcPr>
            <w:tcW w:w="0" w:type="auto"/>
            <w:noWrap/>
            <w:vAlign w:val="center"/>
          </w:tcPr>
          <w:p w:rsidR="00401F45" w:rsidRPr="00401F45" w:rsidRDefault="00401F45" w:rsidP="00401F45">
            <w:pPr>
              <w:jc w:val="center"/>
              <w:cnfStyle w:val="000000100000" w:firstRow="0" w:lastRow="0" w:firstColumn="0" w:lastColumn="0" w:oddVBand="0" w:evenVBand="0" w:oddHBand="1" w:evenHBand="0" w:firstRowFirstColumn="0" w:firstRowLastColumn="0" w:lastRowFirstColumn="0" w:lastRowLastColumn="0"/>
              <w:rPr>
                <w:sz w:val="16"/>
              </w:rPr>
            </w:pPr>
            <w:r w:rsidRPr="00401F45">
              <w:rPr>
                <w:sz w:val="16"/>
              </w:rPr>
              <w:t>71,4</w:t>
            </w:r>
          </w:p>
        </w:tc>
      </w:tr>
      <w:tr w:rsidR="00B27FC0" w:rsidRPr="00952F27" w:rsidTr="00B27FC0">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27FC0" w:rsidRPr="00952F27" w:rsidRDefault="00B27FC0" w:rsidP="00952F27">
            <w:pPr>
              <w:spacing w:before="120" w:after="120"/>
              <w:jc w:val="both"/>
              <w:rPr>
                <w:rFonts w:eastAsia="Calibri" w:cs="Calibri"/>
                <w:sz w:val="16"/>
                <w:szCs w:val="16"/>
              </w:rPr>
            </w:pPr>
            <w:r w:rsidRPr="00952F27">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82,1</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57,1</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82,1</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57,1</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82,1</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82,1</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69,6</w:t>
            </w:r>
          </w:p>
        </w:tc>
        <w:tc>
          <w:tcPr>
            <w:tcW w:w="0" w:type="auto"/>
            <w:noWrap/>
            <w:vAlign w:val="center"/>
          </w:tcPr>
          <w:p w:rsidR="00B27FC0" w:rsidRPr="00B27FC0" w:rsidRDefault="00B27FC0" w:rsidP="00B27FC0">
            <w:pPr>
              <w:jc w:val="center"/>
              <w:cnfStyle w:val="000000000000" w:firstRow="0" w:lastRow="0" w:firstColumn="0" w:lastColumn="0" w:oddVBand="0" w:evenVBand="0" w:oddHBand="0" w:evenHBand="0" w:firstRowFirstColumn="0" w:firstRowLastColumn="0" w:lastRowFirstColumn="0" w:lastRowLastColumn="0"/>
              <w:rPr>
                <w:sz w:val="16"/>
              </w:rPr>
            </w:pPr>
            <w:r w:rsidRPr="00B27FC0">
              <w:rPr>
                <w:sz w:val="16"/>
              </w:rPr>
              <w:t>73,2</w:t>
            </w:r>
          </w:p>
        </w:tc>
      </w:tr>
      <w:tr w:rsidR="00B27FC0" w:rsidRPr="00952F27" w:rsidTr="00B27FC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27FC0" w:rsidRPr="00952F27" w:rsidRDefault="00B27FC0" w:rsidP="00952F27">
            <w:pPr>
              <w:spacing w:before="120" w:after="120"/>
              <w:jc w:val="both"/>
              <w:rPr>
                <w:rFonts w:eastAsia="Calibri" w:cs="Calibri"/>
                <w:i/>
                <w:sz w:val="16"/>
                <w:szCs w:val="16"/>
              </w:rPr>
            </w:pPr>
            <w:r w:rsidRPr="00952F27">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82,7</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68,4</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82,7</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68,4</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82,7</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75,5</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46,9</w:t>
            </w:r>
          </w:p>
        </w:tc>
        <w:tc>
          <w:tcPr>
            <w:tcW w:w="0" w:type="auto"/>
            <w:noWrap/>
            <w:vAlign w:val="center"/>
          </w:tcPr>
          <w:p w:rsidR="00B27FC0" w:rsidRPr="00B27FC0" w:rsidRDefault="00B27FC0" w:rsidP="00B27FC0">
            <w:pPr>
              <w:jc w:val="center"/>
              <w:cnfStyle w:val="000000100000" w:firstRow="0" w:lastRow="0" w:firstColumn="0" w:lastColumn="0" w:oddVBand="0" w:evenVBand="0" w:oddHBand="1" w:evenHBand="0" w:firstRowFirstColumn="0" w:firstRowLastColumn="0" w:lastRowFirstColumn="0" w:lastRowLastColumn="0"/>
              <w:rPr>
                <w:b/>
                <w:i/>
                <w:sz w:val="16"/>
              </w:rPr>
            </w:pPr>
            <w:r w:rsidRPr="00B27FC0">
              <w:rPr>
                <w:b/>
                <w:i/>
                <w:sz w:val="16"/>
              </w:rPr>
              <w:t>73,5</w:t>
            </w:r>
          </w:p>
        </w:tc>
      </w:tr>
    </w:tbl>
    <w:p w:rsidR="00100121" w:rsidRDefault="00100121" w:rsidP="00F05E2C">
      <w:pPr>
        <w:pStyle w:val="Cuerpodelboletn"/>
        <w:rPr>
          <w:lang w:bidi="es-ES"/>
        </w:rPr>
      </w:pPr>
    </w:p>
    <w:p w:rsidR="00952F27" w:rsidRDefault="004061BC" w:rsidP="00F05E2C">
      <w:pPr>
        <w:pStyle w:val="Cuerpodelboletn"/>
        <w:sectPr w:rsidR="00952F27" w:rsidSect="003F6EDC">
          <w:type w:val="continuous"/>
          <w:pgSz w:w="11906" w:h="16838" w:code="9"/>
          <w:pgMar w:top="1440" w:right="720" w:bottom="1440" w:left="720" w:header="720" w:footer="720" w:gutter="0"/>
          <w:cols w:space="720"/>
          <w:docGrid w:linePitch="326"/>
        </w:sectPr>
      </w:pPr>
      <w:r w:rsidRPr="00952F27">
        <w:rPr>
          <w:lang w:bidi="es-ES"/>
        </w:rPr>
        <w:t xml:space="preserve">El Índice de Cumplimiento de la Información Obligatoria (ICIO) se sitúa en el </w:t>
      </w:r>
      <w:r w:rsidR="007C7EFD">
        <w:rPr>
          <w:lang w:bidi="es-ES"/>
        </w:rPr>
        <w:t>73,5</w:t>
      </w:r>
      <w:r w:rsidRPr="00952F27">
        <w:rPr>
          <w:lang w:bidi="es-ES"/>
        </w:rPr>
        <w:t>%.</w:t>
      </w:r>
      <w:r w:rsidR="00BB3652" w:rsidRPr="00952F27">
        <w:rPr>
          <w:lang w:bidi="es-ES"/>
        </w:rPr>
        <w:t xml:space="preserve"> Respecto de 202</w:t>
      </w:r>
      <w:r w:rsidR="004413FC" w:rsidRPr="00952F27">
        <w:rPr>
          <w:lang w:bidi="es-ES"/>
        </w:rPr>
        <w:t>2</w:t>
      </w:r>
      <w:r w:rsidR="00BB3652" w:rsidRPr="00952F27">
        <w:rPr>
          <w:lang w:bidi="es-ES"/>
        </w:rPr>
        <w:t xml:space="preserve"> </w:t>
      </w:r>
      <w:r w:rsidR="00D95052" w:rsidRPr="00952F27">
        <w:rPr>
          <w:lang w:bidi="es-ES"/>
        </w:rPr>
        <w:t xml:space="preserve">este nivel de cumplimiento </w:t>
      </w:r>
      <w:r w:rsidR="00952F27">
        <w:rPr>
          <w:lang w:bidi="es-ES"/>
        </w:rPr>
        <w:t xml:space="preserve">se ha incrementado en </w:t>
      </w:r>
      <w:r w:rsidR="00B27FC0">
        <w:rPr>
          <w:lang w:bidi="es-ES"/>
        </w:rPr>
        <w:t>43,1</w:t>
      </w:r>
      <w:r w:rsidR="00952F27">
        <w:rPr>
          <w:lang w:bidi="es-ES"/>
        </w:rPr>
        <w:t xml:space="preserve"> puntos porcentuales, atribuibles a la aplicación de </w:t>
      </w:r>
      <w:r w:rsidR="00401F45">
        <w:rPr>
          <w:lang w:bidi="es-ES"/>
        </w:rPr>
        <w:t>la práctica totalidad</w:t>
      </w:r>
      <w:r w:rsidR="005D03A1">
        <w:rPr>
          <w:lang w:bidi="es-ES"/>
        </w:rPr>
        <w:t xml:space="preserve"> </w:t>
      </w:r>
      <w:r w:rsidR="00952F27">
        <w:rPr>
          <w:lang w:bidi="es-ES"/>
        </w:rPr>
        <w:t xml:space="preserve">de las recomendaciones derivadas de la evaluación 2022. </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5D03A1" w:rsidRDefault="004349B8" w:rsidP="005D03A1">
      <w:pPr>
        <w:pStyle w:val="Cuerpodelboletn"/>
      </w:pPr>
      <w:r>
        <w:t>Aunque e</w:t>
      </w:r>
      <w:r w:rsidR="004413FC" w:rsidRPr="008D4E50">
        <w:t xml:space="preserve">ste CTBG </w:t>
      </w:r>
      <w:r w:rsidR="004413FC" w:rsidRPr="008D4E50">
        <w:rPr>
          <w:b/>
        </w:rPr>
        <w:t xml:space="preserve">valora </w:t>
      </w:r>
      <w:r w:rsidR="005D03A1">
        <w:rPr>
          <w:b/>
        </w:rPr>
        <w:t xml:space="preserve">muy </w:t>
      </w:r>
      <w:r w:rsidR="008D4E50">
        <w:rPr>
          <w:b/>
        </w:rPr>
        <w:t>positivamente</w:t>
      </w:r>
      <w:r w:rsidR="004413FC" w:rsidRPr="008D4E50">
        <w:t xml:space="preserve"> </w:t>
      </w:r>
      <w:r>
        <w:t>el esfuerzo</w:t>
      </w:r>
      <w:r w:rsidR="004413FC" w:rsidRPr="008D4E50">
        <w:t xml:space="preserve"> </w:t>
      </w:r>
      <w:r w:rsidR="003F3C0C">
        <w:t xml:space="preserve">realizado por </w:t>
      </w:r>
      <w:r w:rsidR="00FA2331">
        <w:t xml:space="preserve"> </w:t>
      </w:r>
      <w:r w:rsidR="00401F45">
        <w:t>SECEGSA</w:t>
      </w:r>
      <w:r w:rsidR="00FA2331">
        <w:t xml:space="preserve">, </w:t>
      </w:r>
      <w:r w:rsidR="003F3C0C">
        <w:t>para</w:t>
      </w:r>
      <w:r>
        <w:t xml:space="preserve"> mejorar su Índice de Cumplimiento</w:t>
      </w:r>
      <w:r w:rsidR="00FA2331">
        <w:t xml:space="preserve">- </w:t>
      </w:r>
      <w:r>
        <w:t xml:space="preserve">lo que se ha reflejado en un incremento de este Índice </w:t>
      </w:r>
      <w:r w:rsidR="00B27FC0">
        <w:t>de casi el 142</w:t>
      </w:r>
      <w:r w:rsidR="00FA2331">
        <w:t xml:space="preserve">% </w:t>
      </w:r>
      <w:r>
        <w:t>como consecuencia de la aplicación</w:t>
      </w:r>
      <w:r w:rsidR="009E1DDF" w:rsidRPr="008D4E50">
        <w:t xml:space="preserve"> </w:t>
      </w:r>
      <w:r>
        <w:t>d</w:t>
      </w:r>
      <w:r w:rsidR="005D03A1">
        <w:t xml:space="preserve">el </w:t>
      </w:r>
      <w:r w:rsidR="00B27FC0">
        <w:t>93,3</w:t>
      </w:r>
      <w:r w:rsidR="00FA2331">
        <w:t>% d</w:t>
      </w:r>
      <w:r w:rsidR="004413FC" w:rsidRPr="008D4E50">
        <w:t>e las recomendaciones derivadas de la evaluación realizada en 202</w:t>
      </w:r>
      <w:r w:rsidR="00117FA9" w:rsidRPr="008D4E50">
        <w:t>2</w:t>
      </w:r>
      <w:r>
        <w:t xml:space="preserve"> -</w:t>
      </w:r>
      <w:r w:rsidR="003F3C0C">
        <w:t>,</w:t>
      </w:r>
      <w:r w:rsidR="005D03A1">
        <w:t xml:space="preserve"> </w:t>
      </w:r>
      <w:r w:rsidR="003F3C0C">
        <w:t>t</w:t>
      </w:r>
      <w:r>
        <w:t>odavía</w:t>
      </w:r>
      <w:r w:rsidR="005D03A1">
        <w:t xml:space="preserve"> existe margen de mejora en el cumplimiento de las obligaciones de publicidad activa por parte de </w:t>
      </w:r>
      <w:r>
        <w:t>SECEGSA</w:t>
      </w:r>
      <w:r w:rsidR="005D03A1">
        <w:t>.</w:t>
      </w:r>
      <w:r w:rsidR="00880290" w:rsidRPr="008D4E50">
        <w:t xml:space="preserve"> </w:t>
      </w:r>
    </w:p>
    <w:p w:rsidR="004413FC" w:rsidRDefault="004413FC" w:rsidP="005D03A1">
      <w:pPr>
        <w:pStyle w:val="Cuerpodelboletn"/>
      </w:pPr>
      <w:r w:rsidRPr="00A670E9">
        <w:t xml:space="preserve">Respecto de la publicación de contenidos, </w:t>
      </w:r>
      <w:r>
        <w:t>sigue sin publicarse:</w:t>
      </w:r>
    </w:p>
    <w:p w:rsidR="004349B8" w:rsidRDefault="004349B8" w:rsidP="004349B8">
      <w:pPr>
        <w:pStyle w:val="Cuerpodelboletn"/>
        <w:numPr>
          <w:ilvl w:val="0"/>
          <w:numId w:val="30"/>
        </w:numPr>
        <w:ind w:left="1418"/>
      </w:pPr>
      <w:r>
        <w:t>Una descripción de la estructura organizativa de la sociedad</w:t>
      </w:r>
    </w:p>
    <w:p w:rsidR="003F3C0C" w:rsidRDefault="004349B8" w:rsidP="003F3C0C">
      <w:pPr>
        <w:pStyle w:val="Cuerpodelboletn"/>
        <w:numPr>
          <w:ilvl w:val="0"/>
          <w:numId w:val="30"/>
        </w:numPr>
        <w:spacing w:line="276" w:lineRule="auto"/>
        <w:ind w:left="1418"/>
      </w:pPr>
      <w:r>
        <w:t>Aunque se ha iniciado la publicación de la información estadística sobre contratación, la información no se ajusta al contenido de esta obligación. En primer lugar, porque se publica para el conjunto del periodo 201</w:t>
      </w:r>
      <w:r w:rsidR="007C7EFD">
        <w:t>7</w:t>
      </w:r>
      <w:r>
        <w:t>-202</w:t>
      </w:r>
      <w:r w:rsidR="007C7EFD">
        <w:t>3</w:t>
      </w:r>
      <w:r>
        <w:t xml:space="preserve">, no para cada año considerado individualmente. </w:t>
      </w:r>
      <w:r w:rsidR="003F3C0C">
        <w:t>En segundo lugar, la LTAIBG establece que esta información tiene que estar desagregada según los procedimientos de licitación contemplados en la Ley de Contratos del Sector Público, por lo que la agregación que efectúa SECEGSA  - licitaciones y contratos menores – no cumple contenido de la obligación.</w:t>
      </w:r>
    </w:p>
    <w:p w:rsidR="004413FC" w:rsidRDefault="003F3C0C" w:rsidP="004413FC">
      <w:pPr>
        <w:pStyle w:val="Sinespaciado"/>
        <w:numPr>
          <w:ilvl w:val="0"/>
          <w:numId w:val="20"/>
        </w:numPr>
        <w:spacing w:line="276" w:lineRule="auto"/>
        <w:jc w:val="both"/>
        <w:rPr>
          <w:rFonts w:ascii="Century Gothic" w:hAnsi="Century Gothic"/>
        </w:rPr>
      </w:pPr>
      <w:r>
        <w:rPr>
          <w:rFonts w:ascii="Century Gothic" w:hAnsi="Century Gothic"/>
        </w:rPr>
        <w:t xml:space="preserve">En cuanto a la información relativa a </w:t>
      </w:r>
      <w:r w:rsidR="007C7EFD">
        <w:rPr>
          <w:rFonts w:ascii="Century Gothic" w:hAnsi="Century Gothic"/>
        </w:rPr>
        <w:t>convenios</w:t>
      </w:r>
      <w:r>
        <w:rPr>
          <w:rFonts w:ascii="Century Gothic" w:hAnsi="Century Gothic"/>
        </w:rPr>
        <w:t>, como se ha indicado, no se publican todos los ítems informativos</w:t>
      </w:r>
      <w:r w:rsidR="007C7EFD">
        <w:rPr>
          <w:rFonts w:ascii="Century Gothic" w:hAnsi="Century Gothic"/>
        </w:rPr>
        <w:t xml:space="preserve"> que establece el artículo </w:t>
      </w:r>
      <w:proofErr w:type="spellStart"/>
      <w:r w:rsidR="007C7EFD">
        <w:rPr>
          <w:rFonts w:ascii="Century Gothic" w:hAnsi="Century Gothic"/>
        </w:rPr>
        <w:t>8.1.b</w:t>
      </w:r>
      <w:proofErr w:type="spellEnd"/>
      <w:r>
        <w:rPr>
          <w:rFonts w:ascii="Century Gothic" w:hAnsi="Century Gothic"/>
        </w:rPr>
        <w:t xml:space="preserve"> de la Ley.</w:t>
      </w:r>
    </w:p>
    <w:p w:rsidR="003F3C0C" w:rsidRDefault="003F3C0C" w:rsidP="003F3C0C">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7C7EFD">
        <w:rPr>
          <w:rFonts w:ascii="Century Gothic" w:hAnsi="Century Gothic"/>
        </w:rPr>
        <w:t>mayo</w:t>
      </w:r>
      <w:r>
        <w:rPr>
          <w:rFonts w:ascii="Century Gothic" w:hAnsi="Century Gothic"/>
        </w:rPr>
        <w:t xml:space="preserve">  de 2023</w:t>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27FC0" w:rsidRPr="00F31BC3" w:rsidRDefault="00B27FC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B27FC0" w:rsidRPr="00F31BC3" w:rsidRDefault="00B27FC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27FC0" w:rsidRPr="00F31BC3" w:rsidRDefault="00B27FC0"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B27FC0" w:rsidRPr="00F31BC3" w:rsidRDefault="00B27FC0"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C0" w:rsidRDefault="00B27FC0" w:rsidP="00F31BC3">
      <w:r>
        <w:separator/>
      </w:r>
    </w:p>
  </w:endnote>
  <w:endnote w:type="continuationSeparator" w:id="0">
    <w:p w:rsidR="00B27FC0" w:rsidRDefault="00B27FC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C0" w:rsidRDefault="00B27FC0" w:rsidP="00F31BC3">
      <w:r>
        <w:separator/>
      </w:r>
    </w:p>
  </w:footnote>
  <w:footnote w:type="continuationSeparator" w:id="0">
    <w:p w:rsidR="00B27FC0" w:rsidRDefault="00B27FC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33_"/>
      </v:shape>
    </w:pict>
  </w:numPicBullet>
  <w:abstractNum w:abstractNumId="0">
    <w:nsid w:val="00F2018A"/>
    <w:multiLevelType w:val="hybridMultilevel"/>
    <w:tmpl w:val="61568E7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2B6025"/>
    <w:multiLevelType w:val="hybridMultilevel"/>
    <w:tmpl w:val="59D25470"/>
    <w:lvl w:ilvl="0" w:tplc="6A3AB4B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3C2F4B"/>
    <w:multiLevelType w:val="hybridMultilevel"/>
    <w:tmpl w:val="ADB4753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5">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7C3EA5"/>
    <w:multiLevelType w:val="hybridMultilevel"/>
    <w:tmpl w:val="E258F37C"/>
    <w:lvl w:ilvl="0" w:tplc="0C0A0003">
      <w:start w:val="1"/>
      <w:numFmt w:val="bullet"/>
      <w:lvlText w:val="o"/>
      <w:lvlJc w:val="left"/>
      <w:pPr>
        <w:ind w:left="720" w:hanging="360"/>
      </w:pPr>
      <w:rPr>
        <w:rFonts w:ascii="Courier New" w:hAnsi="Courier New" w:cs="Courier New"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D27BF7"/>
    <w:multiLevelType w:val="hybridMultilevel"/>
    <w:tmpl w:val="74F2EEC4"/>
    <w:lvl w:ilvl="0" w:tplc="0C0A0003">
      <w:start w:val="1"/>
      <w:numFmt w:val="bullet"/>
      <w:lvlText w:val="o"/>
      <w:lvlJc w:val="left"/>
      <w:pPr>
        <w:ind w:left="720" w:hanging="360"/>
      </w:pPr>
      <w:rPr>
        <w:rFonts w:ascii="Courier New" w:hAnsi="Courier New" w:cs="Courier New" w:hint="default"/>
        <w:color w:val="00B050"/>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75F6C9A"/>
    <w:multiLevelType w:val="hybridMultilevel"/>
    <w:tmpl w:val="A8D8E2A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B1A6A82"/>
    <w:multiLevelType w:val="hybridMultilevel"/>
    <w:tmpl w:val="8ED4CB18"/>
    <w:lvl w:ilvl="0" w:tplc="6A3AB4B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7D6D0CA5"/>
    <w:multiLevelType w:val="hybridMultilevel"/>
    <w:tmpl w:val="908E1FE0"/>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26"/>
  </w:num>
  <w:num w:numId="3">
    <w:abstractNumId w:val="14"/>
  </w:num>
  <w:num w:numId="4">
    <w:abstractNumId w:val="1"/>
  </w:num>
  <w:num w:numId="5">
    <w:abstractNumId w:val="23"/>
  </w:num>
  <w:num w:numId="6">
    <w:abstractNumId w:val="25"/>
  </w:num>
  <w:num w:numId="7">
    <w:abstractNumId w:val="20"/>
  </w:num>
  <w:num w:numId="8">
    <w:abstractNumId w:val="2"/>
  </w:num>
  <w:num w:numId="9">
    <w:abstractNumId w:val="5"/>
  </w:num>
  <w:num w:numId="10">
    <w:abstractNumId w:val="4"/>
  </w:num>
  <w:num w:numId="11">
    <w:abstractNumId w:val="27"/>
  </w:num>
  <w:num w:numId="12">
    <w:abstractNumId w:val="19"/>
  </w:num>
  <w:num w:numId="13">
    <w:abstractNumId w:val="11"/>
  </w:num>
  <w:num w:numId="14">
    <w:abstractNumId w:val="29"/>
  </w:num>
  <w:num w:numId="15">
    <w:abstractNumId w:val="3"/>
  </w:num>
  <w:num w:numId="16">
    <w:abstractNumId w:val="30"/>
  </w:num>
  <w:num w:numId="17">
    <w:abstractNumId w:val="16"/>
  </w:num>
  <w:num w:numId="18">
    <w:abstractNumId w:val="10"/>
  </w:num>
  <w:num w:numId="19">
    <w:abstractNumId w:val="9"/>
  </w:num>
  <w:num w:numId="20">
    <w:abstractNumId w:val="24"/>
  </w:num>
  <w:num w:numId="21">
    <w:abstractNumId w:val="7"/>
  </w:num>
  <w:num w:numId="22">
    <w:abstractNumId w:val="8"/>
  </w:num>
  <w:num w:numId="23">
    <w:abstractNumId w:val="17"/>
  </w:num>
  <w:num w:numId="24">
    <w:abstractNumId w:val="15"/>
  </w:num>
  <w:num w:numId="25">
    <w:abstractNumId w:val="22"/>
  </w:num>
  <w:num w:numId="26">
    <w:abstractNumId w:val="21"/>
  </w:num>
  <w:num w:numId="27">
    <w:abstractNumId w:val="28"/>
  </w:num>
  <w:num w:numId="28">
    <w:abstractNumId w:val="13"/>
  </w:num>
  <w:num w:numId="29">
    <w:abstractNumId w:val="0"/>
  </w:num>
  <w:num w:numId="30">
    <w:abstractNumId w:val="18"/>
  </w:num>
  <w:num w:numId="31">
    <w:abstractNumId w:val="6"/>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25429"/>
    <w:rsid w:val="00027CF0"/>
    <w:rsid w:val="00032D8A"/>
    <w:rsid w:val="00035DFF"/>
    <w:rsid w:val="00040AF4"/>
    <w:rsid w:val="00053A0E"/>
    <w:rsid w:val="0005642F"/>
    <w:rsid w:val="00072B7E"/>
    <w:rsid w:val="000775A5"/>
    <w:rsid w:val="00085C93"/>
    <w:rsid w:val="000A77F5"/>
    <w:rsid w:val="000D3907"/>
    <w:rsid w:val="000D5417"/>
    <w:rsid w:val="000E0A9E"/>
    <w:rsid w:val="000F0DA5"/>
    <w:rsid w:val="000F27CF"/>
    <w:rsid w:val="00100121"/>
    <w:rsid w:val="00104DE9"/>
    <w:rsid w:val="00104E94"/>
    <w:rsid w:val="001149B1"/>
    <w:rsid w:val="00117FA9"/>
    <w:rsid w:val="00132732"/>
    <w:rsid w:val="00146C3C"/>
    <w:rsid w:val="001521CD"/>
    <w:rsid w:val="00164876"/>
    <w:rsid w:val="001763F8"/>
    <w:rsid w:val="00183301"/>
    <w:rsid w:val="00186C4D"/>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658EB"/>
    <w:rsid w:val="0028123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5E5B"/>
    <w:rsid w:val="003B6B96"/>
    <w:rsid w:val="003D2C4A"/>
    <w:rsid w:val="003E564B"/>
    <w:rsid w:val="003E5D2F"/>
    <w:rsid w:val="003F3C0C"/>
    <w:rsid w:val="003F4DDD"/>
    <w:rsid w:val="003F6EDC"/>
    <w:rsid w:val="00401F45"/>
    <w:rsid w:val="004061BC"/>
    <w:rsid w:val="00415DBD"/>
    <w:rsid w:val="00422B18"/>
    <w:rsid w:val="004349B8"/>
    <w:rsid w:val="004413FC"/>
    <w:rsid w:val="004720A5"/>
    <w:rsid w:val="004724E2"/>
    <w:rsid w:val="0047735C"/>
    <w:rsid w:val="004859CC"/>
    <w:rsid w:val="004A1663"/>
    <w:rsid w:val="004C17FC"/>
    <w:rsid w:val="004C6440"/>
    <w:rsid w:val="004D1FFB"/>
    <w:rsid w:val="004D4B3E"/>
    <w:rsid w:val="004D50CC"/>
    <w:rsid w:val="004D6B23"/>
    <w:rsid w:val="004D7037"/>
    <w:rsid w:val="004E09F9"/>
    <w:rsid w:val="004E7B33"/>
    <w:rsid w:val="00505719"/>
    <w:rsid w:val="00506864"/>
    <w:rsid w:val="00521C69"/>
    <w:rsid w:val="005301DF"/>
    <w:rsid w:val="00536832"/>
    <w:rsid w:val="00540929"/>
    <w:rsid w:val="00563295"/>
    <w:rsid w:val="00564E23"/>
    <w:rsid w:val="00582A8C"/>
    <w:rsid w:val="005B1544"/>
    <w:rsid w:val="005C4778"/>
    <w:rsid w:val="005D03A1"/>
    <w:rsid w:val="005E2505"/>
    <w:rsid w:val="005E6704"/>
    <w:rsid w:val="005F580F"/>
    <w:rsid w:val="00603DFC"/>
    <w:rsid w:val="00607613"/>
    <w:rsid w:val="006253FA"/>
    <w:rsid w:val="006266A5"/>
    <w:rsid w:val="00633EAA"/>
    <w:rsid w:val="00650F07"/>
    <w:rsid w:val="00663F4A"/>
    <w:rsid w:val="006657D5"/>
    <w:rsid w:val="0069673B"/>
    <w:rsid w:val="006A5B1C"/>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52C6B"/>
    <w:rsid w:val="00760E4B"/>
    <w:rsid w:val="0076567C"/>
    <w:rsid w:val="0076640C"/>
    <w:rsid w:val="00767C60"/>
    <w:rsid w:val="00774C97"/>
    <w:rsid w:val="00777FB3"/>
    <w:rsid w:val="00781700"/>
    <w:rsid w:val="00790143"/>
    <w:rsid w:val="007942B7"/>
    <w:rsid w:val="007954A6"/>
    <w:rsid w:val="007C65C5"/>
    <w:rsid w:val="007C7EFD"/>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85853"/>
    <w:rsid w:val="008918C3"/>
    <w:rsid w:val="00891E6F"/>
    <w:rsid w:val="00894358"/>
    <w:rsid w:val="0089455A"/>
    <w:rsid w:val="00897D04"/>
    <w:rsid w:val="008A5AAE"/>
    <w:rsid w:val="008B032F"/>
    <w:rsid w:val="008B6789"/>
    <w:rsid w:val="008D4E50"/>
    <w:rsid w:val="008D6E75"/>
    <w:rsid w:val="008F2EF6"/>
    <w:rsid w:val="008F57BE"/>
    <w:rsid w:val="00902A71"/>
    <w:rsid w:val="009039FD"/>
    <w:rsid w:val="00903FE0"/>
    <w:rsid w:val="00912DB4"/>
    <w:rsid w:val="0092389F"/>
    <w:rsid w:val="00947271"/>
    <w:rsid w:val="00952F27"/>
    <w:rsid w:val="009654DA"/>
    <w:rsid w:val="00965C69"/>
    <w:rsid w:val="00972AA8"/>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9411C"/>
    <w:rsid w:val="00AA0AE1"/>
    <w:rsid w:val="00AC2723"/>
    <w:rsid w:val="00AC4A6F"/>
    <w:rsid w:val="00AD6065"/>
    <w:rsid w:val="00AE4F68"/>
    <w:rsid w:val="00AE6A4F"/>
    <w:rsid w:val="00AF196B"/>
    <w:rsid w:val="00AF5151"/>
    <w:rsid w:val="00B1184C"/>
    <w:rsid w:val="00B220EC"/>
    <w:rsid w:val="00B27FC0"/>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1635D"/>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E29DF"/>
    <w:rsid w:val="00CF21EB"/>
    <w:rsid w:val="00CF5B92"/>
    <w:rsid w:val="00D014E1"/>
    <w:rsid w:val="00D01CA1"/>
    <w:rsid w:val="00D1453D"/>
    <w:rsid w:val="00D313C7"/>
    <w:rsid w:val="00D41F4C"/>
    <w:rsid w:val="00D44BCF"/>
    <w:rsid w:val="00D45F5C"/>
    <w:rsid w:val="00D520C8"/>
    <w:rsid w:val="00D70570"/>
    <w:rsid w:val="00D848CC"/>
    <w:rsid w:val="00D9090A"/>
    <w:rsid w:val="00D95052"/>
    <w:rsid w:val="00D96084"/>
    <w:rsid w:val="00DA6660"/>
    <w:rsid w:val="00DC5B52"/>
    <w:rsid w:val="00DC6B31"/>
    <w:rsid w:val="00DD515F"/>
    <w:rsid w:val="00DF25D7"/>
    <w:rsid w:val="00DF54AF"/>
    <w:rsid w:val="00DF555F"/>
    <w:rsid w:val="00DF56A7"/>
    <w:rsid w:val="00E023B5"/>
    <w:rsid w:val="00E07201"/>
    <w:rsid w:val="00E11FBC"/>
    <w:rsid w:val="00E12CB4"/>
    <w:rsid w:val="00E15EC7"/>
    <w:rsid w:val="00E17DF6"/>
    <w:rsid w:val="00E33169"/>
    <w:rsid w:val="00E4458C"/>
    <w:rsid w:val="00E51AC4"/>
    <w:rsid w:val="00E61D77"/>
    <w:rsid w:val="00E6528C"/>
    <w:rsid w:val="00E73F4D"/>
    <w:rsid w:val="00E83650"/>
    <w:rsid w:val="00EA39D7"/>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65739"/>
    <w:rsid w:val="00F7274D"/>
    <w:rsid w:val="00F81A18"/>
    <w:rsid w:val="00F95333"/>
    <w:rsid w:val="00FA0C58"/>
    <w:rsid w:val="00FA11BE"/>
    <w:rsid w:val="00FA1911"/>
    <w:rsid w:val="00FA233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3B5E5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3B5E5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0E6A8D"/>
    <w:rsid w:val="0015011A"/>
    <w:rsid w:val="00202DDA"/>
    <w:rsid w:val="002C7DC1"/>
    <w:rsid w:val="00443EA4"/>
    <w:rsid w:val="00453C4E"/>
    <w:rsid w:val="0051307B"/>
    <w:rsid w:val="00583D19"/>
    <w:rsid w:val="00722728"/>
    <w:rsid w:val="00787EBD"/>
    <w:rsid w:val="007C3485"/>
    <w:rsid w:val="008E118A"/>
    <w:rsid w:val="00A104A7"/>
    <w:rsid w:val="00A46AF5"/>
    <w:rsid w:val="00AB484A"/>
    <w:rsid w:val="00B54AE5"/>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E3BD7-9B52-470C-B92F-8F3ABC24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1221</TotalTime>
  <Pages>5</Pages>
  <Words>1119</Words>
  <Characters>6157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8</cp:revision>
  <cp:lastPrinted>2008-09-26T23:14:00Z</cp:lastPrinted>
  <dcterms:created xsi:type="dcterms:W3CDTF">2023-04-20T12:07:00Z</dcterms:created>
  <dcterms:modified xsi:type="dcterms:W3CDTF">2023-05-16T10:38:00Z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