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Content>
                              <w:p w:rsidR="00AA698E" w:rsidRPr="00006957" w:rsidRDefault="00AA698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TxTQhd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D3944" w:rsidRPr="00006957" w:rsidRDefault="002D394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698E" w:rsidRDefault="00AA698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D3944" w:rsidRDefault="002D394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F42F5A" w:rsidP="002A3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Ingeniería y Economía del Transporte </w:t>
            </w:r>
            <w:r w:rsidR="005513BB">
              <w:rPr>
                <w:sz w:val="24"/>
                <w:szCs w:val="24"/>
              </w:rPr>
              <w:t xml:space="preserve">(INECO) </w:t>
            </w:r>
            <w:r>
              <w:rPr>
                <w:sz w:val="24"/>
                <w:szCs w:val="24"/>
              </w:rPr>
              <w:t>SME MP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552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26/04/2023</w:t>
            </w:r>
          </w:p>
          <w:p w:rsidR="00E92DCB" w:rsidRPr="00CB5511" w:rsidRDefault="00E9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11/05/2023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476D2" w:rsidRPr="00CB5511" w:rsidRDefault="00AA698E" w:rsidP="005476D2">
            <w:pPr>
              <w:rPr>
                <w:sz w:val="24"/>
                <w:szCs w:val="24"/>
              </w:rPr>
            </w:pPr>
            <w:hyperlink r:id="rId12" w:history="1">
              <w:r w:rsidR="005476D2" w:rsidRPr="00D058A8">
                <w:rPr>
                  <w:rStyle w:val="Hipervnculo"/>
                  <w:sz w:val="24"/>
                  <w:szCs w:val="24"/>
                </w:rPr>
                <w:t>https://www.ineco.com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A86859">
        <w:tc>
          <w:tcPr>
            <w:tcW w:w="1760" w:type="dxa"/>
            <w:shd w:val="clear" w:color="auto" w:fill="4D7F52"/>
          </w:tcPr>
          <w:p w:rsidR="00C43711" w:rsidRPr="00F14DA4" w:rsidRDefault="00C43711" w:rsidP="00A868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A868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A8685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A86859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2A3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</w:p>
        </w:tc>
        <w:tc>
          <w:tcPr>
            <w:tcW w:w="709" w:type="dxa"/>
            <w:vAlign w:val="center"/>
          </w:tcPr>
          <w:p w:rsidR="00C43711" w:rsidRPr="004A123A" w:rsidRDefault="00AA698E" w:rsidP="00A86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A86859">
        <w:tc>
          <w:tcPr>
            <w:tcW w:w="1760" w:type="dxa"/>
          </w:tcPr>
          <w:p w:rsidR="002A3BD9" w:rsidRDefault="002A3BD9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86859">
        <w:tc>
          <w:tcPr>
            <w:tcW w:w="1760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A8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8685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933787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3D6063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3D6063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44E0C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F86BF2" w:rsidP="005B6CF5">
            <w:pPr>
              <w:jc w:val="center"/>
            </w:pPr>
            <w:r w:rsidRPr="00F86BF2">
              <w:rPr>
                <w:b/>
              </w:rPr>
              <w:t>x</w:t>
            </w:r>
          </w:p>
        </w:tc>
      </w:tr>
      <w:tr w:rsidR="005F29B8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A8685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86859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AA698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9540B5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9540B5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667253" w:rsidRPr="00667253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57178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Pr="00667253" w:rsidRDefault="005524AF" w:rsidP="006672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7253">
              <w:rPr>
                <w:sz w:val="20"/>
                <w:szCs w:val="20"/>
              </w:rPr>
              <w:t>Algunas informaciones se publican al margen del Portal de Transparencia</w:t>
            </w:r>
            <w:r w:rsidR="00667253">
              <w:rPr>
                <w:sz w:val="20"/>
                <w:szCs w:val="20"/>
              </w:rPr>
              <w:t>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9540B5" w:rsidRDefault="005476D2" w:rsidP="009540B5">
      <w:pPr>
        <w:jc w:val="center"/>
      </w:pPr>
      <w:r>
        <w:rPr>
          <w:noProof/>
        </w:rPr>
        <w:drawing>
          <wp:inline distT="0" distB="0" distL="0" distR="0" wp14:anchorId="42054DC5" wp14:editId="6085545C">
            <wp:extent cx="6645910" cy="2868295"/>
            <wp:effectExtent l="0" t="0" r="2540" b="825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B10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B5" w:rsidRDefault="009540B5"/>
    <w:p w:rsidR="00C12508" w:rsidRDefault="00C12508" w:rsidP="00C12508">
      <w:pPr>
        <w:jc w:val="center"/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5278E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278E7" w:rsidRPr="00E34195" w:rsidRDefault="005278E7" w:rsidP="005278E7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B616B3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C2B4E" w:rsidRDefault="005278E7" w:rsidP="006C4CAB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</w:t>
            </w:r>
            <w:r w:rsidR="005476D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también en Información jurídica. No existen referencias a la última fecha en la que se revisó o actualizó la información.</w:t>
            </w:r>
          </w:p>
        </w:tc>
      </w:tr>
      <w:tr w:rsidR="005278E7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78E7" w:rsidRPr="00E34195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CC2B4E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C2B4E" w:rsidRDefault="005278E7" w:rsidP="006C4CAB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Portal de Transparencia/Información institucional.</w:t>
            </w:r>
            <w:r w:rsidR="002069C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069CA"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 w:rsidR="002069C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5278E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278E7" w:rsidRPr="00E34195" w:rsidRDefault="005278E7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5278E7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C2B4E" w:rsidRDefault="000211C1" w:rsidP="006C4CAB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institucional se localiza la </w:t>
            </w:r>
            <w:r w:rsidR="00D0752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de la estructura de los órganos de gobierno: Junta General, Consejo de Administración, Comisión de Auditoría y Control y Comité de Dirección</w:t>
            </w:r>
            <w:r w:rsidR="005278E7"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069C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069CA"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 w:rsidR="002069C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5278E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78E7" w:rsidRPr="00CB5511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E34195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2069CA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7143FA" w:rsidRDefault="002069CA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página home,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C832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Quiénes somos/Equipo directivo</w:t>
            </w: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C832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aparece en formato reutilizable.</w:t>
            </w:r>
          </w:p>
        </w:tc>
      </w:tr>
      <w:tr w:rsidR="005278E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78E7" w:rsidRPr="00CB5511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E34195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C4CA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</w:t>
            </w: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7143FA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7143FA" w:rsidRDefault="006C4CAB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página home,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Quiénes somos/Equipo directivo</w:t>
            </w: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no aparece en formato reutilizable.</w:t>
            </w:r>
          </w:p>
        </w:tc>
      </w:tr>
      <w:tr w:rsidR="005278E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78E7" w:rsidRPr="00CB5511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E34195" w:rsidRDefault="005278E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CB5511" w:rsidRDefault="005278E7" w:rsidP="004B6DF1">
            <w:pPr>
              <w:pStyle w:val="Cuerpodelboletn"/>
              <w:numPr>
                <w:ilvl w:val="0"/>
                <w:numId w:val="1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78E7" w:rsidRPr="00073111" w:rsidRDefault="006C4CAB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página home,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Quiénes somos/Equipo directivo</w:t>
            </w:r>
            <w:r w:rsidRPr="00CC2B4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 w:rsidR="007B393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073111" w:rsidRDefault="00073111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8E" w:rsidRDefault="00AA698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A698E" w:rsidRPr="00026650" w:rsidRDefault="00AA698E" w:rsidP="0007311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>La información publicada recoge la totalidad de los contenidos obligatorios establecidos en el artículo 6 de la LTAIBG.</w:t>
                            </w:r>
                          </w:p>
                          <w:p w:rsidR="00AA698E" w:rsidRDefault="00AA698E" w:rsidP="00073111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AA698E" w:rsidRPr="003B263C" w:rsidRDefault="00AA698E" w:rsidP="00073111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3B263C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A698E" w:rsidRPr="006C4CAB" w:rsidRDefault="00AA698E" w:rsidP="0007311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7B3939">
                              <w:rPr>
                                <w:sz w:val="20"/>
                                <w:szCs w:val="20"/>
                              </w:rPr>
                              <w:t>Algunas informaciones no están data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7B3939">
                              <w:rPr>
                                <w:sz w:val="20"/>
                                <w:szCs w:val="20"/>
                              </w:rPr>
                              <w:t xml:space="preserve">s y no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existen referencias a la última vez que se revisó o actualizó la información.</w:t>
                            </w:r>
                          </w:p>
                          <w:p w:rsidR="00AA698E" w:rsidRPr="007B3939" w:rsidRDefault="00AA698E" w:rsidP="0007311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toda la información </w:t>
                            </w:r>
                            <w:r w:rsidRPr="00667253">
                              <w:rPr>
                                <w:sz w:val="20"/>
                                <w:szCs w:val="20"/>
                              </w:rPr>
                              <w:t>se publica en formatos reutilizables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92DCB" w:rsidRDefault="00E92DC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92DCB" w:rsidRPr="00026650" w:rsidRDefault="00E92DCB" w:rsidP="0007311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>La información publicada recoge la totalidad de los contenidos obligatorios establecidos en el artículo 6 de la LTAIBG.</w:t>
                      </w:r>
                    </w:p>
                    <w:p w:rsidR="00E92DCB" w:rsidRDefault="00E92DCB" w:rsidP="00073111">
                      <w:pPr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E92DCB" w:rsidRPr="003B263C" w:rsidRDefault="00E92DCB" w:rsidP="00073111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3B263C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92DCB" w:rsidRPr="006C4CAB" w:rsidRDefault="00E92DCB" w:rsidP="0007311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</w:rPr>
                      </w:pPr>
                      <w:r w:rsidRPr="007B3939">
                        <w:rPr>
                          <w:sz w:val="20"/>
                          <w:szCs w:val="20"/>
                        </w:rPr>
                        <w:t>Algunas informaciones no están data</w:t>
                      </w:r>
                      <w:r>
                        <w:rPr>
                          <w:sz w:val="20"/>
                          <w:szCs w:val="20"/>
                        </w:rPr>
                        <w:t>da</w:t>
                      </w:r>
                      <w:r w:rsidRPr="007B3939">
                        <w:rPr>
                          <w:sz w:val="20"/>
                          <w:szCs w:val="20"/>
                        </w:rPr>
                        <w:t xml:space="preserve">s y no </w:t>
                      </w:r>
                      <w:r>
                        <w:rPr>
                          <w:sz w:val="20"/>
                          <w:szCs w:val="20"/>
                        </w:rPr>
                        <w:t>existen referencias a la última vez que se revisó o actualizó la información.</w:t>
                      </w:r>
                    </w:p>
                    <w:p w:rsidR="00E92DCB" w:rsidRPr="007B3939" w:rsidRDefault="00E92DCB" w:rsidP="0007311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toda la información </w:t>
                      </w:r>
                      <w:r w:rsidRPr="00667253">
                        <w:rPr>
                          <w:sz w:val="20"/>
                          <w:szCs w:val="20"/>
                        </w:rPr>
                        <w:t>se publica en formatos reutilizables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BF1FCE" w:rsidRDefault="00BF1FCE">
      <w:pPr>
        <w:rPr>
          <w:rStyle w:val="Ttulo2Car"/>
          <w:lang w:bidi="es-ES"/>
        </w:rPr>
      </w:pPr>
    </w:p>
    <w:p w:rsidR="00667253" w:rsidRDefault="00667253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709"/>
        <w:gridCol w:w="5187"/>
      </w:tblGrid>
      <w:tr w:rsidR="00C33A23" w:rsidRPr="00E34195" w:rsidTr="00BF1FCE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0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187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6069C8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B543F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CB54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F82AC8">
            <w:pPr>
              <w:pStyle w:val="Cuerpodelboletn"/>
              <w:numPr>
                <w:ilvl w:val="0"/>
                <w:numId w:val="1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F1FCE" w:rsidRPr="008742FD" w:rsidRDefault="00F82AC8" w:rsidP="00536C98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Localizables en el Portal de Transparencia/Información económica/Listado de adjudicaciones los correspondientes a los dos últimos años. </w:t>
            </w:r>
            <w:r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536C98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incluye información sobre </w:t>
            </w:r>
            <w:r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instrumentos de publicidad</w:t>
            </w:r>
            <w:r w:rsidR="00536C98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que es un ítem informativo obligatorio según establece el artículo 8.1. a)</w:t>
            </w:r>
            <w:r w:rsidR="008742FD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6069C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F82AC8">
            <w:pPr>
              <w:pStyle w:val="Cuerpodelboletn"/>
              <w:numPr>
                <w:ilvl w:val="0"/>
                <w:numId w:val="1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069C8" w:rsidRDefault="00F82AC8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Localizables en el Portal de Transparencia/Información económica/Listado de adjudicaciones los correspondientes a los dos últimos años. </w:t>
            </w:r>
          </w:p>
        </w:tc>
      </w:tr>
      <w:tr w:rsidR="00C33A23" w:rsidRPr="00CB5511" w:rsidTr="006069C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31F15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131F15" w:rsidRDefault="007B3939" w:rsidP="00F82AC8">
            <w:pPr>
              <w:pStyle w:val="Cuerpodelboletn"/>
              <w:spacing w:before="120" w:after="120" w:line="360" w:lineRule="auto"/>
              <w:rPr>
                <w:rStyle w:val="Ttulo2Car"/>
                <w:strike/>
                <w:sz w:val="20"/>
                <w:szCs w:val="20"/>
                <w:lang w:bidi="es-ES"/>
              </w:rPr>
            </w:pPr>
            <w:r w:rsidRPr="007B393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3D6063" w:rsidRPr="00CB5511" w:rsidTr="006069C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3D6063" w:rsidRPr="00E34195" w:rsidRDefault="003D606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D6063" w:rsidRDefault="003D6063" w:rsidP="003D606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D60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D6063" w:rsidRPr="00CB5511" w:rsidRDefault="003D6063" w:rsidP="00F82AC8">
            <w:pPr>
              <w:pStyle w:val="Cuerpodelboletn"/>
              <w:numPr>
                <w:ilvl w:val="0"/>
                <w:numId w:val="1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D6063" w:rsidRPr="00DF028B" w:rsidRDefault="00F82AC8" w:rsidP="00AA698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Localizables en el Portal de Transparencia/Datos estadísticos/Estadísticas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adjudicaciones</w:t>
            </w:r>
          </w:p>
        </w:tc>
      </w:tr>
      <w:tr w:rsidR="00C33A23" w:rsidRPr="00CB5511" w:rsidTr="006069C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DF028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71022" w:rsidP="00667253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Localizables en el Portal de Transparencia/Información económica/Listado de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adjudicaciones los correspondientes a los dos últimos años.</w:t>
            </w:r>
          </w:p>
        </w:tc>
      </w:tr>
      <w:tr w:rsidR="00C33A23" w:rsidRPr="00CB5511" w:rsidTr="006069C8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5717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lación</w:t>
            </w: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los convenios suscritos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256D0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571783" w:rsidP="00256D09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Convenios vigentes, actualizados a febrero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2023.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cuadro no recoge todos los ítems a los que obliga la ley: 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publica el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objeto, plazo</w:t>
            </w:r>
            <w:r w:rsidR="00C0690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la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C0690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obligaci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ones</w:t>
            </w:r>
            <w:r w:rsidR="00C0690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económica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s, que en su caso, derivan del convenio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</w:t>
            </w:r>
            <w:r w:rsidR="00C0690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las </w:t>
            </w:r>
            <w:r w:rsidR="00DF3C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posibles modificaciones.</w:t>
            </w:r>
            <w:r w:rsidR="00256D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56D09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Dado que sólo se ha incorporado un 28,6% de los ítems informativos que establece la LTAIBG en su artículo 8.1 b) se ha considerado no cumplida esta obligación.</w:t>
            </w:r>
          </w:p>
        </w:tc>
      </w:tr>
      <w:tr w:rsidR="009609E9" w:rsidRPr="00CB5511" w:rsidTr="006069C8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E26925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E26925" w:rsidP="00AA698E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en </w:t>
            </w:r>
            <w:r w:rsidR="005717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Portal de Transparencia/Información económica/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Ingresos y subvenciones se </w:t>
            </w:r>
            <w:r w:rsidR="00AA69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sobre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subvenciones recibidas, </w:t>
            </w:r>
            <w:r w:rsidR="00256D09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publican las subvenciones concedidas por la sociedad, que es </w:t>
            </w:r>
            <w:r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contenido material de esta obligación</w:t>
            </w:r>
            <w:r w:rsidR="00256D09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para entidades públicas</w:t>
            </w:r>
            <w:r w:rsidR="00571783" w:rsidRPr="0066725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6069C8">
        <w:trPr>
          <w:trHeight w:val="159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DA5B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CC459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CC459B" w:rsidP="00A31466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</w:t>
            </w:r>
            <w:r w:rsidR="00E269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el Portal de Transparencia/Información económica</w:t>
            </w:r>
            <w:r w:rsidR="00E269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/Presupuestos de explotación y cap</w:t>
            </w:r>
            <w:r w:rsidR="00E92DC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ital los correspondientes a 2023</w:t>
            </w:r>
            <w:r w:rsidR="00E269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6069C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B17BB8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B17BB8" w:rsidP="00A31466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</w:t>
            </w:r>
            <w:r w:rsidR="00A314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el Portal de Transparencia/Información económica</w:t>
            </w:r>
            <w:r w:rsidR="00A314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/Cuentas anuales e informes de auditoría/Balance, cuenta pérdidas y ganancias </w:t>
            </w:r>
            <w:r w:rsidR="00E92DC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2022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6069C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256D0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256D09" w:rsidP="008B3F55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 w:rsidR="00B17BB8"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Portal de Transparencia/Información económica</w:t>
            </w:r>
            <w:r w:rsidR="00A31466"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</w:t>
            </w:r>
            <w:r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 el </w:t>
            </w:r>
            <w:r w:rsidR="00E92DC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 auditoría 2022</w:t>
            </w:r>
            <w:r w:rsidR="00A31466"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elaborado</w:t>
            </w:r>
            <w:r w:rsidR="00A31466"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</w:t>
            </w:r>
            <w:r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una firma de auditoría independiente, pero no se publican los informes elaborados por el Tribunal de Cuentas que es a lo </w:t>
            </w:r>
            <w:r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que se refiere el conten</w:t>
            </w:r>
            <w:r w:rsid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ido material de esta obligación</w:t>
            </w:r>
            <w:r w:rsidR="00B17BB8"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6069C8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B17BB8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17BB8" w:rsidP="005513BB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</w:t>
            </w:r>
            <w:r w:rsidR="00A314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conómica</w:t>
            </w:r>
            <w:r w:rsidR="00A314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/Remuneración altos cargos las relativas al Presidente. </w:t>
            </w:r>
            <w:r w:rsidR="00A31466" w:rsidRPr="00F4357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y tampoco se publica la fecha de la última actualización o revisión de la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D394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D3944" w:rsidRPr="008B3F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 otra parte, no se publican las retribuciones de las personas que integran el Comité de Dirección, que a efectos de cumplimiento de  la Ley de Transparencia, tiene la consideración de máximos responsables.</w:t>
            </w:r>
          </w:p>
        </w:tc>
      </w:tr>
      <w:tr w:rsidR="00BD4582" w:rsidRPr="00CB5511" w:rsidTr="006069C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A3146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A31466" w:rsidP="005513BB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1147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86BF2" w:rsidRPr="00CB5511" w:rsidTr="006069C8">
        <w:trPr>
          <w:trHeight w:val="1703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F86BF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06666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CB5511" w:rsidRDefault="00F86BF2" w:rsidP="00A3146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AD29E8" w:rsidRDefault="00A31466" w:rsidP="005513BB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114793">
              <w:rPr>
                <w:rFonts w:ascii="Arial" w:hAnsi="Arial" w:cs="Arial"/>
                <w:color w:val="555555"/>
                <w:shd w:val="clear" w:color="auto" w:fill="FFFFFF"/>
              </w:rPr>
              <w:t>.</w:t>
            </w:r>
          </w:p>
        </w:tc>
      </w:tr>
      <w:tr w:rsidR="00F86BF2" w:rsidRPr="00CB5511" w:rsidTr="006069C8">
        <w:trPr>
          <w:trHeight w:val="1703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86BF2" w:rsidRDefault="00F86BF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A8685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665CC1" w:rsidRDefault="00F86BF2" w:rsidP="00A3146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86BF2" w:rsidRPr="00AD29E8" w:rsidRDefault="00A31466" w:rsidP="0011479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8B3F55" w:rsidRDefault="008B3F5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B3F55" w:rsidRDefault="008B3F5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32BBB" w:rsidRDefault="00B32BB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32BBB" w:rsidRDefault="00B32BB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32BBB" w:rsidRDefault="00B32BB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32BBB" w:rsidRDefault="00B32BB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E9AC5" wp14:editId="75545287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8E" w:rsidRDefault="00AA698E" w:rsidP="001B6EC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A698E" w:rsidRPr="00EF7E5C" w:rsidRDefault="00AA698E" w:rsidP="001B6EC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AA698E" w:rsidRPr="008B3F55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3F55">
                              <w:rPr>
                                <w:sz w:val="20"/>
                                <w:szCs w:val="20"/>
                              </w:rPr>
                              <w:t>La información sobre contratos mayores no incluye todos los ítems obligatorios que establece la LTAIBG en su artículo 8.1.a</w:t>
                            </w:r>
                          </w:p>
                          <w:p w:rsidR="00AA698E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B3939">
                              <w:rPr>
                                <w:sz w:val="20"/>
                                <w:szCs w:val="20"/>
                              </w:rPr>
                              <w:t>No se ha localizado información sobre desistimientos y renuncias a contratos adjudicados.</w:t>
                            </w:r>
                          </w:p>
                          <w:p w:rsidR="00AA698E" w:rsidRPr="008B3F55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3F55">
                              <w:rPr>
                                <w:sz w:val="20"/>
                                <w:szCs w:val="20"/>
                              </w:rPr>
                              <w:t xml:space="preserve">La información sobre convenios publicada,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 xml:space="preserve">no incluye la mayoría de  los ítems informativos que contempla el artículo </w:t>
                            </w:r>
                            <w:proofErr w:type="spellStart"/>
                            <w:r w:rsidR="00B32BBB">
                              <w:rPr>
                                <w:sz w:val="20"/>
                                <w:szCs w:val="20"/>
                              </w:rPr>
                              <w:t>8.1.b</w:t>
                            </w:r>
                            <w:proofErr w:type="spellEnd"/>
                            <w:r w:rsidR="00B32BBB">
                              <w:rPr>
                                <w:sz w:val="20"/>
                                <w:szCs w:val="20"/>
                              </w:rPr>
                              <w:t xml:space="preserve"> de la LTAIBG</w:t>
                            </w:r>
                            <w:r w:rsidRPr="008B3F5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A698E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posibles subvenciones que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la sociedad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haya podido conceder a terceros. En caso de no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haberse concedido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este hecho debería figurar expresamente.</w:t>
                            </w:r>
                          </w:p>
                          <w:p w:rsidR="00AA698E" w:rsidRPr="008B3F55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3F55">
                              <w:rPr>
                                <w:sz w:val="20"/>
                                <w:szCs w:val="20"/>
                              </w:rPr>
                              <w:t>La información sobre retribuciones está incompleta, ya que no se informa sobre las retribuciones percibidas por los miembros del Comité de Dirección. Por otra parte, la información no está datada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8B3F55">
                              <w:rPr>
                                <w:sz w:val="20"/>
                                <w:szCs w:val="20"/>
                              </w:rPr>
                              <w:t xml:space="preserve"> por lo que no es posible conocer a qué ejercicio económico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está</w:t>
                            </w:r>
                            <w:r w:rsidRPr="008B3F55">
                              <w:rPr>
                                <w:sz w:val="20"/>
                                <w:szCs w:val="20"/>
                              </w:rPr>
                              <w:t xml:space="preserve"> referida.</w:t>
                            </w:r>
                          </w:p>
                          <w:p w:rsidR="00AA698E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indemnizaciones percibidas por altos cargos con ocasión del abandono del cargo.</w:t>
                            </w:r>
                          </w:p>
                          <w:p w:rsidR="00AA698E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resoluciones de autorización o reconocimiento de compatibilidad que afecten a los empleados.</w:t>
                            </w:r>
                          </w:p>
                          <w:p w:rsidR="00AA698E" w:rsidRPr="007B3939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autorizaciones para actividad privada al cese de altos cargos en el organismo.</w:t>
                            </w:r>
                          </w:p>
                          <w:p w:rsidR="00AA698E" w:rsidRDefault="00AA698E" w:rsidP="001B6ECD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C01380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A698E" w:rsidRPr="007B3939" w:rsidRDefault="00AA698E" w:rsidP="001B6EC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 xml:space="preserve">siempre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 publican referencias a la fecha en que se revisó o actualizó la información por última vez, por lo que no se puede afirmar que la información publicada cumpla el requisito de actualización</w:t>
                            </w:r>
                            <w:r w:rsidRPr="007B3939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6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SvPhCSwCAABU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:rsidR="00AA698E" w:rsidRDefault="00AA698E" w:rsidP="001B6EC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A698E" w:rsidRPr="00EF7E5C" w:rsidRDefault="00AA698E" w:rsidP="001B6EC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AA698E" w:rsidRPr="008B3F55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B3F55">
                        <w:rPr>
                          <w:sz w:val="20"/>
                          <w:szCs w:val="20"/>
                        </w:rPr>
                        <w:t>La información sobre contratos mayores no incluye todos los ítems obligatorios que establece la LTAIBG en su artículo 8.1.a</w:t>
                      </w:r>
                    </w:p>
                    <w:p w:rsidR="00AA698E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B3939">
                        <w:rPr>
                          <w:sz w:val="20"/>
                          <w:szCs w:val="20"/>
                        </w:rPr>
                        <w:t>No se ha localizado información sobre desistimientos y renuncias a contratos adjudicados.</w:t>
                      </w:r>
                    </w:p>
                    <w:p w:rsidR="00AA698E" w:rsidRPr="008B3F55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B3F55">
                        <w:rPr>
                          <w:sz w:val="20"/>
                          <w:szCs w:val="20"/>
                        </w:rPr>
                        <w:t xml:space="preserve">La información sobre convenios publicada, </w:t>
                      </w:r>
                      <w:r w:rsidR="00B32BBB">
                        <w:rPr>
                          <w:sz w:val="20"/>
                          <w:szCs w:val="20"/>
                        </w:rPr>
                        <w:t xml:space="preserve">no incluye la mayoría de  los ítems informativos que contempla el artículo </w:t>
                      </w:r>
                      <w:proofErr w:type="spellStart"/>
                      <w:r w:rsidR="00B32BBB">
                        <w:rPr>
                          <w:sz w:val="20"/>
                          <w:szCs w:val="20"/>
                        </w:rPr>
                        <w:t>8.1.b</w:t>
                      </w:r>
                      <w:proofErr w:type="spellEnd"/>
                      <w:r w:rsidR="00B32BBB">
                        <w:rPr>
                          <w:sz w:val="20"/>
                          <w:szCs w:val="20"/>
                        </w:rPr>
                        <w:t xml:space="preserve"> de la LTAIBG</w:t>
                      </w:r>
                      <w:r w:rsidRPr="008B3F5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A698E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posibles subvenciones que </w:t>
                      </w:r>
                      <w:r w:rsidR="00B32BBB">
                        <w:rPr>
                          <w:sz w:val="20"/>
                          <w:szCs w:val="20"/>
                        </w:rPr>
                        <w:t>la sociedad</w:t>
                      </w:r>
                      <w:r>
                        <w:rPr>
                          <w:sz w:val="20"/>
                          <w:szCs w:val="20"/>
                        </w:rPr>
                        <w:t xml:space="preserve"> haya podido conceder a terceros. En caso de no </w:t>
                      </w:r>
                      <w:r w:rsidR="00B32BBB">
                        <w:rPr>
                          <w:sz w:val="20"/>
                          <w:szCs w:val="20"/>
                        </w:rPr>
                        <w:t>haberse concedido</w:t>
                      </w:r>
                      <w:r>
                        <w:rPr>
                          <w:sz w:val="20"/>
                          <w:szCs w:val="20"/>
                        </w:rPr>
                        <w:t>, este hecho debería figurar expresamente.</w:t>
                      </w:r>
                    </w:p>
                    <w:p w:rsidR="00AA698E" w:rsidRPr="008B3F55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B3F55">
                        <w:rPr>
                          <w:sz w:val="20"/>
                          <w:szCs w:val="20"/>
                        </w:rPr>
                        <w:t>La información sobre retribuciones está incompleta, ya que no se informa sobre las retribuciones percibidas por los miembros del Comité de Dirección. Por otra parte, la información no está datada</w:t>
                      </w:r>
                      <w:r w:rsidR="00B32BBB">
                        <w:rPr>
                          <w:sz w:val="20"/>
                          <w:szCs w:val="20"/>
                        </w:rPr>
                        <w:t>,</w:t>
                      </w:r>
                      <w:r w:rsidRPr="008B3F55">
                        <w:rPr>
                          <w:sz w:val="20"/>
                          <w:szCs w:val="20"/>
                        </w:rPr>
                        <w:t xml:space="preserve"> por lo que no es posible conocer a qué ejercicio económico </w:t>
                      </w:r>
                      <w:r w:rsidR="00B32BBB">
                        <w:rPr>
                          <w:sz w:val="20"/>
                          <w:szCs w:val="20"/>
                        </w:rPr>
                        <w:t>está</w:t>
                      </w:r>
                      <w:r w:rsidRPr="008B3F55">
                        <w:rPr>
                          <w:sz w:val="20"/>
                          <w:szCs w:val="20"/>
                        </w:rPr>
                        <w:t xml:space="preserve"> referida.</w:t>
                      </w:r>
                    </w:p>
                    <w:p w:rsidR="00AA698E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indemnizaciones percibidas por altos cargos con ocasión del abandono del cargo.</w:t>
                      </w:r>
                    </w:p>
                    <w:p w:rsidR="00AA698E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resoluciones de autorización o reconocimiento de compatibilidad que afecten a los empleados.</w:t>
                      </w:r>
                    </w:p>
                    <w:p w:rsidR="00AA698E" w:rsidRPr="007B3939" w:rsidRDefault="00AA698E" w:rsidP="001B6EC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autorizaciones para actividad privada al cese de altos cargos en el organismo.</w:t>
                      </w:r>
                    </w:p>
                    <w:p w:rsidR="00AA698E" w:rsidRDefault="00AA698E" w:rsidP="001B6ECD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C01380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AA698E" w:rsidRPr="007B3939" w:rsidRDefault="00AA698E" w:rsidP="001B6EC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="00B32BBB">
                        <w:rPr>
                          <w:sz w:val="20"/>
                          <w:szCs w:val="20"/>
                        </w:rPr>
                        <w:t xml:space="preserve">siempre </w:t>
                      </w:r>
                      <w:r>
                        <w:rPr>
                          <w:sz w:val="20"/>
                          <w:szCs w:val="20"/>
                        </w:rPr>
                        <w:t>se publican referencias a la fecha en que se revisó o actualizó la información por última vez, por lo que no se puede afirmar que la información publicada cumpla el requisito de actualización</w:t>
                      </w:r>
                      <w:r w:rsidRPr="007B3939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1B6ECD" w:rsidRDefault="001B6ECD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5513BB" w:rsidRDefault="005513B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D3944" w:rsidRDefault="002D3944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1B6ECD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Ín</w:t>
      </w:r>
      <w:r w:rsidR="00BD4582" w:rsidRPr="00BD4582">
        <w:rPr>
          <w:b/>
          <w:color w:val="00642D"/>
          <w:sz w:val="32"/>
        </w:rPr>
        <w:t>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D3944" w:rsidRPr="002D3944" w:rsidTr="002D3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D3944" w:rsidRPr="002D3944" w:rsidRDefault="002D3944" w:rsidP="002A154B">
            <w:pPr>
              <w:spacing w:before="120" w:after="120" w:line="312" w:lineRule="auto"/>
              <w:rPr>
                <w:rFonts w:cs="Calibri"/>
                <w:b w:val="0"/>
                <w:sz w:val="16"/>
                <w:szCs w:val="16"/>
              </w:rPr>
            </w:pPr>
            <w:r w:rsidRPr="002D3944">
              <w:rPr>
                <w:rFonts w:cs="Calibri"/>
                <w:b w:val="0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84,5</w:t>
            </w:r>
          </w:p>
        </w:tc>
      </w:tr>
      <w:tr w:rsidR="002D3944" w:rsidRPr="002D3944" w:rsidTr="002D394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D3944" w:rsidRPr="002D3944" w:rsidRDefault="002D3944" w:rsidP="00BB6799">
            <w:pPr>
              <w:spacing w:before="120" w:after="120" w:line="312" w:lineRule="auto"/>
              <w:jc w:val="both"/>
              <w:rPr>
                <w:rFonts w:cs="Calibri"/>
                <w:b w:val="0"/>
                <w:sz w:val="16"/>
                <w:szCs w:val="16"/>
              </w:rPr>
            </w:pPr>
            <w:r w:rsidRPr="002D3944">
              <w:rPr>
                <w:rFonts w:cs="Calibri"/>
                <w:b w:val="0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45,6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color w:val="000000"/>
                <w:sz w:val="16"/>
                <w:szCs w:val="22"/>
              </w:rPr>
              <w:t>44,8</w:t>
            </w:r>
          </w:p>
        </w:tc>
      </w:tr>
      <w:tr w:rsidR="002D3944" w:rsidRPr="002D3944" w:rsidTr="002D3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D3944" w:rsidRPr="002D3944" w:rsidRDefault="002D3944" w:rsidP="00BB6799">
            <w:pPr>
              <w:spacing w:before="120" w:after="120" w:line="312" w:lineRule="auto"/>
              <w:jc w:val="both"/>
              <w:rPr>
                <w:rFonts w:cs="Calibri"/>
                <w:b w:val="0"/>
                <w:i/>
                <w:sz w:val="16"/>
                <w:szCs w:val="16"/>
              </w:rPr>
            </w:pPr>
            <w:r w:rsidRPr="002D3944">
              <w:rPr>
                <w:rFonts w:cs="Calibri"/>
                <w:b w:val="0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61,9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57,5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27,5</w:t>
            </w:r>
          </w:p>
        </w:tc>
        <w:tc>
          <w:tcPr>
            <w:tcW w:w="0" w:type="auto"/>
            <w:noWrap/>
            <w:vAlign w:val="center"/>
          </w:tcPr>
          <w:p w:rsidR="002D3944" w:rsidRPr="002D3944" w:rsidRDefault="002D3944" w:rsidP="002D3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6"/>
                <w:szCs w:val="22"/>
              </w:rPr>
            </w:pPr>
            <w:r w:rsidRPr="002D3944">
              <w:rPr>
                <w:rFonts w:cs="Calibri"/>
                <w:b/>
                <w:i/>
                <w:color w:val="000000"/>
                <w:sz w:val="16"/>
                <w:szCs w:val="22"/>
              </w:rPr>
              <w:t>56,7</w:t>
            </w:r>
          </w:p>
        </w:tc>
      </w:tr>
    </w:tbl>
    <w:p w:rsidR="00BD4582" w:rsidRPr="002D3944" w:rsidRDefault="00BD4582" w:rsidP="00BD4582">
      <w:pPr>
        <w:pStyle w:val="Cuerpodelboletn"/>
        <w:spacing w:before="120" w:after="120" w:line="312" w:lineRule="auto"/>
        <w:ind w:left="720"/>
        <w:rPr>
          <w:color w:val="50866C"/>
          <w:sz w:val="32"/>
        </w:rPr>
      </w:pPr>
    </w:p>
    <w:p w:rsidR="006F2DCF" w:rsidRDefault="006F2DCF" w:rsidP="00E65BFB">
      <w:pPr>
        <w:pStyle w:val="Cuerpodelboletn"/>
        <w:spacing w:before="120" w:after="120" w:line="360" w:lineRule="auto"/>
      </w:pPr>
      <w:r w:rsidRPr="006F3CBB">
        <w:rPr>
          <w:color w:val="auto"/>
          <w:szCs w:val="22"/>
        </w:rPr>
        <w:t>El Índice de Cumplimiento de la Información Obligatoria</w:t>
      </w:r>
      <w:r>
        <w:rPr>
          <w:color w:val="auto"/>
          <w:szCs w:val="22"/>
        </w:rPr>
        <w:t xml:space="preserve"> (ICIO) se sitúa en el </w:t>
      </w:r>
      <w:r w:rsidR="002D3944">
        <w:rPr>
          <w:color w:val="auto"/>
          <w:szCs w:val="22"/>
        </w:rPr>
        <w:t>56,7</w:t>
      </w:r>
      <w:r>
        <w:rPr>
          <w:color w:val="auto"/>
          <w:szCs w:val="22"/>
        </w:rPr>
        <w:t xml:space="preserve">%. </w:t>
      </w:r>
      <w:r w:rsidRPr="00E833C7">
        <w:t xml:space="preserve">La falta de publicación de informaciones obligatorias – no se publica el </w:t>
      </w:r>
      <w:r w:rsidR="002D3944">
        <w:t>38,1</w:t>
      </w:r>
      <w:r>
        <w:t xml:space="preserve">% de ellas </w:t>
      </w:r>
      <w:r w:rsidR="00307F2C">
        <w:t>–</w:t>
      </w:r>
      <w:r w:rsidR="00692C29">
        <w:t xml:space="preserve"> </w:t>
      </w:r>
      <w:r w:rsidR="00692C29" w:rsidRPr="000B0EA1">
        <w:rPr>
          <w:color w:val="auto"/>
        </w:rPr>
        <w:t xml:space="preserve">y la falta de datación y de referencias a la fecha de actualización de la información </w:t>
      </w:r>
      <w:r w:rsidR="00692C29">
        <w:t xml:space="preserve">son los </w:t>
      </w:r>
      <w:r w:rsidR="00307F2C">
        <w:t>factor</w:t>
      </w:r>
      <w:r w:rsidR="00692C29">
        <w:t>es</w:t>
      </w:r>
      <w:r w:rsidR="00307F2C">
        <w:t xml:space="preserve"> que explica</w:t>
      </w:r>
      <w:r w:rsidR="00692C29">
        <w:t>n</w:t>
      </w:r>
      <w:r w:rsidRPr="009A519C">
        <w:t xml:space="preserve"> el nivel de cumplimiento alcanzado</w:t>
      </w:r>
      <w:r w:rsidRPr="00E833C7">
        <w:t>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8E" w:rsidRDefault="00AA698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AA698E" w:rsidRDefault="00AA698E" w:rsidP="00B93F8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Ingeniería y Economía del Transporte (INECO) publica informaciones adicionales a las obligatorias que son relevantes desde el punto de vista de la transparencia y la rendición de cuentas: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de medidas antifraude.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Dietas del Consejo de Administración.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Mención a deuda financiera inexistente.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Estadísticas relacionadas con quejas, reclamaciones y sugerencias 2022.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Estadísticas relacionadas con el derecho de acceso a la información 2022.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Certificaciones y acreditaciones.</w:t>
                            </w:r>
                          </w:p>
                          <w:p w:rsidR="00AA698E" w:rsidRDefault="00AA698E" w:rsidP="00117F3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de calidad, medio ambiente y seguridad y salud (abril 22).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AA698E" w:rsidRDefault="00AA698E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AA698E" w:rsidRDefault="00AA698E" w:rsidP="00B93F8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Ingeniería y Economía del Transporte (INECO) publica informaciones adicionales a las obligatorias que son relevantes desde el punto de vista de la transparencia y la rendición de cuentas: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de medidas antifraude.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Dietas del Consejo de Administración.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Mención a deuda financiera inexistente.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Estadísticas relacionadas con quejas, reclamaciones y sugerencias 2022.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Estadísticas relacionadas con el derecho de acceso a la información 2022.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Certificaciones y acreditaciones.</w:t>
                      </w:r>
                    </w:p>
                    <w:p w:rsidR="00AA698E" w:rsidRDefault="00AA698E" w:rsidP="00117F3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de calidad, medio ambiente y seguridad y salud (abril 22).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E65BFB" w:rsidRDefault="00E65BFB"/>
    <w:p w:rsidR="00E65BFB" w:rsidRDefault="00E65BFB"/>
    <w:p w:rsidR="00932008" w:rsidRDefault="006F2DCF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1CA01" wp14:editId="573F6B58">
                <wp:simplePos x="0" y="0"/>
                <wp:positionH relativeFrom="column">
                  <wp:posOffset>180975</wp:posOffset>
                </wp:positionH>
                <wp:positionV relativeFrom="paragraph">
                  <wp:posOffset>248920</wp:posOffset>
                </wp:positionV>
                <wp:extent cx="6217285" cy="1019175"/>
                <wp:effectExtent l="0" t="0" r="12065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8E" w:rsidRDefault="00AA698E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AA698E" w:rsidRDefault="00AA698E" w:rsidP="006F2DC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 cada uno de los apartados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que integran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el Portal de Transparencia,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se publica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 texto introductorio que </w:t>
                            </w:r>
                            <w:r w:rsidR="00B32BBB">
                              <w:rPr>
                                <w:sz w:val="20"/>
                                <w:szCs w:val="20"/>
                              </w:rPr>
                              <w:t>precisa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 contenido. </w:t>
                            </w:r>
                          </w:p>
                          <w:p w:rsidR="00AA698E" w:rsidRPr="00E65BFB" w:rsidRDefault="00AA698E" w:rsidP="00E65BF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E65BFB">
                              <w:rPr>
                                <w:sz w:val="20"/>
                                <w:szCs w:val="20"/>
                              </w:rPr>
                              <w:t>Habilitación de un Buzón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19.6pt;width:489.5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">
                <v:textbox>
                  <w:txbxContent>
                    <w:p w:rsidR="00AA698E" w:rsidRDefault="00AA698E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AA698E" w:rsidRDefault="00AA698E" w:rsidP="006F2DC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 cada uno de los apartados </w:t>
                      </w:r>
                      <w:r w:rsidR="00B32BBB">
                        <w:rPr>
                          <w:sz w:val="20"/>
                          <w:szCs w:val="20"/>
                        </w:rPr>
                        <w:t>que integran</w:t>
                      </w:r>
                      <w:r>
                        <w:rPr>
                          <w:sz w:val="20"/>
                          <w:szCs w:val="20"/>
                        </w:rPr>
                        <w:t xml:space="preserve"> el Portal de Transparencia, </w:t>
                      </w:r>
                      <w:r w:rsidR="00B32BBB">
                        <w:rPr>
                          <w:sz w:val="20"/>
                          <w:szCs w:val="20"/>
                        </w:rPr>
                        <w:t>se publica</w:t>
                      </w:r>
                      <w:r>
                        <w:rPr>
                          <w:sz w:val="20"/>
                          <w:szCs w:val="20"/>
                        </w:rPr>
                        <w:t xml:space="preserve"> un texto introductorio que </w:t>
                      </w:r>
                      <w:r w:rsidR="00B32BBB">
                        <w:rPr>
                          <w:sz w:val="20"/>
                          <w:szCs w:val="20"/>
                        </w:rPr>
                        <w:t>precisa</w:t>
                      </w:r>
                      <w:r>
                        <w:rPr>
                          <w:sz w:val="20"/>
                          <w:szCs w:val="20"/>
                        </w:rPr>
                        <w:t xml:space="preserve"> su contenido. </w:t>
                      </w:r>
                    </w:p>
                    <w:p w:rsidR="00AA698E" w:rsidRPr="00E65BFB" w:rsidRDefault="00AA698E" w:rsidP="00E65BF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 w:rsidRPr="00E65BFB">
                        <w:rPr>
                          <w:sz w:val="20"/>
                          <w:szCs w:val="20"/>
                        </w:rPr>
                        <w:t>Habilitación de un Buzón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6F2DCF" w:rsidRPr="00CA6E55" w:rsidRDefault="006F2DCF" w:rsidP="00E65BFB">
      <w:pPr>
        <w:spacing w:line="360" w:lineRule="auto"/>
        <w:jc w:val="both"/>
      </w:pPr>
      <w:r w:rsidRPr="00CA6E55">
        <w:lastRenderedPageBreak/>
        <w:t>Como se ha indicado el cumplimiento de las obligaciones de transparencia de la LTAIBG por parte de</w:t>
      </w:r>
      <w:r w:rsidR="00E65BFB">
        <w:t xml:space="preserve"> Ingeniería y Economía del Transporte (INECO)</w:t>
      </w:r>
      <w:r w:rsidRPr="00CA6E55">
        <w:t>, en función de la información disponible en su web, alcanza el</w:t>
      </w:r>
      <w:r>
        <w:t xml:space="preserve"> </w:t>
      </w:r>
      <w:r w:rsidR="00E65BFB">
        <w:t xml:space="preserve"> </w:t>
      </w:r>
      <w:r w:rsidR="009E792B">
        <w:t>56,7</w:t>
      </w:r>
      <w:r>
        <w:t>%.</w:t>
      </w:r>
    </w:p>
    <w:p w:rsidR="006F2DCF" w:rsidRDefault="006F2DCF" w:rsidP="00A005C8">
      <w:pPr>
        <w:spacing w:line="360" w:lineRule="auto"/>
        <w:jc w:val="both"/>
        <w:rPr>
          <w:b/>
          <w:color w:val="00642D"/>
        </w:rPr>
      </w:pPr>
      <w:r w:rsidRPr="00CA6E55">
        <w:t xml:space="preserve">A lo largo del informe se han señalado una serie de carencias. Por ello y para procurar avances en el grado de cumplimiento de la LTAIBG por parte </w:t>
      </w:r>
      <w:r w:rsidR="00E65BFB">
        <w:t>de Ingeniería y Economía del Transporte (INECO)</w:t>
      </w:r>
      <w:r w:rsidRPr="00CA6E55">
        <w:t xml:space="preserve">, este CTBG </w:t>
      </w:r>
      <w:r w:rsidRPr="0091626D">
        <w:rPr>
          <w:b/>
          <w:color w:val="00642D"/>
        </w:rPr>
        <w:t>recomienda:</w:t>
      </w:r>
    </w:p>
    <w:p w:rsidR="00E65BFB" w:rsidRPr="00CA6E55" w:rsidRDefault="00E65BFB" w:rsidP="006F2DCF">
      <w:pPr>
        <w:jc w:val="both"/>
      </w:pPr>
    </w:p>
    <w:p w:rsidR="006F2DCF" w:rsidRPr="0091626D" w:rsidRDefault="006F2DCF" w:rsidP="006F2DCF">
      <w:pPr>
        <w:spacing w:before="120" w:after="120" w:line="312" w:lineRule="auto"/>
        <w:jc w:val="both"/>
        <w:rPr>
          <w:b/>
          <w:color w:val="00642D"/>
        </w:rPr>
      </w:pPr>
      <w:r w:rsidRPr="00A005C8">
        <w:rPr>
          <w:b/>
          <w:color w:val="00642D"/>
        </w:rPr>
        <w:t>Localiza</w:t>
      </w:r>
      <w:r w:rsidRPr="0091626D">
        <w:rPr>
          <w:b/>
          <w:color w:val="00642D"/>
        </w:rPr>
        <w:t>ción</w:t>
      </w:r>
      <w:r w:rsidRPr="00CA6E55">
        <w:rPr>
          <w:b/>
        </w:rPr>
        <w:t xml:space="preserve"> </w:t>
      </w:r>
      <w:r w:rsidRPr="0091626D">
        <w:rPr>
          <w:b/>
          <w:color w:val="00642D"/>
        </w:rPr>
        <w:t>y Estructuración de la información</w:t>
      </w:r>
    </w:p>
    <w:p w:rsidR="00A005C8" w:rsidRDefault="00A005C8" w:rsidP="00A005C8">
      <w:pPr>
        <w:spacing w:before="120" w:after="120" w:line="360" w:lineRule="auto"/>
        <w:jc w:val="both"/>
      </w:pPr>
      <w: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0B0EA1" w:rsidRPr="000B0EA1" w:rsidRDefault="000B0EA1" w:rsidP="00A005C8">
      <w:pPr>
        <w:spacing w:before="120" w:after="120" w:line="360" w:lineRule="auto"/>
        <w:jc w:val="both"/>
      </w:pPr>
    </w:p>
    <w:p w:rsidR="006F2DCF" w:rsidRPr="0091626D" w:rsidRDefault="006F2DCF" w:rsidP="00A005C8">
      <w:pPr>
        <w:spacing w:before="120" w:after="120" w:line="360" w:lineRule="auto"/>
        <w:jc w:val="both"/>
        <w:rPr>
          <w:b/>
          <w:color w:val="00642D"/>
        </w:rPr>
      </w:pPr>
      <w:r w:rsidRPr="0091626D">
        <w:rPr>
          <w:b/>
          <w:color w:val="00642D"/>
        </w:rPr>
        <w:t>Incorporación de información</w:t>
      </w:r>
    </w:p>
    <w:p w:rsidR="006F2DCF" w:rsidRPr="0091626D" w:rsidRDefault="006F2DCF" w:rsidP="006F2DCF">
      <w:pPr>
        <w:rPr>
          <w:b/>
          <w:color w:val="00642D"/>
        </w:rPr>
      </w:pPr>
      <w:r w:rsidRPr="0091626D">
        <w:rPr>
          <w:b/>
          <w:color w:val="00642D"/>
        </w:rPr>
        <w:t>Información Económica, Presupuestaria y Estadística.</w:t>
      </w:r>
    </w:p>
    <w:p w:rsidR="009D3003" w:rsidRPr="000B0EA1" w:rsidRDefault="00A005C8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Los cuadros resumen sobre contratación deben incorporar todos los ítems informativos obligatorios que en la actualidad no se publican</w:t>
      </w:r>
      <w:r w:rsidR="009D3003" w:rsidRPr="000B0EA1">
        <w:t>.</w:t>
      </w:r>
    </w:p>
    <w:p w:rsidR="009D3003" w:rsidRDefault="009D3003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 w:rsidRPr="000B0EA1">
        <w:t>Debe publicarse información sobre los desistimientos y renuncias a contratos adjudicados</w:t>
      </w:r>
      <w:r w:rsidR="000B0EA1">
        <w:t>.</w:t>
      </w:r>
    </w:p>
    <w:p w:rsidR="007E469D" w:rsidRDefault="007E469D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>
        <w:rPr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público”</w:t>
      </w:r>
      <w:r>
        <w:t>.</w:t>
      </w:r>
    </w:p>
    <w:p w:rsidR="007E469D" w:rsidRDefault="007E469D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Los cuadros resumen sobre convenios deben incorporar todos los ítems informativos obligatorios que en la actualidad no se publican.</w:t>
      </w:r>
    </w:p>
    <w:p w:rsidR="007E469D" w:rsidRDefault="007E469D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 xml:space="preserve">Debe publicarse información sobre las subvenciones y ayudas públicas concedidas a terceros por </w:t>
      </w:r>
      <w:r w:rsidR="009E792B" w:rsidRPr="008B3F55">
        <w:t>la sociedad</w:t>
      </w:r>
      <w:r w:rsidRPr="008B3F55">
        <w:t xml:space="preserve">. </w:t>
      </w:r>
      <w:r>
        <w:t xml:space="preserve">Si no </w:t>
      </w:r>
      <w:r w:rsidR="00B32BBB">
        <w:t>se hubiesen concedido</w:t>
      </w:r>
      <w:r>
        <w:t>, debe hacerse mención expresa.</w:t>
      </w:r>
    </w:p>
    <w:p w:rsidR="009E792B" w:rsidRPr="008B3F55" w:rsidRDefault="009E792B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 w:rsidRPr="008B3F55">
        <w:lastRenderedPageBreak/>
        <w:t>Debe datarse y completarse la información relativa a las retribuciones percibidas por los máximos responsables.</w:t>
      </w:r>
    </w:p>
    <w:p w:rsidR="007E469D" w:rsidRDefault="007E469D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Deben publicarse las indemnizaciones percibidas por los altos cargos con ocasión del abandono del cargo.</w:t>
      </w:r>
      <w:bookmarkStart w:id="0" w:name="_GoBack"/>
      <w:bookmarkEnd w:id="0"/>
    </w:p>
    <w:p w:rsidR="007E469D" w:rsidRDefault="00420F8A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Deben publicarse las resoluciones de autorización o reconocimiento de compatibilidad que afecten a los empleados.</w:t>
      </w:r>
    </w:p>
    <w:p w:rsidR="00420F8A" w:rsidRPr="000B0EA1" w:rsidRDefault="00420F8A" w:rsidP="00A005C8">
      <w:pPr>
        <w:pStyle w:val="Prrafodelista"/>
        <w:numPr>
          <w:ilvl w:val="0"/>
          <w:numId w:val="11"/>
        </w:numPr>
        <w:spacing w:line="360" w:lineRule="auto"/>
        <w:jc w:val="both"/>
      </w:pPr>
      <w:r>
        <w:t>Deben publicarse las autorizaciones para el ejercicio de actividades privadas al cese de altos cargos.</w:t>
      </w:r>
    </w:p>
    <w:p w:rsidR="006F2DCF" w:rsidRDefault="006F2DCF" w:rsidP="00A005C8">
      <w:pPr>
        <w:spacing w:line="360" w:lineRule="auto"/>
        <w:ind w:left="360"/>
        <w:jc w:val="both"/>
        <w:rPr>
          <w:b/>
          <w:color w:val="00642D"/>
        </w:rPr>
      </w:pPr>
    </w:p>
    <w:p w:rsidR="006F2DCF" w:rsidRDefault="00D506DE" w:rsidP="00B32BBB">
      <w:pPr>
        <w:ind w:left="7788"/>
      </w:pPr>
      <w:r>
        <w:t>M</w:t>
      </w:r>
      <w:r w:rsidR="00B32BBB">
        <w:t>adrid, m</w:t>
      </w:r>
      <w:r>
        <w:t>ayo</w:t>
      </w:r>
      <w:r w:rsidR="006F2DCF">
        <w:t xml:space="preserve"> de 2023</w:t>
      </w:r>
    </w:p>
    <w:p w:rsidR="006F2DCF" w:rsidRDefault="006F2DCF"/>
    <w:p w:rsidR="00121C30" w:rsidRDefault="00121C30">
      <w:r>
        <w:br w:type="page"/>
      </w:r>
    </w:p>
    <w:p w:rsidR="00121C30" w:rsidRPr="00121C30" w:rsidRDefault="00AA698E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A86859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A86859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A86859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A8685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A86859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A86859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A86859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A86859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A86859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A86859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A86859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A86859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A8685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A86859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A86859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A86859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A8685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A86859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A86859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A86859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86859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A86859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A8685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A8685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A86859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A86859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A86859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8E" w:rsidRDefault="00AA698E" w:rsidP="00932008">
      <w:pPr>
        <w:spacing w:after="0" w:line="240" w:lineRule="auto"/>
      </w:pPr>
      <w:r>
        <w:separator/>
      </w:r>
    </w:p>
  </w:endnote>
  <w:endnote w:type="continuationSeparator" w:id="0">
    <w:p w:rsidR="00AA698E" w:rsidRDefault="00AA698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8E" w:rsidRDefault="00AA69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8E" w:rsidRDefault="00AA698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8E" w:rsidRDefault="00AA69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8E" w:rsidRDefault="00AA698E" w:rsidP="00932008">
      <w:pPr>
        <w:spacing w:after="0" w:line="240" w:lineRule="auto"/>
      </w:pPr>
      <w:r>
        <w:separator/>
      </w:r>
    </w:p>
  </w:footnote>
  <w:footnote w:type="continuationSeparator" w:id="0">
    <w:p w:rsidR="00AA698E" w:rsidRDefault="00AA698E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8E" w:rsidRDefault="00AA698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6866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8E" w:rsidRDefault="00AA698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6867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8E" w:rsidRDefault="00AA698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6865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2_"/>
      </v:shape>
    </w:pict>
  </w:numPicBullet>
  <w:numPicBullet w:numPicBulletId="1">
    <w:pict>
      <v:shape id="_x0000_i1030" type="#_x0000_t75" style="width:11.25pt;height:11.25pt" o:bullet="t">
        <v:imagedata r:id="rId2" o:title="BD14654_"/>
      </v:shape>
    </w:pict>
  </w:numPicBullet>
  <w:numPicBullet w:numPicBulletId="2">
    <w:pict>
      <v:shape id="_x0000_i1031" type="#_x0000_t75" style="width:9pt;height:9pt" o:bullet="t">
        <v:imagedata r:id="rId3" o:title="BD14533_"/>
      </v:shape>
    </w:pict>
  </w:numPicBullet>
  <w:abstractNum w:abstractNumId="0">
    <w:nsid w:val="119E0DD8"/>
    <w:multiLevelType w:val="hybridMultilevel"/>
    <w:tmpl w:val="4A40DF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1F8F"/>
    <w:multiLevelType w:val="hybridMultilevel"/>
    <w:tmpl w:val="F31649DC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65D34"/>
    <w:multiLevelType w:val="hybridMultilevel"/>
    <w:tmpl w:val="0B4E009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52DAB"/>
    <w:multiLevelType w:val="hybridMultilevel"/>
    <w:tmpl w:val="514888C2"/>
    <w:lvl w:ilvl="0" w:tplc="FA7C34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1766B"/>
    <w:multiLevelType w:val="hybridMultilevel"/>
    <w:tmpl w:val="5336BB7C"/>
    <w:lvl w:ilvl="0" w:tplc="D2549FDE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D561A37"/>
    <w:multiLevelType w:val="hybridMultilevel"/>
    <w:tmpl w:val="DE3E83E8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05967"/>
    <w:multiLevelType w:val="hybridMultilevel"/>
    <w:tmpl w:val="2A2AEC26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76003"/>
    <w:multiLevelType w:val="hybridMultilevel"/>
    <w:tmpl w:val="21981E20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A5255"/>
    <w:multiLevelType w:val="hybridMultilevel"/>
    <w:tmpl w:val="83D4FF1C"/>
    <w:lvl w:ilvl="0" w:tplc="33280C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32B4D"/>
    <w:multiLevelType w:val="hybridMultilevel"/>
    <w:tmpl w:val="A68A7694"/>
    <w:lvl w:ilvl="0" w:tplc="33280C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916EE"/>
    <w:multiLevelType w:val="hybridMultilevel"/>
    <w:tmpl w:val="42981D80"/>
    <w:lvl w:ilvl="0" w:tplc="B7C227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151"/>
    <w:rsid w:val="00000A44"/>
    <w:rsid w:val="00000DF7"/>
    <w:rsid w:val="000211C1"/>
    <w:rsid w:val="000262A3"/>
    <w:rsid w:val="00045308"/>
    <w:rsid w:val="0006666A"/>
    <w:rsid w:val="00073111"/>
    <w:rsid w:val="000965B3"/>
    <w:rsid w:val="000B0EA1"/>
    <w:rsid w:val="000C6CFF"/>
    <w:rsid w:val="00102733"/>
    <w:rsid w:val="00114793"/>
    <w:rsid w:val="00117F3B"/>
    <w:rsid w:val="00121C30"/>
    <w:rsid w:val="00131F15"/>
    <w:rsid w:val="001561A4"/>
    <w:rsid w:val="00180905"/>
    <w:rsid w:val="001B6ECD"/>
    <w:rsid w:val="001F0DC3"/>
    <w:rsid w:val="002069CA"/>
    <w:rsid w:val="00256D09"/>
    <w:rsid w:val="002A154B"/>
    <w:rsid w:val="002A3BD9"/>
    <w:rsid w:val="002D3944"/>
    <w:rsid w:val="00307F2C"/>
    <w:rsid w:val="003D6063"/>
    <w:rsid w:val="003F271E"/>
    <w:rsid w:val="003F2A83"/>
    <w:rsid w:val="003F572A"/>
    <w:rsid w:val="00420F8A"/>
    <w:rsid w:val="004B6DF1"/>
    <w:rsid w:val="004E3B52"/>
    <w:rsid w:val="004F2655"/>
    <w:rsid w:val="00521DA9"/>
    <w:rsid w:val="005278E7"/>
    <w:rsid w:val="00536C98"/>
    <w:rsid w:val="00544E0C"/>
    <w:rsid w:val="005476D2"/>
    <w:rsid w:val="005513BB"/>
    <w:rsid w:val="005524AF"/>
    <w:rsid w:val="0056132B"/>
    <w:rsid w:val="00561402"/>
    <w:rsid w:val="00571783"/>
    <w:rsid w:val="0057532F"/>
    <w:rsid w:val="005B13BD"/>
    <w:rsid w:val="005B6CF5"/>
    <w:rsid w:val="005F29B8"/>
    <w:rsid w:val="006069C8"/>
    <w:rsid w:val="00667253"/>
    <w:rsid w:val="00692C29"/>
    <w:rsid w:val="006A2766"/>
    <w:rsid w:val="006C4CAB"/>
    <w:rsid w:val="006F2DCF"/>
    <w:rsid w:val="006F6C7D"/>
    <w:rsid w:val="00710031"/>
    <w:rsid w:val="007143FA"/>
    <w:rsid w:val="00743756"/>
    <w:rsid w:val="00764C52"/>
    <w:rsid w:val="00781918"/>
    <w:rsid w:val="007B0F99"/>
    <w:rsid w:val="007B3939"/>
    <w:rsid w:val="007B3BB0"/>
    <w:rsid w:val="007E469D"/>
    <w:rsid w:val="00843911"/>
    <w:rsid w:val="00844FA9"/>
    <w:rsid w:val="008742FD"/>
    <w:rsid w:val="008A54BC"/>
    <w:rsid w:val="008B3F55"/>
    <w:rsid w:val="008C1E1E"/>
    <w:rsid w:val="00932008"/>
    <w:rsid w:val="00933787"/>
    <w:rsid w:val="009540B5"/>
    <w:rsid w:val="00954905"/>
    <w:rsid w:val="009609E9"/>
    <w:rsid w:val="00971022"/>
    <w:rsid w:val="00997747"/>
    <w:rsid w:val="009D3003"/>
    <w:rsid w:val="009E792B"/>
    <w:rsid w:val="00A005C8"/>
    <w:rsid w:val="00A12295"/>
    <w:rsid w:val="00A31466"/>
    <w:rsid w:val="00A8146B"/>
    <w:rsid w:val="00A86859"/>
    <w:rsid w:val="00AA698E"/>
    <w:rsid w:val="00AD2022"/>
    <w:rsid w:val="00B17BB8"/>
    <w:rsid w:val="00B32BBB"/>
    <w:rsid w:val="00B40246"/>
    <w:rsid w:val="00B43464"/>
    <w:rsid w:val="00B616B3"/>
    <w:rsid w:val="00B7253E"/>
    <w:rsid w:val="00B841AE"/>
    <w:rsid w:val="00B93F8D"/>
    <w:rsid w:val="00BB6799"/>
    <w:rsid w:val="00BD4582"/>
    <w:rsid w:val="00BE6A46"/>
    <w:rsid w:val="00BF1FCE"/>
    <w:rsid w:val="00C01E2D"/>
    <w:rsid w:val="00C06900"/>
    <w:rsid w:val="00C12508"/>
    <w:rsid w:val="00C33A23"/>
    <w:rsid w:val="00C43711"/>
    <w:rsid w:val="00C5744D"/>
    <w:rsid w:val="00C832A5"/>
    <w:rsid w:val="00CB543F"/>
    <w:rsid w:val="00CB5511"/>
    <w:rsid w:val="00CC2049"/>
    <w:rsid w:val="00CC2B4E"/>
    <w:rsid w:val="00CC459B"/>
    <w:rsid w:val="00D07521"/>
    <w:rsid w:val="00D506DE"/>
    <w:rsid w:val="00D96F84"/>
    <w:rsid w:val="00DA5BC2"/>
    <w:rsid w:val="00DD58B3"/>
    <w:rsid w:val="00DF028B"/>
    <w:rsid w:val="00DF3C61"/>
    <w:rsid w:val="00DF63E7"/>
    <w:rsid w:val="00E26925"/>
    <w:rsid w:val="00E3088D"/>
    <w:rsid w:val="00E34195"/>
    <w:rsid w:val="00E47613"/>
    <w:rsid w:val="00E65BFB"/>
    <w:rsid w:val="00E92DCB"/>
    <w:rsid w:val="00F14DA4"/>
    <w:rsid w:val="00F42F5A"/>
    <w:rsid w:val="00F47C3B"/>
    <w:rsid w:val="00F65DB4"/>
    <w:rsid w:val="00F71D7D"/>
    <w:rsid w:val="00F82AC8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3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868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85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B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B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B4E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B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B4E"/>
    <w:rPr>
      <w:rFonts w:ascii="Century Gothic" w:hAnsi="Century Gothic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7311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93F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9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3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868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85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B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B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B4E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B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B4E"/>
    <w:rPr>
      <w:rFonts w:ascii="Century Gothic" w:hAnsi="Century Gothic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7311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93F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9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inec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56000"/>
    <w:rsid w:val="003D088C"/>
    <w:rsid w:val="00566EB0"/>
    <w:rsid w:val="005C3945"/>
    <w:rsid w:val="0066418B"/>
    <w:rsid w:val="00691B8E"/>
    <w:rsid w:val="00BF2C04"/>
    <w:rsid w:val="00C811F2"/>
    <w:rsid w:val="00D35513"/>
    <w:rsid w:val="00DC084A"/>
    <w:rsid w:val="00E5278A"/>
    <w:rsid w:val="00E714A4"/>
    <w:rsid w:val="00E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16FE-7D8D-4335-8543-A52828AB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531</TotalTime>
  <Pages>12</Pages>
  <Words>2324</Words>
  <Characters>12786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19</cp:revision>
  <cp:lastPrinted>2007-10-26T10:03:00Z</cp:lastPrinted>
  <dcterms:created xsi:type="dcterms:W3CDTF">2023-04-21T10:55:00Z</dcterms:created>
  <dcterms:modified xsi:type="dcterms:W3CDTF">2023-05-12T08:00:00Z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