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345" w:rsidRDefault="00292345">
      <w:bookmarkStart w:id="0" w:name="_GoBack"/>
      <w:bookmarkEnd w:id="0"/>
    </w:p>
    <w:p w:rsidR="0061531F" w:rsidRDefault="0061531F" w:rsidP="00807585">
      <w:pPr>
        <w:pBdr>
          <w:top w:val="single" w:sz="4" w:space="1" w:color="auto"/>
          <w:left w:val="single" w:sz="4" w:space="4" w:color="auto"/>
          <w:bottom w:val="single" w:sz="4" w:space="1" w:color="auto"/>
          <w:right w:val="single" w:sz="4" w:space="4" w:color="auto"/>
        </w:pBdr>
        <w:jc w:val="center"/>
        <w:rPr>
          <w:b/>
        </w:rPr>
      </w:pPr>
      <w:r w:rsidRPr="0061531F">
        <w:rPr>
          <w:b/>
        </w:rPr>
        <w:t>COMENTARIOS Y OBSERVACIONES </w:t>
      </w:r>
      <w:r>
        <w:rPr>
          <w:b/>
        </w:rPr>
        <w:t>AL INFORME DE EVALUACIÓN SOBRE EL CUMPLIMIENTO DE LAS OBLIGACIONES DE PUBLICIDAD ACTIVA DE FECHA 23/03/2023</w:t>
      </w:r>
    </w:p>
    <w:p w:rsidR="00E56E2A" w:rsidRPr="00EC72E4" w:rsidRDefault="00EC72E4" w:rsidP="00E56E2A">
      <w:pPr>
        <w:jc w:val="both"/>
      </w:pPr>
      <w:r w:rsidRPr="00EC72E4">
        <w:t>El viernes 19 de mayo de 2023 se recib</w:t>
      </w:r>
      <w:r w:rsidR="00E56E2A">
        <w:t>ió</w:t>
      </w:r>
      <w:r>
        <w:t xml:space="preserve"> el </w:t>
      </w:r>
      <w:r w:rsidRPr="00EC72E4">
        <w:rPr>
          <w:i/>
        </w:rPr>
        <w:t>Informe provisional de evaluación</w:t>
      </w:r>
      <w:r w:rsidRPr="00EC72E4">
        <w:t xml:space="preserve"> </w:t>
      </w:r>
      <w:r w:rsidRPr="00EC72E4">
        <w:rPr>
          <w:i/>
        </w:rPr>
        <w:t>sobre el cumplimiento de las obligaciones de publicidad activa</w:t>
      </w:r>
      <w:r w:rsidRPr="00EC72E4">
        <w:t xml:space="preserve"> </w:t>
      </w:r>
      <w:r w:rsidR="00E56E2A" w:rsidRPr="00E56E2A">
        <w:t xml:space="preserve">(con fecha 23/03/2023) </w:t>
      </w:r>
      <w:r w:rsidRPr="00EC72E4">
        <w:t xml:space="preserve">por correo electrónico </w:t>
      </w:r>
      <w:r w:rsidR="00E56E2A">
        <w:t xml:space="preserve">de la </w:t>
      </w:r>
      <w:r w:rsidRPr="00EC72E4">
        <w:t>Subdirectora General de Transparencia y Buen Gobierno</w:t>
      </w:r>
      <w:r>
        <w:t xml:space="preserve"> </w:t>
      </w:r>
      <w:r w:rsidRPr="00EC72E4">
        <w:t>Consejo de Transparencia y Buen Gobierno AAI</w:t>
      </w:r>
      <w:r w:rsidR="00E56E2A">
        <w:t>, para que solicitar las</w:t>
      </w:r>
      <w:r w:rsidR="00E56E2A" w:rsidRPr="00E56E2A">
        <w:t xml:space="preserve"> observaciones y comentarios, y el cuestionario relativo al e</w:t>
      </w:r>
      <w:r w:rsidR="00E56E2A">
        <w:t>jercicio del derecho de acceso por parte del CUD-AGM.</w:t>
      </w:r>
    </w:p>
    <w:p w:rsidR="0061531F" w:rsidRDefault="0072323A" w:rsidP="00EC72E4">
      <w:pPr>
        <w:rPr>
          <w:b/>
        </w:rPr>
      </w:pPr>
      <w:r>
        <w:rPr>
          <w:b/>
        </w:rPr>
        <w:t>NUEVA WEB DESDE MAYO DE 2023</w:t>
      </w:r>
    </w:p>
    <w:p w:rsidR="0061531F" w:rsidRDefault="0061531F" w:rsidP="00927D68">
      <w:pPr>
        <w:jc w:val="both"/>
      </w:pPr>
      <w:r>
        <w:t xml:space="preserve">En primer lugar se quiere hacer constar que </w:t>
      </w:r>
      <w:r w:rsidRPr="00807585">
        <w:t>con</w:t>
      </w:r>
      <w:r w:rsidR="00927D68" w:rsidRPr="00807585">
        <w:t xml:space="preserve"> fecha 1</w:t>
      </w:r>
      <w:r w:rsidR="00E56E2A">
        <w:t>2</w:t>
      </w:r>
      <w:r w:rsidR="00927D68" w:rsidRPr="00807585">
        <w:t xml:space="preserve"> de mayo de 2023 se activó la nueva web del Centro Universitario de la Defensa </w:t>
      </w:r>
      <w:r w:rsidR="00807585">
        <w:t xml:space="preserve">ubicado en la Academia General Militar </w:t>
      </w:r>
      <w:r w:rsidR="00927D68" w:rsidRPr="00807585">
        <w:t>(CUD</w:t>
      </w:r>
      <w:r w:rsidR="00807585">
        <w:t>-AGM</w:t>
      </w:r>
      <w:r w:rsidR="00927D68" w:rsidRPr="00807585">
        <w:t>),</w:t>
      </w:r>
      <w:r w:rsidR="00927D68">
        <w:t xml:space="preserve"> </w:t>
      </w:r>
      <w:r w:rsidR="00E56E2A">
        <w:t xml:space="preserve">como acción derivada del </w:t>
      </w:r>
      <w:r w:rsidR="00927D68">
        <w:t xml:space="preserve">Objetivo específico </w:t>
      </w:r>
      <w:r w:rsidR="002D2CA5">
        <w:t>OE.</w:t>
      </w:r>
      <w:r w:rsidR="00927D68">
        <w:t>09 del</w:t>
      </w:r>
      <w:r w:rsidR="00927D68">
        <w:rPr>
          <w:i/>
        </w:rPr>
        <w:t xml:space="preserve"> Plan anual 2022</w:t>
      </w:r>
      <w:r w:rsidR="00807585">
        <w:t xml:space="preserve">, donde </w:t>
      </w:r>
      <w:r w:rsidR="00927D68">
        <w:t>se formuló de la siguiente manera:</w:t>
      </w:r>
    </w:p>
    <w:p w:rsidR="00927D68" w:rsidRPr="002D2CA5" w:rsidRDefault="00927D68" w:rsidP="00927D68">
      <w:pPr>
        <w:jc w:val="both"/>
      </w:pPr>
      <w:r w:rsidRPr="002D2CA5">
        <w:t>Objetivo específico OG.09. Implantar soluciones digitales para optimizar la gestión.</w:t>
      </w:r>
    </w:p>
    <w:p w:rsidR="00927D68" w:rsidRDefault="00927D68" w:rsidP="00927D68">
      <w:pPr>
        <w:pStyle w:val="Prrafodelista"/>
        <w:numPr>
          <w:ilvl w:val="0"/>
          <w:numId w:val="1"/>
        </w:numPr>
        <w:jc w:val="both"/>
      </w:pPr>
      <w:r w:rsidRPr="002D2CA5">
        <w:rPr>
          <w:i/>
        </w:rPr>
        <w:t xml:space="preserve">Situación de partida: </w:t>
      </w:r>
      <w:r w:rsidRPr="00927D68">
        <w:t>La web del centro no reúne los requisitos actuales para cumplir la normativa vigente de organismos del sector público y las obligaciones de publicidad activa, y por ello es necesario actualizarla para facilitar la transparencia, la información de forma segura, accesible, interoperable, etc. También la intranet necesita una actualización que optimice la gestión de la información interna.</w:t>
      </w:r>
    </w:p>
    <w:p w:rsidR="00927D68" w:rsidRDefault="00927D68" w:rsidP="00927D68">
      <w:pPr>
        <w:pStyle w:val="Prrafodelista"/>
        <w:numPr>
          <w:ilvl w:val="0"/>
          <w:numId w:val="1"/>
        </w:numPr>
        <w:jc w:val="both"/>
      </w:pPr>
      <w:r w:rsidRPr="002D2CA5">
        <w:rPr>
          <w:i/>
        </w:rPr>
        <w:t>Actividades:</w:t>
      </w:r>
      <w:r w:rsidRPr="00927D68">
        <w:t xml:space="preserve"> Definir una maqueta con el diseño de la nueva web y de la Intranet con las especificaciones que sirva de base para seleccionar la empresa especializada que las desarrolle, y llevar seguimiento de las fases del proceso.</w:t>
      </w:r>
    </w:p>
    <w:p w:rsidR="00927D68" w:rsidRDefault="00927D68" w:rsidP="00927D68">
      <w:pPr>
        <w:pStyle w:val="Prrafodelista"/>
        <w:numPr>
          <w:ilvl w:val="0"/>
          <w:numId w:val="1"/>
        </w:numPr>
        <w:jc w:val="both"/>
      </w:pPr>
      <w:r w:rsidRPr="002D2CA5">
        <w:rPr>
          <w:i/>
        </w:rPr>
        <w:t xml:space="preserve">Responsables: </w:t>
      </w:r>
      <w:r w:rsidR="008C12B9">
        <w:t>G</w:t>
      </w:r>
      <w:r w:rsidRPr="00927D68">
        <w:t>erente.</w:t>
      </w:r>
    </w:p>
    <w:p w:rsidR="00927D68" w:rsidRDefault="00927D68" w:rsidP="00927D68">
      <w:pPr>
        <w:pStyle w:val="Prrafodelista"/>
        <w:numPr>
          <w:ilvl w:val="0"/>
          <w:numId w:val="1"/>
        </w:numPr>
        <w:jc w:val="both"/>
      </w:pPr>
      <w:r w:rsidRPr="002D2CA5">
        <w:rPr>
          <w:i/>
        </w:rPr>
        <w:t>Recursos humanos asignados:</w:t>
      </w:r>
      <w:r w:rsidRPr="00927D68">
        <w:t xml:space="preserve"> miembros de equipo directivo y responsable de informática.</w:t>
      </w:r>
    </w:p>
    <w:p w:rsidR="002D2CA5" w:rsidRDefault="00927D68" w:rsidP="00927D68">
      <w:pPr>
        <w:jc w:val="both"/>
      </w:pPr>
      <w:r>
        <w:t>La nueva web se ha demorado en su implantación sobre la fecha inicialmente prevista por causas ajenas al CUD</w:t>
      </w:r>
      <w:r w:rsidR="00E56E2A">
        <w:t>-AGM.</w:t>
      </w:r>
    </w:p>
    <w:p w:rsidR="00927D68" w:rsidRPr="0072323A" w:rsidRDefault="002D2CA5" w:rsidP="0072323A">
      <w:pPr>
        <w:pBdr>
          <w:top w:val="single" w:sz="4" w:space="1" w:color="auto"/>
          <w:left w:val="single" w:sz="4" w:space="4" w:color="auto"/>
          <w:bottom w:val="single" w:sz="4" w:space="1" w:color="auto"/>
          <w:right w:val="single" w:sz="4" w:space="4" w:color="auto"/>
        </w:pBdr>
        <w:jc w:val="center"/>
        <w:rPr>
          <w:b/>
        </w:rPr>
      </w:pPr>
      <w:r w:rsidRPr="0072323A">
        <w:rPr>
          <w:b/>
        </w:rPr>
        <w:t xml:space="preserve">Acceso a la nueva web </w:t>
      </w:r>
      <w:r w:rsidR="00927D68" w:rsidRPr="0072323A">
        <w:rPr>
          <w:b/>
        </w:rPr>
        <w:t xml:space="preserve">en este </w:t>
      </w:r>
      <w:hyperlink r:id="rId7" w:history="1">
        <w:r w:rsidR="00927D68" w:rsidRPr="0072323A">
          <w:rPr>
            <w:rStyle w:val="Hipervnculo"/>
            <w:b/>
          </w:rPr>
          <w:t>enlace</w:t>
        </w:r>
      </w:hyperlink>
      <w:r w:rsidR="00927D68" w:rsidRPr="0072323A">
        <w:rPr>
          <w:b/>
        </w:rPr>
        <w:t>.</w:t>
      </w:r>
    </w:p>
    <w:p w:rsidR="0072323A" w:rsidRDefault="0072323A" w:rsidP="00927D68">
      <w:pPr>
        <w:jc w:val="both"/>
        <w:rPr>
          <w:b/>
        </w:rPr>
      </w:pPr>
    </w:p>
    <w:p w:rsidR="00807585" w:rsidRPr="00807585" w:rsidRDefault="0072323A" w:rsidP="00927D68">
      <w:pPr>
        <w:jc w:val="both"/>
        <w:rPr>
          <w:b/>
        </w:rPr>
      </w:pPr>
      <w:r w:rsidRPr="00807585">
        <w:rPr>
          <w:b/>
        </w:rPr>
        <w:t>OBSERVACIONES Y COMENTARIOS AL INFORME DE EVALUACIÓN SOBRE EL CUMPLIMIENTO DE LAS</w:t>
      </w:r>
      <w:r>
        <w:rPr>
          <w:b/>
        </w:rPr>
        <w:t xml:space="preserve"> OBLIGACIONES DE PUBLICIDAD ACTIVA EN LA NUEVA WEB</w:t>
      </w:r>
    </w:p>
    <w:p w:rsidR="002D2CA5" w:rsidRDefault="002D2CA5" w:rsidP="00927D68">
      <w:pPr>
        <w:jc w:val="both"/>
      </w:pPr>
      <w:r>
        <w:t>Como se indicaba en el objetivo</w:t>
      </w:r>
      <w:r w:rsidR="00E56E2A">
        <w:t xml:space="preserve"> estratégico</w:t>
      </w:r>
      <w:r>
        <w:t>, la nueva web se ha diseñado</w:t>
      </w:r>
      <w:r w:rsidR="00FA7510">
        <w:t xml:space="preserve"> </w:t>
      </w:r>
      <w:r>
        <w:t xml:space="preserve">para </w:t>
      </w:r>
      <w:r w:rsidRPr="002D2CA5">
        <w:t>cumplir la normativa vigente de organismos del sector público y las obligaciones de publicidad activa</w:t>
      </w:r>
      <w:r w:rsidR="00251927">
        <w:t xml:space="preserve"> así como para facilitar la transparencia.</w:t>
      </w:r>
      <w:r>
        <w:t xml:space="preserve"> De ahí que a continuación se </w:t>
      </w:r>
      <w:r w:rsidR="00EC72E4">
        <w:t>incluyen</w:t>
      </w:r>
      <w:r>
        <w:t xml:space="preserve"> comentarios a los contenidos del </w:t>
      </w:r>
      <w:r w:rsidR="00E56E2A">
        <w:rPr>
          <w:i/>
        </w:rPr>
        <w:t>I</w:t>
      </w:r>
      <w:r w:rsidR="00EC72E4" w:rsidRPr="00EC72E4">
        <w:rPr>
          <w:i/>
        </w:rPr>
        <w:t>nfor</w:t>
      </w:r>
      <w:r w:rsidRPr="00EC72E4">
        <w:rPr>
          <w:i/>
        </w:rPr>
        <w:t>me</w:t>
      </w:r>
      <w:r w:rsidR="00EC72E4">
        <w:rPr>
          <w:i/>
        </w:rPr>
        <w:t xml:space="preserve"> </w:t>
      </w:r>
      <w:r w:rsidR="00E56E2A">
        <w:rPr>
          <w:i/>
        </w:rPr>
        <w:t xml:space="preserve">provisional </w:t>
      </w:r>
      <w:r w:rsidR="00EC72E4" w:rsidRPr="00EC72E4">
        <w:rPr>
          <w:i/>
        </w:rPr>
        <w:t>de evaluación sobre el cumplimiento de las obligaciones de publicidad activa</w:t>
      </w:r>
      <w:r>
        <w:t xml:space="preserve"> </w:t>
      </w:r>
      <w:r w:rsidR="00E56E2A">
        <w:t xml:space="preserve">(con fecha 23/03/2023) </w:t>
      </w:r>
      <w:r>
        <w:t xml:space="preserve">que estaban basados </w:t>
      </w:r>
      <w:r w:rsidR="00251927">
        <w:t>en la web anti</w:t>
      </w:r>
      <w:r w:rsidR="00E56E2A">
        <w:t>gua.</w:t>
      </w:r>
    </w:p>
    <w:p w:rsidR="00251927" w:rsidRDefault="0086677D" w:rsidP="00927D68">
      <w:pPr>
        <w:jc w:val="both"/>
        <w:rPr>
          <w:rFonts w:ascii="Century Gothic" w:hAnsi="Century Gothic"/>
          <w:color w:val="00642D"/>
          <w:szCs w:val="30"/>
        </w:rPr>
      </w:pPr>
      <w:r>
        <w:rPr>
          <w:rFonts w:ascii="Century Gothic" w:hAnsi="Century Gothic"/>
          <w:color w:val="00642D"/>
          <w:szCs w:val="30"/>
        </w:rPr>
        <w:t xml:space="preserve">Sobre la </w:t>
      </w:r>
      <w:r w:rsidR="00251927" w:rsidRPr="00251927">
        <w:rPr>
          <w:rFonts w:ascii="Century Gothic" w:hAnsi="Century Gothic"/>
          <w:color w:val="00642D"/>
          <w:szCs w:val="30"/>
        </w:rPr>
        <w:t>Localización y Estructuración de la Información de Transparencia</w:t>
      </w: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5438"/>
        <w:gridCol w:w="3061"/>
      </w:tblGrid>
      <w:tr w:rsidR="003D483C" w:rsidRPr="000C6CFF" w:rsidTr="003D483C">
        <w:tc>
          <w:tcPr>
            <w:tcW w:w="0" w:type="auto"/>
            <w:tcBorders>
              <w:top w:val="nil"/>
              <w:left w:val="nil"/>
              <w:right w:val="single" w:sz="4" w:space="0" w:color="auto"/>
            </w:tcBorders>
          </w:tcPr>
          <w:p w:rsidR="003D483C" w:rsidRPr="00EC72E4" w:rsidRDefault="00EC72E4" w:rsidP="00251927">
            <w:pPr>
              <w:pStyle w:val="Cuerpodelboletn"/>
              <w:spacing w:before="120" w:after="120" w:line="312" w:lineRule="auto"/>
              <w:rPr>
                <w:rFonts w:asciiTheme="minorHAnsi" w:eastAsiaTheme="minorHAnsi" w:hAnsiTheme="minorHAnsi"/>
                <w:color w:val="auto"/>
                <w:szCs w:val="22"/>
                <w:lang w:eastAsia="en-US"/>
              </w:rPr>
            </w:pPr>
            <w:r w:rsidRPr="00EC72E4">
              <w:rPr>
                <w:rFonts w:asciiTheme="minorHAnsi" w:eastAsiaTheme="minorHAnsi" w:hAnsiTheme="minorHAnsi"/>
                <w:color w:val="auto"/>
                <w:szCs w:val="22"/>
                <w:lang w:eastAsia="en-US"/>
              </w:rPr>
              <w:t>El informe indica</w:t>
            </w:r>
          </w:p>
        </w:tc>
        <w:tc>
          <w:tcPr>
            <w:tcW w:w="0" w:type="auto"/>
            <w:tcBorders>
              <w:top w:val="single" w:sz="4" w:space="0" w:color="auto"/>
              <w:left w:val="single" w:sz="4" w:space="0" w:color="auto"/>
              <w:bottom w:val="single" w:sz="4" w:space="0" w:color="auto"/>
              <w:right w:val="single" w:sz="4" w:space="0" w:color="auto"/>
            </w:tcBorders>
          </w:tcPr>
          <w:p w:rsidR="003D483C" w:rsidRPr="00EC72E4" w:rsidRDefault="003D483C" w:rsidP="00251927">
            <w:pPr>
              <w:pStyle w:val="Cuerpodelboletn"/>
              <w:spacing w:before="120" w:after="120" w:line="312" w:lineRule="auto"/>
              <w:rPr>
                <w:b/>
                <w:color w:val="auto"/>
                <w:sz w:val="20"/>
                <w:szCs w:val="20"/>
              </w:rPr>
            </w:pPr>
            <w:r w:rsidRPr="00EC72E4">
              <w:rPr>
                <w:rFonts w:asciiTheme="minorHAnsi" w:eastAsiaTheme="minorHAnsi" w:hAnsiTheme="minorHAnsi"/>
                <w:b/>
                <w:color w:val="auto"/>
                <w:szCs w:val="22"/>
                <w:lang w:eastAsia="en-US"/>
              </w:rPr>
              <w:t>Observaciones del CUD-AGM</w:t>
            </w:r>
          </w:p>
        </w:tc>
      </w:tr>
      <w:tr w:rsidR="003D483C" w:rsidRPr="00251927" w:rsidTr="003D483C">
        <w:trPr>
          <w:trHeight w:val="389"/>
        </w:trPr>
        <w:tc>
          <w:tcPr>
            <w:tcW w:w="0" w:type="auto"/>
            <w:vMerge w:val="restart"/>
            <w:tcBorders>
              <w:right w:val="single" w:sz="4" w:space="0" w:color="auto"/>
            </w:tcBorders>
          </w:tcPr>
          <w:p w:rsidR="003D483C" w:rsidRPr="00EC72E4" w:rsidRDefault="003D483C" w:rsidP="00251927">
            <w:pPr>
              <w:pStyle w:val="Cuerpodelboletn"/>
              <w:spacing w:before="120" w:after="120"/>
              <w:rPr>
                <w:rFonts w:asciiTheme="minorHAnsi" w:eastAsiaTheme="minorHAnsi" w:hAnsiTheme="minorHAnsi"/>
                <w:color w:val="auto"/>
                <w:szCs w:val="22"/>
                <w:lang w:eastAsia="en-US"/>
              </w:rPr>
            </w:pPr>
            <w:r w:rsidRPr="00EC72E4">
              <w:rPr>
                <w:rFonts w:asciiTheme="minorHAnsi" w:eastAsiaTheme="minorHAnsi" w:hAnsiTheme="minorHAnsi"/>
                <w:color w:val="auto"/>
                <w:szCs w:val="22"/>
                <w:lang w:eastAsia="en-US"/>
              </w:rPr>
              <w:t xml:space="preserve">El CUD Zaragoza carece de un espacio específico en su web institucional destinado a la publicación de las informaciones sujetas a obligaciones de publicidad activa. </w:t>
            </w:r>
          </w:p>
        </w:tc>
        <w:tc>
          <w:tcPr>
            <w:tcW w:w="0" w:type="auto"/>
            <w:vMerge w:val="restart"/>
            <w:tcBorders>
              <w:top w:val="single" w:sz="4" w:space="0" w:color="auto"/>
              <w:left w:val="single" w:sz="4" w:space="0" w:color="auto"/>
              <w:right w:val="single" w:sz="4" w:space="0" w:color="auto"/>
            </w:tcBorders>
          </w:tcPr>
          <w:p w:rsidR="003D483C" w:rsidRPr="00251927" w:rsidRDefault="003D483C" w:rsidP="00251927">
            <w:pPr>
              <w:pStyle w:val="Cuerpodelboletn"/>
              <w:spacing w:before="120" w:after="120"/>
              <w:rPr>
                <w:rFonts w:asciiTheme="minorHAnsi" w:hAnsiTheme="minorHAnsi"/>
                <w:color w:val="auto"/>
                <w:sz w:val="20"/>
                <w:szCs w:val="20"/>
              </w:rPr>
            </w:pPr>
            <w:r w:rsidRPr="00251927">
              <w:rPr>
                <w:rFonts w:asciiTheme="minorHAnsi" w:hAnsiTheme="minorHAnsi"/>
                <w:color w:val="auto"/>
                <w:sz w:val="20"/>
                <w:szCs w:val="20"/>
              </w:rPr>
              <w:t>L</w:t>
            </w:r>
            <w:r w:rsidRPr="0072323A">
              <w:rPr>
                <w:rFonts w:asciiTheme="minorHAnsi" w:eastAsiaTheme="minorHAnsi" w:hAnsiTheme="minorHAnsi"/>
                <w:color w:val="auto"/>
                <w:szCs w:val="22"/>
                <w:lang w:eastAsia="en-US"/>
              </w:rPr>
              <w:t xml:space="preserve">a nueva web ya dispone de una pestaña de </w:t>
            </w:r>
            <w:hyperlink r:id="rId8" w:history="1">
              <w:r w:rsidRPr="003D483C">
                <w:rPr>
                  <w:rStyle w:val="Hipervnculo"/>
                  <w:rFonts w:asciiTheme="minorHAnsi" w:eastAsiaTheme="minorHAnsi" w:hAnsiTheme="minorHAnsi"/>
                  <w:szCs w:val="22"/>
                  <w:lang w:eastAsia="en-US"/>
                </w:rPr>
                <w:t>TRANSPARENCIA</w:t>
              </w:r>
            </w:hyperlink>
            <w:r w:rsidR="00FA7510">
              <w:rPr>
                <w:rFonts w:asciiTheme="minorHAnsi" w:eastAsiaTheme="minorHAnsi" w:hAnsiTheme="minorHAnsi"/>
                <w:color w:val="auto"/>
                <w:szCs w:val="22"/>
                <w:lang w:eastAsia="en-US"/>
              </w:rPr>
              <w:t xml:space="preserve"> con a</w:t>
            </w:r>
          </w:p>
        </w:tc>
      </w:tr>
      <w:tr w:rsidR="003D483C" w:rsidRPr="00251927" w:rsidTr="003D483C">
        <w:trPr>
          <w:trHeight w:val="244"/>
        </w:trPr>
        <w:tc>
          <w:tcPr>
            <w:tcW w:w="0" w:type="auto"/>
            <w:vMerge/>
            <w:tcBorders>
              <w:right w:val="single" w:sz="4" w:space="0" w:color="auto"/>
            </w:tcBorders>
          </w:tcPr>
          <w:p w:rsidR="003D483C" w:rsidRPr="000C6CFF" w:rsidRDefault="003D483C" w:rsidP="00251927">
            <w:pPr>
              <w:rPr>
                <w:sz w:val="20"/>
                <w:szCs w:val="20"/>
              </w:rPr>
            </w:pPr>
          </w:p>
        </w:tc>
        <w:tc>
          <w:tcPr>
            <w:tcW w:w="0" w:type="auto"/>
            <w:vMerge/>
            <w:tcBorders>
              <w:left w:val="single" w:sz="4" w:space="0" w:color="auto"/>
              <w:right w:val="single" w:sz="4" w:space="0" w:color="auto"/>
            </w:tcBorders>
          </w:tcPr>
          <w:p w:rsidR="003D483C" w:rsidRPr="000C6CFF" w:rsidRDefault="003D483C" w:rsidP="00251927">
            <w:pPr>
              <w:rPr>
                <w:sz w:val="20"/>
                <w:szCs w:val="20"/>
              </w:rPr>
            </w:pPr>
          </w:p>
        </w:tc>
      </w:tr>
      <w:tr w:rsidR="003D483C" w:rsidRPr="00251927" w:rsidTr="003D483C">
        <w:trPr>
          <w:trHeight w:val="244"/>
        </w:trPr>
        <w:tc>
          <w:tcPr>
            <w:tcW w:w="0" w:type="auto"/>
            <w:vMerge/>
            <w:tcBorders>
              <w:right w:val="single" w:sz="4" w:space="0" w:color="auto"/>
            </w:tcBorders>
          </w:tcPr>
          <w:p w:rsidR="003D483C" w:rsidRPr="000C6CFF" w:rsidRDefault="003D483C" w:rsidP="00251927">
            <w:pPr>
              <w:rPr>
                <w:sz w:val="20"/>
                <w:szCs w:val="20"/>
              </w:rPr>
            </w:pPr>
          </w:p>
        </w:tc>
        <w:tc>
          <w:tcPr>
            <w:tcW w:w="0" w:type="auto"/>
            <w:vMerge/>
            <w:tcBorders>
              <w:left w:val="single" w:sz="4" w:space="0" w:color="auto"/>
              <w:bottom w:val="single" w:sz="4" w:space="0" w:color="auto"/>
              <w:right w:val="single" w:sz="4" w:space="0" w:color="auto"/>
            </w:tcBorders>
          </w:tcPr>
          <w:p w:rsidR="003D483C" w:rsidRPr="000C6CFF" w:rsidRDefault="003D483C" w:rsidP="00251927">
            <w:pPr>
              <w:rPr>
                <w:sz w:val="20"/>
                <w:szCs w:val="20"/>
              </w:rPr>
            </w:pPr>
          </w:p>
        </w:tc>
      </w:tr>
    </w:tbl>
    <w:p w:rsidR="003D483C" w:rsidRDefault="003D483C" w:rsidP="00347320">
      <w:pPr>
        <w:jc w:val="both"/>
        <w:rPr>
          <w:rFonts w:ascii="Century Gothic" w:hAnsi="Century Gothic"/>
          <w:color w:val="00642D"/>
          <w:szCs w:val="30"/>
        </w:rPr>
      </w:pPr>
    </w:p>
    <w:p w:rsidR="00D96AF5" w:rsidRPr="00D96AF5" w:rsidRDefault="00D96AF5" w:rsidP="00D1419A">
      <w:pPr>
        <w:rPr>
          <w:rFonts w:ascii="Century Gothic" w:hAnsi="Century Gothic"/>
          <w:color w:val="00642D"/>
          <w:szCs w:val="30"/>
        </w:rPr>
      </w:pPr>
      <w:r w:rsidRPr="00D96AF5">
        <w:rPr>
          <w:rFonts w:ascii="Century Gothic" w:hAnsi="Century Gothic"/>
          <w:color w:val="00642D"/>
          <w:szCs w:val="30"/>
        </w:rPr>
        <w:t xml:space="preserve">Sobre Conclusiones y recomendaciones </w:t>
      </w:r>
      <w:r w:rsidR="00EC72E4">
        <w:rPr>
          <w:rFonts w:ascii="Century Gothic" w:hAnsi="Century Gothic"/>
          <w:color w:val="00642D"/>
          <w:szCs w:val="30"/>
        </w:rPr>
        <w:t>después del análisis</w:t>
      </w:r>
    </w:p>
    <w:p w:rsidR="00D1419A" w:rsidRDefault="00EC72E4" w:rsidP="00D96AF5">
      <w:pPr>
        <w:jc w:val="both"/>
      </w:pPr>
      <w:r>
        <w:t>A continuación se presentan las acciones que se han llevado a cabo</w:t>
      </w:r>
      <w:r w:rsidR="00D96AF5">
        <w:t xml:space="preserve"> desde el CUD-AGM</w:t>
      </w:r>
      <w:r>
        <w:t xml:space="preserve"> sobre las conclusiones y recomendaciones contenidas en el informe, para dar cuenta de los avances en el cumplimiento de las obligaciones de publicidad activa:</w:t>
      </w:r>
    </w:p>
    <w:tbl>
      <w:tblPr>
        <w:tblStyle w:val="Tablaconcuadrcula"/>
        <w:tblW w:w="0" w:type="auto"/>
        <w:tblLook w:val="04A0" w:firstRow="1" w:lastRow="0" w:firstColumn="1" w:lastColumn="0" w:noHBand="0" w:noVBand="1"/>
      </w:tblPr>
      <w:tblGrid>
        <w:gridCol w:w="2831"/>
        <w:gridCol w:w="2831"/>
        <w:gridCol w:w="2832"/>
      </w:tblGrid>
      <w:tr w:rsidR="0077581D" w:rsidRPr="001C19E5" w:rsidTr="001C19E5">
        <w:tc>
          <w:tcPr>
            <w:tcW w:w="2831"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shd w:val="clear" w:color="auto" w:fill="A8D08D" w:themeFill="accent6" w:themeFillTint="99"/>
          </w:tcPr>
          <w:p w:rsidR="0077581D" w:rsidRPr="001C19E5" w:rsidRDefault="0077581D" w:rsidP="001C19E5">
            <w:pPr>
              <w:jc w:val="center"/>
              <w:rPr>
                <w:b/>
              </w:rPr>
            </w:pPr>
            <w:r w:rsidRPr="001C19E5">
              <w:rPr>
                <w:b/>
              </w:rPr>
              <w:t>Recomendación</w:t>
            </w:r>
          </w:p>
        </w:tc>
        <w:tc>
          <w:tcPr>
            <w:tcW w:w="2831"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shd w:val="clear" w:color="auto" w:fill="A8D08D" w:themeFill="accent6" w:themeFillTint="99"/>
          </w:tcPr>
          <w:p w:rsidR="003D483C" w:rsidRDefault="003D483C" w:rsidP="001C19E5">
            <w:pPr>
              <w:jc w:val="center"/>
              <w:rPr>
                <w:b/>
              </w:rPr>
            </w:pPr>
            <w:r>
              <w:rPr>
                <w:b/>
              </w:rPr>
              <w:t>OBSERVACIONES DEL CUD-AGM</w:t>
            </w:r>
          </w:p>
          <w:p w:rsidR="0077581D" w:rsidRPr="001C19E5" w:rsidRDefault="001C19E5" w:rsidP="001C19E5">
            <w:pPr>
              <w:jc w:val="center"/>
              <w:rPr>
                <w:b/>
              </w:rPr>
            </w:pPr>
            <w:r>
              <w:rPr>
                <w:b/>
              </w:rPr>
              <w:t>Grado de c</w:t>
            </w:r>
            <w:r w:rsidR="0077581D" w:rsidRPr="001C19E5">
              <w:rPr>
                <w:b/>
              </w:rPr>
              <w:t>umplimiento</w:t>
            </w:r>
            <w:r w:rsidRPr="001C19E5">
              <w:rPr>
                <w:b/>
              </w:rPr>
              <w:t xml:space="preserve"> en la nueva web</w:t>
            </w:r>
          </w:p>
        </w:tc>
        <w:tc>
          <w:tcPr>
            <w:tcW w:w="2832"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shd w:val="clear" w:color="auto" w:fill="A8D08D" w:themeFill="accent6" w:themeFillTint="99"/>
          </w:tcPr>
          <w:p w:rsidR="0077581D" w:rsidRPr="001C19E5" w:rsidRDefault="0077581D" w:rsidP="001C19E5">
            <w:pPr>
              <w:jc w:val="center"/>
              <w:rPr>
                <w:b/>
              </w:rPr>
            </w:pPr>
            <w:r w:rsidRPr="001C19E5">
              <w:rPr>
                <w:b/>
              </w:rPr>
              <w:t>Enlace</w:t>
            </w:r>
            <w:r w:rsidR="001C19E5">
              <w:rPr>
                <w:b/>
              </w:rPr>
              <w:t>s</w:t>
            </w:r>
            <w:r w:rsidRPr="001C19E5">
              <w:rPr>
                <w:b/>
              </w:rPr>
              <w:t xml:space="preserve"> a la </w:t>
            </w:r>
            <w:r w:rsidR="001C19E5">
              <w:rPr>
                <w:b/>
              </w:rPr>
              <w:t xml:space="preserve">nueva </w:t>
            </w:r>
            <w:r w:rsidRPr="001C19E5">
              <w:rPr>
                <w:b/>
              </w:rPr>
              <w:t>web</w:t>
            </w:r>
            <w:r w:rsidR="001C19E5">
              <w:rPr>
                <w:b/>
              </w:rPr>
              <w:t xml:space="preserve"> como evidencias</w:t>
            </w:r>
          </w:p>
        </w:tc>
      </w:tr>
      <w:tr w:rsidR="001C19E5" w:rsidTr="001C19E5">
        <w:tc>
          <w:tcPr>
            <w:tcW w:w="8494" w:type="dxa"/>
            <w:gridSpan w:val="3"/>
            <w:tcBorders>
              <w:top w:val="single" w:sz="4" w:space="0" w:color="C5E0B3" w:themeColor="accent6" w:themeTint="66"/>
            </w:tcBorders>
          </w:tcPr>
          <w:p w:rsidR="001C19E5" w:rsidRPr="001C19E5" w:rsidRDefault="001C19E5" w:rsidP="001C19E5">
            <w:pPr>
              <w:spacing w:before="120" w:after="120" w:line="312" w:lineRule="auto"/>
              <w:jc w:val="center"/>
              <w:outlineLvl w:val="1"/>
              <w:rPr>
                <w:b/>
                <w:color w:val="00642D"/>
              </w:rPr>
            </w:pPr>
            <w:r w:rsidRPr="008C6237">
              <w:rPr>
                <w:b/>
                <w:color w:val="00642D"/>
              </w:rPr>
              <w:t xml:space="preserve">Información Institucional, </w:t>
            </w:r>
            <w:r>
              <w:rPr>
                <w:b/>
                <w:color w:val="00642D"/>
              </w:rPr>
              <w:t>Organizativa y de Planificación</w:t>
            </w:r>
          </w:p>
        </w:tc>
      </w:tr>
      <w:tr w:rsidR="0077581D" w:rsidTr="0077581D">
        <w:tc>
          <w:tcPr>
            <w:tcW w:w="2831" w:type="dxa"/>
          </w:tcPr>
          <w:p w:rsidR="0077581D" w:rsidRDefault="001C19E5" w:rsidP="00D96AF5">
            <w:pPr>
              <w:jc w:val="both"/>
            </w:pPr>
            <w:r w:rsidRPr="001C19E5">
              <w:t>Debe publicarse el Registro de Actividades de Tratamiento con todos los contenidos obligatorios establecidos en el Reglamento Europeo de Protección de Datos.</w:t>
            </w:r>
          </w:p>
        </w:tc>
        <w:tc>
          <w:tcPr>
            <w:tcW w:w="2831" w:type="dxa"/>
          </w:tcPr>
          <w:p w:rsidR="0077581D" w:rsidRDefault="003D483C" w:rsidP="003D483C">
            <w:pPr>
              <w:jc w:val="both"/>
            </w:pPr>
            <w:r>
              <w:t>Publicado</w:t>
            </w:r>
          </w:p>
        </w:tc>
        <w:tc>
          <w:tcPr>
            <w:tcW w:w="2832" w:type="dxa"/>
          </w:tcPr>
          <w:p w:rsidR="0077581D" w:rsidRDefault="00CF3D32" w:rsidP="00D96AF5">
            <w:pPr>
              <w:jc w:val="both"/>
            </w:pPr>
            <w:hyperlink r:id="rId9" w:history="1">
              <w:r w:rsidR="003D483C" w:rsidRPr="003D483C">
                <w:rPr>
                  <w:rStyle w:val="Hipervnculo"/>
                </w:rPr>
                <w:t>Registro de Actividades de Tratamiento</w:t>
              </w:r>
            </w:hyperlink>
          </w:p>
        </w:tc>
      </w:tr>
      <w:tr w:rsidR="0077581D" w:rsidTr="0077581D">
        <w:tc>
          <w:tcPr>
            <w:tcW w:w="2831" w:type="dxa"/>
          </w:tcPr>
          <w:p w:rsidR="0077581D" w:rsidRDefault="001C19E5" w:rsidP="001C19E5">
            <w:r w:rsidRPr="001C19E5">
              <w:t>Debe publicarse el organigrama del Centro</w:t>
            </w:r>
          </w:p>
        </w:tc>
        <w:tc>
          <w:tcPr>
            <w:tcW w:w="2831" w:type="dxa"/>
          </w:tcPr>
          <w:p w:rsidR="0077581D" w:rsidRDefault="003D483C" w:rsidP="00D96AF5">
            <w:pPr>
              <w:jc w:val="both"/>
            </w:pPr>
            <w:r>
              <w:t>Publicado</w:t>
            </w:r>
          </w:p>
          <w:p w:rsidR="003D483C" w:rsidRDefault="003D483C" w:rsidP="00D96AF5">
            <w:pPr>
              <w:jc w:val="both"/>
            </w:pPr>
          </w:p>
        </w:tc>
        <w:tc>
          <w:tcPr>
            <w:tcW w:w="2832" w:type="dxa"/>
          </w:tcPr>
          <w:p w:rsidR="0077581D" w:rsidRDefault="00CF3D32" w:rsidP="00D96AF5">
            <w:pPr>
              <w:jc w:val="both"/>
            </w:pPr>
            <w:hyperlink r:id="rId10" w:history="1">
              <w:r w:rsidR="003D483C" w:rsidRPr="003D483C">
                <w:rPr>
                  <w:rStyle w:val="Hipervnculo"/>
                </w:rPr>
                <w:t>Organigrama</w:t>
              </w:r>
            </w:hyperlink>
          </w:p>
        </w:tc>
      </w:tr>
      <w:tr w:rsidR="0077581D" w:rsidTr="0077581D">
        <w:tc>
          <w:tcPr>
            <w:tcW w:w="2831" w:type="dxa"/>
          </w:tcPr>
          <w:p w:rsidR="0077581D" w:rsidRDefault="001C19E5" w:rsidP="00D96AF5">
            <w:pPr>
              <w:jc w:val="both"/>
            </w:pPr>
            <w:r w:rsidRPr="001C19E5">
              <w:t>Debe publicarse información de seguimiento y evaluación de planes y programas.</w:t>
            </w:r>
          </w:p>
        </w:tc>
        <w:tc>
          <w:tcPr>
            <w:tcW w:w="2831" w:type="dxa"/>
          </w:tcPr>
          <w:p w:rsidR="003D483C" w:rsidRDefault="003D483C" w:rsidP="003D483C">
            <w:pPr>
              <w:jc w:val="both"/>
            </w:pPr>
            <w:r>
              <w:t>Publicada</w:t>
            </w:r>
          </w:p>
          <w:p w:rsidR="0077581D" w:rsidRDefault="0077581D" w:rsidP="00D96AF5">
            <w:pPr>
              <w:jc w:val="both"/>
            </w:pPr>
          </w:p>
        </w:tc>
        <w:tc>
          <w:tcPr>
            <w:tcW w:w="2832" w:type="dxa"/>
          </w:tcPr>
          <w:p w:rsidR="0077581D" w:rsidRDefault="00CF3D32" w:rsidP="003D483C">
            <w:pPr>
              <w:jc w:val="both"/>
            </w:pPr>
            <w:hyperlink r:id="rId11" w:history="1">
              <w:r w:rsidR="003D483C" w:rsidRPr="003D483C">
                <w:rPr>
                  <w:rStyle w:val="Hipervnculo"/>
                </w:rPr>
                <w:t>Seguimiento y evaluación de los planes y programas</w:t>
              </w:r>
            </w:hyperlink>
          </w:p>
        </w:tc>
      </w:tr>
      <w:tr w:rsidR="003D483C" w:rsidTr="0087552C">
        <w:tc>
          <w:tcPr>
            <w:tcW w:w="8494" w:type="dxa"/>
            <w:gridSpan w:val="3"/>
          </w:tcPr>
          <w:p w:rsidR="003D483C" w:rsidRDefault="003D483C" w:rsidP="003D483C">
            <w:pPr>
              <w:spacing w:before="120" w:after="120" w:line="312" w:lineRule="auto"/>
              <w:jc w:val="center"/>
              <w:outlineLvl w:val="1"/>
            </w:pPr>
            <w:r w:rsidRPr="003D483C">
              <w:rPr>
                <w:b/>
                <w:color w:val="00642D"/>
              </w:rPr>
              <w:t>Información Económica, Presupuestaria y Estadística.</w:t>
            </w:r>
          </w:p>
        </w:tc>
      </w:tr>
      <w:tr w:rsidR="0077581D" w:rsidTr="0077581D">
        <w:tc>
          <w:tcPr>
            <w:tcW w:w="2831" w:type="dxa"/>
          </w:tcPr>
          <w:p w:rsidR="0077581D" w:rsidRDefault="001C19E5" w:rsidP="00D96AF5">
            <w:pPr>
              <w:jc w:val="both"/>
            </w:pPr>
            <w:r w:rsidRPr="001C19E5">
              <w:t>Debe publicarse información sobre los contratos mayores y menores, incluyendo todos los ítems informativo que establece la LTAIBG en su artículo 8.1.a</w:t>
            </w:r>
          </w:p>
        </w:tc>
        <w:tc>
          <w:tcPr>
            <w:tcW w:w="2831" w:type="dxa"/>
          </w:tcPr>
          <w:p w:rsidR="003D483C" w:rsidRDefault="003D483C" w:rsidP="003D483C">
            <w:pPr>
              <w:jc w:val="both"/>
            </w:pPr>
            <w:r>
              <w:t>Publicada</w:t>
            </w:r>
          </w:p>
          <w:p w:rsidR="0077581D" w:rsidRDefault="0077581D" w:rsidP="00D96AF5">
            <w:pPr>
              <w:jc w:val="both"/>
            </w:pPr>
          </w:p>
        </w:tc>
        <w:tc>
          <w:tcPr>
            <w:tcW w:w="2832" w:type="dxa"/>
          </w:tcPr>
          <w:p w:rsidR="0077581D" w:rsidRDefault="00CF3D32" w:rsidP="00D96AF5">
            <w:pPr>
              <w:jc w:val="both"/>
            </w:pPr>
            <w:hyperlink r:id="rId12" w:history="1">
              <w:r w:rsidR="003D483C" w:rsidRPr="003D483C">
                <w:rPr>
                  <w:rStyle w:val="Hipervnculo"/>
                </w:rPr>
                <w:t>Contratos mayores y menores</w:t>
              </w:r>
            </w:hyperlink>
          </w:p>
        </w:tc>
      </w:tr>
      <w:tr w:rsidR="003D483C" w:rsidTr="0077581D">
        <w:tc>
          <w:tcPr>
            <w:tcW w:w="2831" w:type="dxa"/>
          </w:tcPr>
          <w:p w:rsidR="003D483C" w:rsidRDefault="003D483C" w:rsidP="003D483C">
            <w:pPr>
              <w:jc w:val="both"/>
            </w:pPr>
            <w:r w:rsidRPr="001C19E5">
              <w:t>Debe publicarse información sobre las modificaciones de contratos adjudicados. Esta información solo es accesible si se publica expresamente. La Plataforma de Contratación del Sector Público no incluye las modificaciones entre los criterios de búsqueda de licitaciones.</w:t>
            </w:r>
          </w:p>
        </w:tc>
        <w:tc>
          <w:tcPr>
            <w:tcW w:w="2831" w:type="dxa"/>
          </w:tcPr>
          <w:p w:rsidR="003D483C" w:rsidRPr="00DE4EE1" w:rsidRDefault="009C3C44" w:rsidP="00305546">
            <w:pPr>
              <w:jc w:val="both"/>
            </w:pPr>
            <w:r w:rsidRPr="009C3C44">
              <w:rPr>
                <w:color w:val="FF0000"/>
              </w:rPr>
              <w:t>Publicado</w:t>
            </w:r>
            <w:r w:rsidR="00305546" w:rsidRPr="009C3C44">
              <w:rPr>
                <w:color w:val="FF0000"/>
              </w:rPr>
              <w:t xml:space="preserve"> </w:t>
            </w:r>
          </w:p>
        </w:tc>
        <w:tc>
          <w:tcPr>
            <w:tcW w:w="2832" w:type="dxa"/>
          </w:tcPr>
          <w:p w:rsidR="003D483C" w:rsidRDefault="00CF3D32" w:rsidP="009C3C44">
            <w:pPr>
              <w:jc w:val="both"/>
            </w:pPr>
            <w:hyperlink r:id="rId13" w:history="1">
              <w:r w:rsidR="009C3C44" w:rsidRPr="00D24D39">
                <w:rPr>
                  <w:rStyle w:val="Hipervnculo"/>
                </w:rPr>
                <w:t>Contratos y Modificaciones</w:t>
              </w:r>
            </w:hyperlink>
          </w:p>
        </w:tc>
      </w:tr>
      <w:tr w:rsidR="003D483C" w:rsidTr="0077581D">
        <w:tc>
          <w:tcPr>
            <w:tcW w:w="2831" w:type="dxa"/>
          </w:tcPr>
          <w:p w:rsidR="003D483C" w:rsidRPr="001C19E5" w:rsidRDefault="003D483C" w:rsidP="003D483C">
            <w:pPr>
              <w:jc w:val="both"/>
            </w:pPr>
            <w:r w:rsidRPr="001C19E5">
              <w:t xml:space="preserve">Debe publicarse la información estadística sobre el volumen de contratación </w:t>
            </w:r>
            <w:r w:rsidRPr="001C19E5">
              <w:lastRenderedPageBreak/>
              <w:t>en términos presupuestarios y según procedimiento de licitación.</w:t>
            </w:r>
          </w:p>
        </w:tc>
        <w:tc>
          <w:tcPr>
            <w:tcW w:w="2831" w:type="dxa"/>
          </w:tcPr>
          <w:p w:rsidR="003D483C" w:rsidRPr="00DE4EE1" w:rsidRDefault="009C3C44" w:rsidP="0099314A">
            <w:pPr>
              <w:jc w:val="both"/>
            </w:pPr>
            <w:r w:rsidRPr="009C3C44">
              <w:rPr>
                <w:color w:val="FF0000"/>
              </w:rPr>
              <w:lastRenderedPageBreak/>
              <w:t>Publicado</w:t>
            </w:r>
          </w:p>
        </w:tc>
        <w:tc>
          <w:tcPr>
            <w:tcW w:w="2832" w:type="dxa"/>
          </w:tcPr>
          <w:p w:rsidR="003D483C" w:rsidRDefault="00CF3D32" w:rsidP="003D483C">
            <w:pPr>
              <w:jc w:val="both"/>
            </w:pPr>
            <w:hyperlink r:id="rId14" w:history="1">
              <w:r w:rsidR="009C3C44" w:rsidRPr="009C3C44">
                <w:rPr>
                  <w:rStyle w:val="Hipervnculo"/>
                </w:rPr>
                <w:t>Estadísticas sobre contratos</w:t>
              </w:r>
            </w:hyperlink>
          </w:p>
        </w:tc>
      </w:tr>
      <w:tr w:rsidR="00305546" w:rsidTr="0077581D">
        <w:tc>
          <w:tcPr>
            <w:tcW w:w="2831" w:type="dxa"/>
          </w:tcPr>
          <w:p w:rsidR="00305546" w:rsidRPr="001C19E5" w:rsidRDefault="00305546" w:rsidP="00305546">
            <w:pPr>
              <w:jc w:val="both"/>
            </w:pPr>
            <w:r w:rsidRPr="001C19E5">
              <w:t>Una cuestión adicional respecto de la información sobre contratos, es que la Ley 14/2022, de modificación de la Ley 19/2013, impone una nueva información obligatoria en esta materia. A partir de julio de 2023, será obligatorio publicar semestralmente “información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p>
        </w:tc>
        <w:tc>
          <w:tcPr>
            <w:tcW w:w="2831" w:type="dxa"/>
          </w:tcPr>
          <w:p w:rsidR="00305546" w:rsidRPr="00DE4EE1" w:rsidRDefault="00305546" w:rsidP="00101121">
            <w:pPr>
              <w:jc w:val="both"/>
            </w:pPr>
          </w:p>
        </w:tc>
        <w:tc>
          <w:tcPr>
            <w:tcW w:w="2832" w:type="dxa"/>
          </w:tcPr>
          <w:p w:rsidR="00305546" w:rsidRDefault="00305546" w:rsidP="00305546">
            <w:pPr>
              <w:jc w:val="both"/>
            </w:pPr>
          </w:p>
        </w:tc>
      </w:tr>
      <w:tr w:rsidR="003D483C" w:rsidTr="0077581D">
        <w:tc>
          <w:tcPr>
            <w:tcW w:w="2831" w:type="dxa"/>
          </w:tcPr>
          <w:p w:rsidR="003D483C" w:rsidRPr="001C19E5" w:rsidRDefault="003D483C" w:rsidP="003D483C">
            <w:pPr>
              <w:jc w:val="both"/>
            </w:pPr>
            <w:r w:rsidRPr="001C19E5">
              <w:t>Debe completarse la información sobre convenios, incluyendo todos los ítems informativos que establece la LTAIBG en su artículo 8.1.b</w:t>
            </w:r>
          </w:p>
        </w:tc>
        <w:tc>
          <w:tcPr>
            <w:tcW w:w="2831" w:type="dxa"/>
          </w:tcPr>
          <w:p w:rsidR="003D483C" w:rsidRPr="00DE4EE1" w:rsidRDefault="003D483C" w:rsidP="003D483C">
            <w:pPr>
              <w:jc w:val="both"/>
            </w:pPr>
            <w:r w:rsidRPr="009D1168">
              <w:rPr>
                <w:color w:val="FF0000"/>
              </w:rPr>
              <w:t>Publicada</w:t>
            </w:r>
          </w:p>
        </w:tc>
        <w:tc>
          <w:tcPr>
            <w:tcW w:w="2832" w:type="dxa"/>
          </w:tcPr>
          <w:p w:rsidR="003D483C" w:rsidRDefault="00CF3D32" w:rsidP="003D483C">
            <w:pPr>
              <w:jc w:val="both"/>
            </w:pPr>
            <w:hyperlink r:id="rId15" w:history="1">
              <w:r w:rsidR="003D483C" w:rsidRPr="003D483C">
                <w:rPr>
                  <w:rStyle w:val="Hipervnculo"/>
                </w:rPr>
                <w:t>Convenios</w:t>
              </w:r>
            </w:hyperlink>
            <w:r w:rsidR="0099314A">
              <w:t xml:space="preserve"> suscritos</w:t>
            </w:r>
          </w:p>
        </w:tc>
      </w:tr>
      <w:tr w:rsidR="003D483C" w:rsidTr="0077581D">
        <w:tc>
          <w:tcPr>
            <w:tcW w:w="2831" w:type="dxa"/>
          </w:tcPr>
          <w:p w:rsidR="003D483C" w:rsidRPr="001C19E5" w:rsidRDefault="003D483C" w:rsidP="003D483C">
            <w:pPr>
              <w:jc w:val="both"/>
            </w:pPr>
            <w:r w:rsidRPr="001C19E5">
              <w:t>Debe publicarse información sobre las encomiendas de gestión, incluyendo todos los ítems informativos que establece la LTAIBG en su artículo 8.1.b</w:t>
            </w:r>
          </w:p>
        </w:tc>
        <w:tc>
          <w:tcPr>
            <w:tcW w:w="2831" w:type="dxa"/>
          </w:tcPr>
          <w:p w:rsidR="009D1168" w:rsidRPr="009C3C44" w:rsidRDefault="009D1168" w:rsidP="009D1168">
            <w:pPr>
              <w:jc w:val="both"/>
              <w:rPr>
                <w:color w:val="FF0000"/>
              </w:rPr>
            </w:pPr>
            <w:r w:rsidRPr="009C3C44">
              <w:rPr>
                <w:color w:val="FF0000"/>
              </w:rPr>
              <w:t>Publicado</w:t>
            </w:r>
          </w:p>
          <w:p w:rsidR="003D483C" w:rsidRPr="00DE4EE1" w:rsidRDefault="003D483C" w:rsidP="003D483C">
            <w:pPr>
              <w:jc w:val="both"/>
            </w:pPr>
          </w:p>
        </w:tc>
        <w:tc>
          <w:tcPr>
            <w:tcW w:w="2832" w:type="dxa"/>
          </w:tcPr>
          <w:p w:rsidR="003D483C" w:rsidRDefault="00CF3D32" w:rsidP="003D483C">
            <w:pPr>
              <w:jc w:val="both"/>
            </w:pPr>
            <w:hyperlink r:id="rId16" w:history="1">
              <w:r w:rsidR="009D1168" w:rsidRPr="009D1168">
                <w:rPr>
                  <w:rStyle w:val="Hipervnculo"/>
                </w:rPr>
                <w:t>Encomiendas de gestión</w:t>
              </w:r>
            </w:hyperlink>
          </w:p>
        </w:tc>
      </w:tr>
      <w:tr w:rsidR="003D483C" w:rsidTr="0077581D">
        <w:tc>
          <w:tcPr>
            <w:tcW w:w="2831" w:type="dxa"/>
          </w:tcPr>
          <w:p w:rsidR="003D483C" w:rsidRPr="001C19E5" w:rsidRDefault="003D483C" w:rsidP="003D483C">
            <w:pPr>
              <w:jc w:val="both"/>
            </w:pPr>
            <w:r w:rsidRPr="001C19E5">
              <w:t xml:space="preserve">Debe publicarse información sobre las subcontrataciones derivadas de las encomiendas de gestión.  Esta información sólo es  obtenible si se publica expresamente, ya que a partir del documento de la encomienda no es posible </w:t>
            </w:r>
            <w:r w:rsidRPr="001C19E5">
              <w:lastRenderedPageBreak/>
              <w:t>conocer el procedimiento de adjudicación de la subcontratación, el adjudicatario y la cuantía, ítems informativos que establece la LTAIBG para esta obligación.</w:t>
            </w:r>
          </w:p>
        </w:tc>
        <w:tc>
          <w:tcPr>
            <w:tcW w:w="2831" w:type="dxa"/>
          </w:tcPr>
          <w:p w:rsidR="009D1168" w:rsidRPr="009C3C44" w:rsidRDefault="009D1168" w:rsidP="009D1168">
            <w:pPr>
              <w:jc w:val="both"/>
              <w:rPr>
                <w:color w:val="FF0000"/>
              </w:rPr>
            </w:pPr>
            <w:r w:rsidRPr="009C3C44">
              <w:rPr>
                <w:color w:val="FF0000"/>
              </w:rPr>
              <w:lastRenderedPageBreak/>
              <w:t>Publicado</w:t>
            </w:r>
          </w:p>
          <w:p w:rsidR="003D483C" w:rsidRPr="00DE4EE1" w:rsidRDefault="003D483C" w:rsidP="00FA7510">
            <w:pPr>
              <w:jc w:val="both"/>
            </w:pPr>
          </w:p>
        </w:tc>
        <w:tc>
          <w:tcPr>
            <w:tcW w:w="2832" w:type="dxa"/>
          </w:tcPr>
          <w:p w:rsidR="003D483C" w:rsidRDefault="00CF3D32" w:rsidP="003D483C">
            <w:pPr>
              <w:jc w:val="both"/>
            </w:pPr>
            <w:hyperlink r:id="rId17" w:history="1">
              <w:r w:rsidR="009D1168" w:rsidRPr="009D1168">
                <w:rPr>
                  <w:rStyle w:val="Hipervnculo"/>
                </w:rPr>
                <w:t>Encomiendas de gestión</w:t>
              </w:r>
            </w:hyperlink>
          </w:p>
        </w:tc>
      </w:tr>
      <w:tr w:rsidR="003D483C" w:rsidTr="0077581D">
        <w:tc>
          <w:tcPr>
            <w:tcW w:w="2831" w:type="dxa"/>
          </w:tcPr>
          <w:p w:rsidR="003D483C" w:rsidRPr="001C19E5" w:rsidRDefault="003D483C" w:rsidP="003D483C">
            <w:pPr>
              <w:jc w:val="both"/>
            </w:pPr>
            <w:r w:rsidRPr="001C19E5">
              <w:t>Debe publicarse información sobre las subvenciones o ayudas públicas concedidas. Esta información debe incluir el objeto de la subvención o ayuda, los beneficiarios y la cuantía concedida a cada uno de ellos.</w:t>
            </w:r>
          </w:p>
        </w:tc>
        <w:tc>
          <w:tcPr>
            <w:tcW w:w="2831" w:type="dxa"/>
          </w:tcPr>
          <w:p w:rsidR="003D483C" w:rsidRPr="00DE4EE1" w:rsidRDefault="00101121" w:rsidP="00FA7510">
            <w:pPr>
              <w:jc w:val="both"/>
            </w:pPr>
            <w:r w:rsidRPr="00DE4EE1">
              <w:t>Publicada</w:t>
            </w:r>
          </w:p>
        </w:tc>
        <w:tc>
          <w:tcPr>
            <w:tcW w:w="2832" w:type="dxa"/>
          </w:tcPr>
          <w:p w:rsidR="003D483C" w:rsidRDefault="00CF3D32" w:rsidP="003D483C">
            <w:pPr>
              <w:jc w:val="both"/>
            </w:pPr>
            <w:hyperlink r:id="rId18" w:history="1">
              <w:r w:rsidR="00101121" w:rsidRPr="00101121">
                <w:rPr>
                  <w:rStyle w:val="Hipervnculo"/>
                </w:rPr>
                <w:t>Subvenciones</w:t>
              </w:r>
            </w:hyperlink>
          </w:p>
        </w:tc>
      </w:tr>
      <w:tr w:rsidR="003D483C" w:rsidTr="0077581D">
        <w:tc>
          <w:tcPr>
            <w:tcW w:w="2831" w:type="dxa"/>
          </w:tcPr>
          <w:p w:rsidR="003D483C" w:rsidRPr="001C19E5" w:rsidRDefault="003D483C" w:rsidP="003D483C">
            <w:pPr>
              <w:jc w:val="both"/>
            </w:pPr>
            <w:r w:rsidRPr="001C19E5">
              <w:t>Debe publicarse  información sobre el  presupuesto</w:t>
            </w:r>
          </w:p>
        </w:tc>
        <w:tc>
          <w:tcPr>
            <w:tcW w:w="2831" w:type="dxa"/>
          </w:tcPr>
          <w:p w:rsidR="003D483C" w:rsidRPr="00DE4EE1" w:rsidRDefault="0099314A" w:rsidP="003D483C">
            <w:pPr>
              <w:jc w:val="both"/>
            </w:pPr>
            <w:r w:rsidRPr="00DE4EE1">
              <w:t>Publicada</w:t>
            </w:r>
          </w:p>
        </w:tc>
        <w:tc>
          <w:tcPr>
            <w:tcW w:w="2832" w:type="dxa"/>
          </w:tcPr>
          <w:p w:rsidR="003D483C" w:rsidRDefault="00CF3D32" w:rsidP="003D483C">
            <w:pPr>
              <w:jc w:val="both"/>
            </w:pPr>
            <w:hyperlink r:id="rId19" w:history="1">
              <w:r w:rsidR="0099314A" w:rsidRPr="0099314A">
                <w:rPr>
                  <w:rStyle w:val="Hipervnculo"/>
                </w:rPr>
                <w:t>Presupuesto</w:t>
              </w:r>
            </w:hyperlink>
          </w:p>
        </w:tc>
      </w:tr>
      <w:tr w:rsidR="003D483C" w:rsidTr="0077581D">
        <w:tc>
          <w:tcPr>
            <w:tcW w:w="2831" w:type="dxa"/>
          </w:tcPr>
          <w:p w:rsidR="003D483C" w:rsidRPr="001C19E5" w:rsidRDefault="003D483C" w:rsidP="003D483C">
            <w:pPr>
              <w:jc w:val="both"/>
            </w:pPr>
            <w:r w:rsidRPr="001C19E5">
              <w:t>Debe publicarse en la web del CUD información sobre las cuentas anuales</w:t>
            </w:r>
          </w:p>
        </w:tc>
        <w:tc>
          <w:tcPr>
            <w:tcW w:w="2831" w:type="dxa"/>
          </w:tcPr>
          <w:p w:rsidR="003D483C" w:rsidRPr="00DE4EE1" w:rsidRDefault="0099314A" w:rsidP="003D483C">
            <w:pPr>
              <w:jc w:val="both"/>
            </w:pPr>
            <w:r w:rsidRPr="00DE4EE1">
              <w:t>Publicada</w:t>
            </w:r>
          </w:p>
        </w:tc>
        <w:tc>
          <w:tcPr>
            <w:tcW w:w="2832" w:type="dxa"/>
          </w:tcPr>
          <w:p w:rsidR="003D483C" w:rsidRDefault="00CF3D32" w:rsidP="003D483C">
            <w:pPr>
              <w:jc w:val="both"/>
            </w:pPr>
            <w:hyperlink r:id="rId20" w:history="1">
              <w:r w:rsidR="0099314A" w:rsidRPr="0099314A">
                <w:rPr>
                  <w:rStyle w:val="Hipervnculo"/>
                </w:rPr>
                <w:t>Cuentas anuales</w:t>
              </w:r>
            </w:hyperlink>
          </w:p>
        </w:tc>
      </w:tr>
      <w:tr w:rsidR="003D483C" w:rsidTr="0077581D">
        <w:tc>
          <w:tcPr>
            <w:tcW w:w="2831" w:type="dxa"/>
          </w:tcPr>
          <w:p w:rsidR="003D483C" w:rsidRPr="001C19E5" w:rsidRDefault="003D483C" w:rsidP="003D483C">
            <w:pPr>
              <w:jc w:val="both"/>
            </w:pPr>
            <w:r w:rsidRPr="001C19E5">
              <w:t>Deben publicarse los informes de auditoría y fiscalización elaborados por el Tribunal de Cuentas.</w:t>
            </w:r>
          </w:p>
        </w:tc>
        <w:tc>
          <w:tcPr>
            <w:tcW w:w="2831" w:type="dxa"/>
          </w:tcPr>
          <w:p w:rsidR="0099314A" w:rsidRPr="009C3C44" w:rsidRDefault="009C3C44" w:rsidP="003D483C">
            <w:pPr>
              <w:jc w:val="both"/>
              <w:rPr>
                <w:color w:val="FF0000"/>
              </w:rPr>
            </w:pPr>
            <w:r w:rsidRPr="009C3C44">
              <w:rPr>
                <w:color w:val="FF0000"/>
              </w:rPr>
              <w:t>Publicado</w:t>
            </w:r>
          </w:p>
          <w:p w:rsidR="003D483C" w:rsidRPr="009C3C44" w:rsidRDefault="003D483C" w:rsidP="003D483C">
            <w:pPr>
              <w:jc w:val="both"/>
              <w:rPr>
                <w:color w:val="FF0000"/>
              </w:rPr>
            </w:pPr>
          </w:p>
        </w:tc>
        <w:tc>
          <w:tcPr>
            <w:tcW w:w="2832" w:type="dxa"/>
          </w:tcPr>
          <w:p w:rsidR="003D483C" w:rsidRDefault="00CF3D32" w:rsidP="003D483C">
            <w:pPr>
              <w:jc w:val="both"/>
            </w:pPr>
            <w:hyperlink r:id="rId21" w:history="1">
              <w:r w:rsidR="009D1168" w:rsidRPr="009D1168">
                <w:rPr>
                  <w:rStyle w:val="Hipervnculo"/>
                </w:rPr>
                <w:t>Informes de auditoría de cuentas y fiscalización.</w:t>
              </w:r>
            </w:hyperlink>
          </w:p>
        </w:tc>
      </w:tr>
      <w:tr w:rsidR="003D483C" w:rsidTr="0077581D">
        <w:tc>
          <w:tcPr>
            <w:tcW w:w="2831" w:type="dxa"/>
          </w:tcPr>
          <w:p w:rsidR="003D483C" w:rsidRPr="001C19E5" w:rsidRDefault="003D483C" w:rsidP="003D483C">
            <w:pPr>
              <w:jc w:val="both"/>
            </w:pPr>
            <w:r w:rsidRPr="001C19E5">
              <w:t>Debe publicarse información sobre las retribuciones percibidas por todos los máximos responsables</w:t>
            </w:r>
          </w:p>
        </w:tc>
        <w:tc>
          <w:tcPr>
            <w:tcW w:w="2831" w:type="dxa"/>
          </w:tcPr>
          <w:p w:rsidR="009C3C44" w:rsidRPr="009C3C44" w:rsidRDefault="009C3C44" w:rsidP="009C3C44">
            <w:pPr>
              <w:jc w:val="both"/>
              <w:rPr>
                <w:color w:val="FF0000"/>
              </w:rPr>
            </w:pPr>
            <w:r w:rsidRPr="009C3C44">
              <w:rPr>
                <w:color w:val="FF0000"/>
              </w:rPr>
              <w:t>Publicado</w:t>
            </w:r>
          </w:p>
          <w:p w:rsidR="003D483C" w:rsidRPr="00DE4EE1" w:rsidRDefault="003D483C" w:rsidP="003D483C">
            <w:pPr>
              <w:jc w:val="both"/>
            </w:pPr>
          </w:p>
        </w:tc>
        <w:tc>
          <w:tcPr>
            <w:tcW w:w="2832" w:type="dxa"/>
          </w:tcPr>
          <w:p w:rsidR="003D483C" w:rsidRDefault="00CF3D32" w:rsidP="003D483C">
            <w:pPr>
              <w:jc w:val="both"/>
            </w:pPr>
            <w:hyperlink r:id="rId22" w:history="1">
              <w:r w:rsidR="009D1168" w:rsidRPr="009D1168">
                <w:rPr>
                  <w:rStyle w:val="Hipervnculo"/>
                </w:rPr>
                <w:t>Régimen de altos cargos y máximos responsables</w:t>
              </w:r>
            </w:hyperlink>
          </w:p>
        </w:tc>
      </w:tr>
      <w:tr w:rsidR="003D483C" w:rsidTr="0077581D">
        <w:tc>
          <w:tcPr>
            <w:tcW w:w="2831" w:type="dxa"/>
          </w:tcPr>
          <w:p w:rsidR="003D483C" w:rsidRPr="001C19E5" w:rsidRDefault="003D483C" w:rsidP="003D483C">
            <w:pPr>
              <w:jc w:val="both"/>
            </w:pPr>
            <w:r w:rsidRPr="001C19E5">
              <w:t>Debe publicarse información sobre las indemnizaciones percibidas por altos cargos y máximos responsables con ocasión del cese.</w:t>
            </w:r>
          </w:p>
        </w:tc>
        <w:tc>
          <w:tcPr>
            <w:tcW w:w="2831" w:type="dxa"/>
          </w:tcPr>
          <w:p w:rsidR="009C3C44" w:rsidRPr="009C3C44" w:rsidRDefault="009C3C44" w:rsidP="009C3C44">
            <w:pPr>
              <w:jc w:val="both"/>
              <w:rPr>
                <w:color w:val="FF0000"/>
              </w:rPr>
            </w:pPr>
            <w:r w:rsidRPr="009C3C44">
              <w:rPr>
                <w:color w:val="FF0000"/>
              </w:rPr>
              <w:t>Publicado</w:t>
            </w:r>
          </w:p>
          <w:p w:rsidR="003D483C" w:rsidRPr="00DE4EE1" w:rsidRDefault="003D483C" w:rsidP="0099314A"/>
        </w:tc>
        <w:tc>
          <w:tcPr>
            <w:tcW w:w="2832" w:type="dxa"/>
          </w:tcPr>
          <w:p w:rsidR="003D483C" w:rsidRDefault="00CF3D32" w:rsidP="003D483C">
            <w:pPr>
              <w:jc w:val="both"/>
            </w:pPr>
            <w:hyperlink r:id="rId23" w:history="1">
              <w:r w:rsidR="009D1168" w:rsidRPr="009D1168">
                <w:rPr>
                  <w:rStyle w:val="Hipervnculo"/>
                </w:rPr>
                <w:t>Régimen de altos cargos y máximos responsables</w:t>
              </w:r>
            </w:hyperlink>
          </w:p>
        </w:tc>
      </w:tr>
      <w:tr w:rsidR="003D483C" w:rsidTr="0077581D">
        <w:tc>
          <w:tcPr>
            <w:tcW w:w="2831" w:type="dxa"/>
          </w:tcPr>
          <w:p w:rsidR="003D483C" w:rsidRPr="001C19E5" w:rsidRDefault="003D483C" w:rsidP="003D483C">
            <w:pPr>
              <w:jc w:val="both"/>
            </w:pPr>
            <w:r w:rsidRPr="001C19E5">
              <w:t>Debe publicarse información sobre las autorizaciones de compatibilidad concedidas a empleados.</w:t>
            </w:r>
          </w:p>
        </w:tc>
        <w:tc>
          <w:tcPr>
            <w:tcW w:w="2831" w:type="dxa"/>
          </w:tcPr>
          <w:p w:rsidR="003D483C" w:rsidRPr="00DE4EE1" w:rsidRDefault="00101121" w:rsidP="003D483C">
            <w:pPr>
              <w:jc w:val="both"/>
            </w:pPr>
            <w:r w:rsidRPr="00DE4EE1">
              <w:t>Publicado</w:t>
            </w:r>
          </w:p>
        </w:tc>
        <w:tc>
          <w:tcPr>
            <w:tcW w:w="2832" w:type="dxa"/>
          </w:tcPr>
          <w:p w:rsidR="003D483C" w:rsidRDefault="00CF3D32" w:rsidP="003D483C">
            <w:pPr>
              <w:jc w:val="both"/>
            </w:pPr>
            <w:hyperlink r:id="rId24" w:history="1">
              <w:r w:rsidR="00101121" w:rsidRPr="00101121">
                <w:rPr>
                  <w:rStyle w:val="Hipervnculo"/>
                </w:rPr>
                <w:t>Compatibilidad</w:t>
              </w:r>
            </w:hyperlink>
          </w:p>
        </w:tc>
      </w:tr>
      <w:tr w:rsidR="003D483C" w:rsidTr="0077581D">
        <w:tc>
          <w:tcPr>
            <w:tcW w:w="2831" w:type="dxa"/>
          </w:tcPr>
          <w:p w:rsidR="003D483C" w:rsidRPr="001C19E5" w:rsidRDefault="003D483C" w:rsidP="003D483C">
            <w:pPr>
              <w:jc w:val="both"/>
            </w:pPr>
            <w:r w:rsidRPr="001C19E5">
              <w:t>Debe publicarse información sobre las autorizaciones para el ejercicio de actividades privadas tras el cese de altos cargos</w:t>
            </w:r>
          </w:p>
        </w:tc>
        <w:tc>
          <w:tcPr>
            <w:tcW w:w="2831" w:type="dxa"/>
          </w:tcPr>
          <w:p w:rsidR="009C3C44" w:rsidRPr="009C3C44" w:rsidRDefault="009C3C44" w:rsidP="009C3C44">
            <w:pPr>
              <w:jc w:val="both"/>
              <w:rPr>
                <w:color w:val="FF0000"/>
              </w:rPr>
            </w:pPr>
            <w:r w:rsidRPr="009C3C44">
              <w:rPr>
                <w:color w:val="FF0000"/>
              </w:rPr>
              <w:t>Publicado</w:t>
            </w:r>
          </w:p>
          <w:p w:rsidR="003D483C" w:rsidRPr="00DE4EE1" w:rsidRDefault="003D483C" w:rsidP="003D483C">
            <w:pPr>
              <w:jc w:val="both"/>
            </w:pPr>
          </w:p>
        </w:tc>
        <w:tc>
          <w:tcPr>
            <w:tcW w:w="2832" w:type="dxa"/>
          </w:tcPr>
          <w:p w:rsidR="003D483C" w:rsidRDefault="00CF3D32" w:rsidP="003D483C">
            <w:pPr>
              <w:jc w:val="both"/>
            </w:pPr>
            <w:hyperlink r:id="rId25" w:history="1">
              <w:r w:rsidR="009D1168" w:rsidRPr="009D1168">
                <w:rPr>
                  <w:rStyle w:val="Hipervnculo"/>
                </w:rPr>
                <w:t>Régimen de altos cargos y máximos responsables</w:t>
              </w:r>
            </w:hyperlink>
          </w:p>
        </w:tc>
      </w:tr>
      <w:tr w:rsidR="003D483C" w:rsidTr="0077581D">
        <w:tc>
          <w:tcPr>
            <w:tcW w:w="2831" w:type="dxa"/>
          </w:tcPr>
          <w:p w:rsidR="003D483C" w:rsidRPr="001C19E5" w:rsidRDefault="003D483C" w:rsidP="003D483C">
            <w:pPr>
              <w:jc w:val="both"/>
            </w:pPr>
            <w:r w:rsidRPr="001C19E5">
              <w:t>Debe publicarse información estadística sobre cumplimiento y calidad de los servicios que se prestan.</w:t>
            </w:r>
          </w:p>
        </w:tc>
        <w:tc>
          <w:tcPr>
            <w:tcW w:w="2831" w:type="dxa"/>
          </w:tcPr>
          <w:p w:rsidR="003D483C" w:rsidRPr="00DE4EE1" w:rsidRDefault="0099314A" w:rsidP="003D483C">
            <w:pPr>
              <w:jc w:val="both"/>
            </w:pPr>
            <w:r w:rsidRPr="00DE4EE1">
              <w:t>Publicada</w:t>
            </w:r>
          </w:p>
        </w:tc>
        <w:tc>
          <w:tcPr>
            <w:tcW w:w="2832" w:type="dxa"/>
          </w:tcPr>
          <w:p w:rsidR="003D483C" w:rsidRDefault="00CF3D32" w:rsidP="003D483C">
            <w:pPr>
              <w:jc w:val="both"/>
            </w:pPr>
            <w:hyperlink r:id="rId26" w:history="1">
              <w:r w:rsidR="0099314A" w:rsidRPr="0099314A">
                <w:rPr>
                  <w:rStyle w:val="Hipervnculo"/>
                </w:rPr>
                <w:t>Resultados estadísticos del Grado</w:t>
              </w:r>
            </w:hyperlink>
          </w:p>
          <w:p w:rsidR="0099314A" w:rsidRDefault="00CF3D32" w:rsidP="0099314A">
            <w:pPr>
              <w:jc w:val="both"/>
            </w:pPr>
            <w:hyperlink r:id="rId27" w:history="1">
              <w:r w:rsidR="0099314A" w:rsidRPr="0099314A">
                <w:rPr>
                  <w:rStyle w:val="Hipervnculo"/>
                </w:rPr>
                <w:t>Resultados estadísticos del Máster</w:t>
              </w:r>
            </w:hyperlink>
            <w:r w:rsidR="0099314A">
              <w:t xml:space="preserve"> </w:t>
            </w:r>
          </w:p>
          <w:p w:rsidR="0099314A" w:rsidRDefault="0099314A" w:rsidP="0099314A">
            <w:pPr>
              <w:jc w:val="both"/>
            </w:pPr>
            <w:r>
              <w:t xml:space="preserve">Ver pestaña </w:t>
            </w:r>
            <w:r w:rsidRPr="0099314A">
              <w:t>Calidad</w:t>
            </w:r>
            <w:r>
              <w:t xml:space="preserve"> en la nueva </w:t>
            </w:r>
            <w:hyperlink r:id="rId28" w:history="1">
              <w:r w:rsidRPr="0099314A">
                <w:rPr>
                  <w:rStyle w:val="Hipervnculo"/>
                </w:rPr>
                <w:t>web</w:t>
              </w:r>
            </w:hyperlink>
            <w:r>
              <w:t>.</w:t>
            </w:r>
          </w:p>
          <w:p w:rsidR="0069257E" w:rsidRDefault="0069257E" w:rsidP="0099314A">
            <w:pPr>
              <w:jc w:val="both"/>
            </w:pPr>
          </w:p>
          <w:p w:rsidR="0099314A" w:rsidRDefault="0099314A" w:rsidP="003D483C">
            <w:pPr>
              <w:jc w:val="both"/>
            </w:pPr>
          </w:p>
        </w:tc>
      </w:tr>
      <w:tr w:rsidR="003D483C" w:rsidTr="00E20C8D">
        <w:tc>
          <w:tcPr>
            <w:tcW w:w="8494" w:type="dxa"/>
            <w:gridSpan w:val="3"/>
          </w:tcPr>
          <w:p w:rsidR="003D483C" w:rsidRDefault="003D483C" w:rsidP="003D483C">
            <w:pPr>
              <w:spacing w:before="120" w:after="120" w:line="312" w:lineRule="auto"/>
              <w:jc w:val="center"/>
              <w:outlineLvl w:val="1"/>
            </w:pPr>
            <w:r w:rsidRPr="003D483C">
              <w:rPr>
                <w:rFonts w:ascii="Century Gothic" w:hAnsi="Century Gothic"/>
                <w:b/>
                <w:color w:val="00642D"/>
                <w:sz w:val="20"/>
              </w:rPr>
              <w:lastRenderedPageBreak/>
              <w:t>Calidad de la Información</w:t>
            </w:r>
          </w:p>
        </w:tc>
      </w:tr>
      <w:tr w:rsidR="003D483C" w:rsidTr="0077581D">
        <w:tc>
          <w:tcPr>
            <w:tcW w:w="2831" w:type="dxa"/>
          </w:tcPr>
          <w:p w:rsidR="003D483C" w:rsidRPr="001C19E5" w:rsidRDefault="003D483C" w:rsidP="003D483C">
            <w:pPr>
              <w:spacing w:after="200" w:line="276" w:lineRule="auto"/>
              <w:jc w:val="both"/>
            </w:pPr>
            <w:r w:rsidRPr="001C19E5">
              <w:t>Debe incluirse referencias a la fecha en que se revisó o actualizó por última vez la información. Para ello bastaría con que esta fecha se publicase en la página inicial del Portal de Transparencia del organismo.</w:t>
            </w:r>
          </w:p>
        </w:tc>
        <w:tc>
          <w:tcPr>
            <w:tcW w:w="2831" w:type="dxa"/>
          </w:tcPr>
          <w:p w:rsidR="003D483C" w:rsidRDefault="00653F30" w:rsidP="003D483C">
            <w:pPr>
              <w:jc w:val="both"/>
            </w:pPr>
            <w:r>
              <w:t>Se están incluyendo fechas de actualización de la información conforme se revisa.</w:t>
            </w:r>
          </w:p>
        </w:tc>
        <w:tc>
          <w:tcPr>
            <w:tcW w:w="2832" w:type="dxa"/>
          </w:tcPr>
          <w:p w:rsidR="003D483C" w:rsidRDefault="003D483C" w:rsidP="00653F30">
            <w:pPr>
              <w:jc w:val="both"/>
            </w:pPr>
          </w:p>
        </w:tc>
      </w:tr>
      <w:tr w:rsidR="003D483C" w:rsidTr="0077581D">
        <w:tc>
          <w:tcPr>
            <w:tcW w:w="2831" w:type="dxa"/>
          </w:tcPr>
          <w:p w:rsidR="003D483C" w:rsidRPr="001C19E5" w:rsidRDefault="003D483C" w:rsidP="003D483C">
            <w:pPr>
              <w:jc w:val="both"/>
            </w:pPr>
            <w:r w:rsidRPr="001C19E5">
              <w:t>Debería valorarse la publicación de cuadros-resumen en el caso de que se opte por la publicación de obligaciones como los contratos o las subvenciones a través de fuentes centralizadas (Plataforma de Contratación del Sector Público, por ejemplo), incluyendo todos los ítems informativos que establece la LTAIBG en su artículo 8 a y b.</w:t>
            </w:r>
          </w:p>
        </w:tc>
        <w:tc>
          <w:tcPr>
            <w:tcW w:w="2831" w:type="dxa"/>
          </w:tcPr>
          <w:p w:rsidR="003D483C" w:rsidRPr="00DE4EE1" w:rsidRDefault="00CB56A6" w:rsidP="003D483C">
            <w:pPr>
              <w:jc w:val="both"/>
            </w:pPr>
            <w:r w:rsidRPr="00DE4EE1">
              <w:t>El escaso volumen de contratación hace ésta información irrelevante.</w:t>
            </w:r>
          </w:p>
        </w:tc>
        <w:tc>
          <w:tcPr>
            <w:tcW w:w="2832" w:type="dxa"/>
          </w:tcPr>
          <w:p w:rsidR="003D483C" w:rsidRDefault="003D483C" w:rsidP="003D483C">
            <w:pPr>
              <w:jc w:val="both"/>
            </w:pPr>
          </w:p>
        </w:tc>
      </w:tr>
      <w:tr w:rsidR="003D483C" w:rsidTr="0077581D">
        <w:tc>
          <w:tcPr>
            <w:tcW w:w="2831" w:type="dxa"/>
          </w:tcPr>
          <w:p w:rsidR="003D483C" w:rsidRPr="001C19E5" w:rsidRDefault="003D483C" w:rsidP="003D483C">
            <w:pPr>
              <w:jc w:val="both"/>
            </w:pPr>
            <w:r w:rsidRPr="001C19E5">
              <w:t>En la medida de lo posible, las denominaciones de los enlaces deben ajustarse a los contenidos a los que redirigen, para facilitar  la localización de la información.</w:t>
            </w:r>
          </w:p>
        </w:tc>
        <w:tc>
          <w:tcPr>
            <w:tcW w:w="2831" w:type="dxa"/>
          </w:tcPr>
          <w:p w:rsidR="003D483C" w:rsidRPr="00DE4EE1" w:rsidRDefault="00CB56A6" w:rsidP="003D483C">
            <w:pPr>
              <w:jc w:val="both"/>
            </w:pPr>
            <w:r w:rsidRPr="00DE4EE1">
              <w:t>Se cumple dicho requisito en la web del CUD-AGM</w:t>
            </w:r>
          </w:p>
        </w:tc>
        <w:tc>
          <w:tcPr>
            <w:tcW w:w="2832" w:type="dxa"/>
          </w:tcPr>
          <w:p w:rsidR="003D483C" w:rsidRDefault="003D483C" w:rsidP="003D483C">
            <w:pPr>
              <w:jc w:val="both"/>
            </w:pPr>
          </w:p>
        </w:tc>
      </w:tr>
      <w:tr w:rsidR="003D483C" w:rsidTr="0077581D">
        <w:tc>
          <w:tcPr>
            <w:tcW w:w="2831" w:type="dxa"/>
          </w:tcPr>
          <w:p w:rsidR="003D483C" w:rsidRPr="001C19E5" w:rsidRDefault="003D483C" w:rsidP="003D483C">
            <w:pPr>
              <w:jc w:val="both"/>
            </w:pPr>
            <w:r w:rsidRPr="001C19E5">
              <w:t>Se reitera la recomendación de que en el caso de que no hubiera información que publicar, se señale expresamente esta circunstancia.</w:t>
            </w:r>
          </w:p>
        </w:tc>
        <w:tc>
          <w:tcPr>
            <w:tcW w:w="2831" w:type="dxa"/>
          </w:tcPr>
          <w:p w:rsidR="009C3C44" w:rsidRPr="009C3C44" w:rsidRDefault="009C3C44" w:rsidP="009C3C44">
            <w:pPr>
              <w:jc w:val="both"/>
              <w:rPr>
                <w:color w:val="FF0000"/>
              </w:rPr>
            </w:pPr>
            <w:r w:rsidRPr="009C3C44">
              <w:rPr>
                <w:color w:val="FF0000"/>
              </w:rPr>
              <w:t>Publicado</w:t>
            </w:r>
          </w:p>
          <w:p w:rsidR="003D483C" w:rsidRPr="00DE4EE1" w:rsidRDefault="003D483C" w:rsidP="003D483C">
            <w:pPr>
              <w:jc w:val="both"/>
            </w:pPr>
          </w:p>
        </w:tc>
        <w:tc>
          <w:tcPr>
            <w:tcW w:w="2832" w:type="dxa"/>
          </w:tcPr>
          <w:p w:rsidR="003D483C" w:rsidRDefault="003D483C" w:rsidP="003D483C">
            <w:pPr>
              <w:jc w:val="both"/>
            </w:pPr>
          </w:p>
        </w:tc>
      </w:tr>
      <w:tr w:rsidR="003D483C" w:rsidTr="0077581D">
        <w:tc>
          <w:tcPr>
            <w:tcW w:w="2831" w:type="dxa"/>
          </w:tcPr>
          <w:p w:rsidR="003D483C" w:rsidRPr="001C19E5" w:rsidRDefault="003D483C" w:rsidP="003D483C">
            <w:pPr>
              <w:jc w:val="both"/>
            </w:pPr>
            <w:r w:rsidRPr="001C19E5">
              <w:t xml:space="preserve">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w:t>
            </w:r>
            <w:r w:rsidRPr="001C19E5">
              <w:lastRenderedPageBreak/>
              <w:t>debería permitir su edición (copiar y pegar).</w:t>
            </w:r>
          </w:p>
        </w:tc>
        <w:tc>
          <w:tcPr>
            <w:tcW w:w="2831" w:type="dxa"/>
          </w:tcPr>
          <w:p w:rsidR="00F90E4F" w:rsidRPr="00DE4EE1" w:rsidRDefault="00F90E4F" w:rsidP="003D483C">
            <w:pPr>
              <w:jc w:val="both"/>
            </w:pPr>
            <w:r w:rsidRPr="00DE4EE1">
              <w:lastRenderedPageBreak/>
              <w:t>Publicado con formatos reutilizables</w:t>
            </w:r>
          </w:p>
        </w:tc>
        <w:tc>
          <w:tcPr>
            <w:tcW w:w="2832" w:type="dxa"/>
          </w:tcPr>
          <w:p w:rsidR="003D483C" w:rsidRDefault="00FA7510" w:rsidP="003D483C">
            <w:pPr>
              <w:jc w:val="both"/>
            </w:pPr>
            <w:r>
              <w:t xml:space="preserve">Web </w:t>
            </w:r>
            <w:hyperlink r:id="rId29" w:history="1">
              <w:r w:rsidRPr="00FA7510">
                <w:rPr>
                  <w:rStyle w:val="Hipervnculo"/>
                </w:rPr>
                <w:t>CUD-AGM</w:t>
              </w:r>
            </w:hyperlink>
          </w:p>
        </w:tc>
      </w:tr>
    </w:tbl>
    <w:p w:rsidR="0077581D" w:rsidRDefault="0077581D" w:rsidP="00D96AF5">
      <w:pPr>
        <w:jc w:val="both"/>
      </w:pPr>
    </w:p>
    <w:tbl>
      <w:tblPr>
        <w:tblStyle w:val="Tablaconcuadrcula"/>
        <w:tblW w:w="0" w:type="auto"/>
        <w:tblLook w:val="04A0" w:firstRow="1" w:lastRow="0" w:firstColumn="1" w:lastColumn="0" w:noHBand="0" w:noVBand="1"/>
      </w:tblPr>
      <w:tblGrid>
        <w:gridCol w:w="2831"/>
        <w:gridCol w:w="2831"/>
        <w:gridCol w:w="2832"/>
      </w:tblGrid>
      <w:tr w:rsidR="0069257E" w:rsidTr="00747610">
        <w:tc>
          <w:tcPr>
            <w:tcW w:w="8494" w:type="dxa"/>
            <w:gridSpan w:val="3"/>
          </w:tcPr>
          <w:p w:rsidR="0069257E" w:rsidRDefault="0069257E" w:rsidP="00D96AF5">
            <w:pPr>
              <w:jc w:val="both"/>
            </w:pPr>
            <w:r>
              <w:rPr>
                <w:rFonts w:ascii="Century Gothic" w:hAnsi="Century Gothic"/>
                <w:b/>
                <w:color w:val="00642D"/>
                <w:sz w:val="20"/>
              </w:rPr>
              <w:t>Conclusiones y Recomendaciones: localización y estructuración de la información</w:t>
            </w:r>
          </w:p>
        </w:tc>
      </w:tr>
      <w:tr w:rsidR="0069257E" w:rsidTr="0069257E">
        <w:tc>
          <w:tcPr>
            <w:tcW w:w="2831" w:type="dxa"/>
          </w:tcPr>
          <w:p w:rsidR="0069257E" w:rsidRDefault="0069257E" w:rsidP="00D96AF5">
            <w:pPr>
              <w:jc w:val="both"/>
            </w:pPr>
            <w:r>
              <w:t>La información debería estructurarse conforme al patrón que establece la LTAIBG</w:t>
            </w:r>
          </w:p>
          <w:p w:rsidR="0069257E" w:rsidRDefault="0069257E" w:rsidP="00D96AF5">
            <w:pPr>
              <w:jc w:val="both"/>
            </w:pPr>
            <w:r>
              <w:t>Información institucional, organizativa, de planificación, RATT, Información de relevancia Jurídica, Información económica, presupuestaria y estadística e información patrimonial</w:t>
            </w:r>
          </w:p>
        </w:tc>
        <w:tc>
          <w:tcPr>
            <w:tcW w:w="2831" w:type="dxa"/>
          </w:tcPr>
          <w:p w:rsidR="0069257E" w:rsidRDefault="0069257E" w:rsidP="0069257E">
            <w:pPr>
              <w:jc w:val="both"/>
            </w:pPr>
            <w:r>
              <w:t>Se ha modificado el diseño de la pestaña “Transparencia” conforme al patrón establecido por la LTAIBG</w:t>
            </w:r>
          </w:p>
          <w:p w:rsidR="0069257E" w:rsidRDefault="0069257E" w:rsidP="00D96AF5">
            <w:pPr>
              <w:jc w:val="both"/>
            </w:pPr>
          </w:p>
        </w:tc>
        <w:tc>
          <w:tcPr>
            <w:tcW w:w="2832" w:type="dxa"/>
          </w:tcPr>
          <w:p w:rsidR="0069257E" w:rsidRDefault="0069257E" w:rsidP="00D96AF5">
            <w:pPr>
              <w:jc w:val="both"/>
            </w:pPr>
          </w:p>
        </w:tc>
      </w:tr>
    </w:tbl>
    <w:p w:rsidR="00D96AF5" w:rsidRPr="00D1419A" w:rsidRDefault="00D96AF5" w:rsidP="00D96AF5">
      <w:pPr>
        <w:jc w:val="both"/>
      </w:pPr>
    </w:p>
    <w:sectPr w:rsidR="00D96AF5" w:rsidRPr="00D1419A">
      <w:headerReference w:type="default" r:id="rId3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273" w:rsidRDefault="00A75273" w:rsidP="0061531F">
      <w:pPr>
        <w:spacing w:after="0" w:line="240" w:lineRule="auto"/>
      </w:pPr>
      <w:r>
        <w:separator/>
      </w:r>
    </w:p>
  </w:endnote>
  <w:endnote w:type="continuationSeparator" w:id="0">
    <w:p w:rsidR="00A75273" w:rsidRDefault="00A75273" w:rsidP="00615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273" w:rsidRDefault="00A75273" w:rsidP="0061531F">
      <w:pPr>
        <w:spacing w:after="0" w:line="240" w:lineRule="auto"/>
      </w:pPr>
      <w:r>
        <w:separator/>
      </w:r>
    </w:p>
  </w:footnote>
  <w:footnote w:type="continuationSeparator" w:id="0">
    <w:p w:rsidR="00A75273" w:rsidRDefault="00A75273" w:rsidP="00615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31F" w:rsidRDefault="0061531F">
    <w:pPr>
      <w:pStyle w:val="Encabezado"/>
    </w:pPr>
    <w:r>
      <w:rPr>
        <w:noProof/>
        <w:color w:val="000000"/>
        <w:lang w:eastAsia="es-ES"/>
      </w:rPr>
      <w:drawing>
        <wp:anchor distT="0" distB="0" distL="114300" distR="114300" simplePos="0" relativeHeight="251659264" behindDoc="0" locked="0" layoutInCell="1" allowOverlap="1" wp14:anchorId="13723CA6" wp14:editId="208D736A">
          <wp:simplePos x="0" y="0"/>
          <wp:positionH relativeFrom="margin">
            <wp:posOffset>-209550</wp:posOffset>
          </wp:positionH>
          <wp:positionV relativeFrom="page">
            <wp:posOffset>306070</wp:posOffset>
          </wp:positionV>
          <wp:extent cx="1797685" cy="417195"/>
          <wp:effectExtent l="0" t="0" r="0" b="1905"/>
          <wp:wrapSquare wrapText="bothSides"/>
          <wp:docPr id="3"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97685" cy="4171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35pt;height:9.35pt" o:bullet="t">
        <v:imagedata r:id="rId1" o:title="BD14533_"/>
      </v:shape>
    </w:pict>
  </w:numPicBullet>
  <w:numPicBullet w:numPicBulletId="1">
    <w:pict>
      <v:shape id="_x0000_i1028" type="#_x0000_t75" style="width:11.2pt;height:11.2pt" o:bullet="t">
        <v:imagedata r:id="rId2" o:title="BD14654_"/>
      </v:shape>
    </w:pict>
  </w:numPicBullet>
  <w:abstractNum w:abstractNumId="0" w15:restartNumberingAfterBreak="0">
    <w:nsid w:val="042E16B1"/>
    <w:multiLevelType w:val="hybridMultilevel"/>
    <w:tmpl w:val="70E0A81E"/>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 w15:restartNumberingAfterBreak="0">
    <w:nsid w:val="17281D64"/>
    <w:multiLevelType w:val="hybridMultilevel"/>
    <w:tmpl w:val="6248EEA2"/>
    <w:lvl w:ilvl="0" w:tplc="B7C2270E">
      <w:start w:val="1"/>
      <w:numFmt w:val="bullet"/>
      <w:lvlText w:val=""/>
      <w:lvlPicBulletId w:val="0"/>
      <w:lvlJc w:val="left"/>
      <w:pPr>
        <w:ind w:left="785"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1992668"/>
    <w:multiLevelType w:val="hybridMultilevel"/>
    <w:tmpl w:val="5FB8A6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50F7CE3"/>
    <w:multiLevelType w:val="hybridMultilevel"/>
    <w:tmpl w:val="B770F4EE"/>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A855DC9"/>
    <w:multiLevelType w:val="hybridMultilevel"/>
    <w:tmpl w:val="638EBD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37475D7"/>
    <w:multiLevelType w:val="hybridMultilevel"/>
    <w:tmpl w:val="099E7166"/>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7272A7D"/>
    <w:multiLevelType w:val="hybridMultilevel"/>
    <w:tmpl w:val="667E8FB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6A211A2"/>
    <w:multiLevelType w:val="hybridMultilevel"/>
    <w:tmpl w:val="448E50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8EA7932"/>
    <w:multiLevelType w:val="hybridMultilevel"/>
    <w:tmpl w:val="973EA9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C84322C"/>
    <w:multiLevelType w:val="hybridMultilevel"/>
    <w:tmpl w:val="DC86A7D8"/>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num w:numId="1">
    <w:abstractNumId w:val="2"/>
  </w:num>
  <w:num w:numId="2">
    <w:abstractNumId w:val="11"/>
  </w:num>
  <w:num w:numId="3">
    <w:abstractNumId w:val="7"/>
  </w:num>
  <w:num w:numId="4">
    <w:abstractNumId w:val="1"/>
  </w:num>
  <w:num w:numId="5">
    <w:abstractNumId w:val="6"/>
  </w:num>
  <w:num w:numId="6">
    <w:abstractNumId w:val="8"/>
  </w:num>
  <w:num w:numId="7">
    <w:abstractNumId w:val="0"/>
  </w:num>
  <w:num w:numId="8">
    <w:abstractNumId w:val="5"/>
  </w:num>
  <w:num w:numId="9">
    <w:abstractNumId w:val="3"/>
  </w:num>
  <w:num w:numId="10">
    <w:abstractNumId w:val="4"/>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31F"/>
    <w:rsid w:val="000A0501"/>
    <w:rsid w:val="000C50D1"/>
    <w:rsid w:val="00101121"/>
    <w:rsid w:val="001C19E5"/>
    <w:rsid w:val="00251927"/>
    <w:rsid w:val="00292345"/>
    <w:rsid w:val="002D2CA5"/>
    <w:rsid w:val="00305546"/>
    <w:rsid w:val="00347320"/>
    <w:rsid w:val="003D483C"/>
    <w:rsid w:val="00484633"/>
    <w:rsid w:val="0061531F"/>
    <w:rsid w:val="00653F30"/>
    <w:rsid w:val="0069257E"/>
    <w:rsid w:val="0072323A"/>
    <w:rsid w:val="0077581D"/>
    <w:rsid w:val="00807585"/>
    <w:rsid w:val="00835607"/>
    <w:rsid w:val="0086677D"/>
    <w:rsid w:val="008C12B9"/>
    <w:rsid w:val="00927D68"/>
    <w:rsid w:val="0099314A"/>
    <w:rsid w:val="009C3C44"/>
    <w:rsid w:val="009D1168"/>
    <w:rsid w:val="009E1307"/>
    <w:rsid w:val="00A75273"/>
    <w:rsid w:val="00C10595"/>
    <w:rsid w:val="00CB56A6"/>
    <w:rsid w:val="00CE3601"/>
    <w:rsid w:val="00D1419A"/>
    <w:rsid w:val="00D24D39"/>
    <w:rsid w:val="00D96AF5"/>
    <w:rsid w:val="00DE4EE1"/>
    <w:rsid w:val="00E56E2A"/>
    <w:rsid w:val="00EC72E4"/>
    <w:rsid w:val="00F70416"/>
    <w:rsid w:val="00F90E4F"/>
    <w:rsid w:val="00FA7510"/>
    <w:rsid w:val="00FD7F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B4BEDFD0-465F-401C-98F1-0860B10CA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14A"/>
  </w:style>
  <w:style w:type="paragraph" w:styleId="Ttulo2">
    <w:name w:val="heading 2"/>
    <w:basedOn w:val="Normal"/>
    <w:next w:val="Normal"/>
    <w:link w:val="Ttulo2Car"/>
    <w:uiPriority w:val="9"/>
    <w:unhideWhenUsed/>
    <w:qFormat/>
    <w:rsid w:val="0086677D"/>
    <w:pPr>
      <w:keepNext/>
      <w:keepLines/>
      <w:spacing w:before="200" w:after="0" w:line="240" w:lineRule="auto"/>
      <w:outlineLvl w:val="1"/>
    </w:pPr>
    <w:rPr>
      <w:rFonts w:ascii="Century Gothic" w:eastAsiaTheme="majorEastAsia" w:hAnsi="Century Gothic" w:cstheme="majorBidi"/>
      <w:b/>
      <w:bCs/>
      <w:color w:val="50866C"/>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53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1531F"/>
  </w:style>
  <w:style w:type="paragraph" w:styleId="Piedepgina">
    <w:name w:val="footer"/>
    <w:basedOn w:val="Normal"/>
    <w:link w:val="PiedepginaCar"/>
    <w:uiPriority w:val="99"/>
    <w:unhideWhenUsed/>
    <w:rsid w:val="0061531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1531F"/>
  </w:style>
  <w:style w:type="paragraph" w:styleId="Prrafodelista">
    <w:name w:val="List Paragraph"/>
    <w:basedOn w:val="Normal"/>
    <w:uiPriority w:val="34"/>
    <w:qFormat/>
    <w:rsid w:val="00927D68"/>
    <w:pPr>
      <w:ind w:left="720"/>
      <w:contextualSpacing/>
    </w:pPr>
  </w:style>
  <w:style w:type="character" w:styleId="Hipervnculo">
    <w:name w:val="Hyperlink"/>
    <w:basedOn w:val="Fuentedeprrafopredeter"/>
    <w:uiPriority w:val="99"/>
    <w:unhideWhenUsed/>
    <w:rsid w:val="00927D68"/>
    <w:rPr>
      <w:color w:val="0563C1" w:themeColor="hyperlink"/>
      <w:u w:val="single"/>
    </w:rPr>
  </w:style>
  <w:style w:type="table" w:styleId="Tablaconcuadrcula">
    <w:name w:val="Table Grid"/>
    <w:basedOn w:val="Tablanormal"/>
    <w:uiPriority w:val="59"/>
    <w:rsid w:val="00251927"/>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uerpodelboletn">
    <w:name w:val="Cuerpo del boletín"/>
    <w:basedOn w:val="Normal"/>
    <w:qFormat/>
    <w:rsid w:val="00251927"/>
    <w:pPr>
      <w:spacing w:after="200" w:line="240" w:lineRule="auto"/>
      <w:jc w:val="both"/>
    </w:pPr>
    <w:rPr>
      <w:rFonts w:ascii="Century Gothic" w:eastAsiaTheme="minorEastAsia" w:hAnsi="Century Gothic"/>
      <w:color w:val="000000"/>
      <w:szCs w:val="24"/>
      <w:lang w:eastAsia="es-ES"/>
    </w:rPr>
  </w:style>
  <w:style w:type="character" w:customStyle="1" w:styleId="Ttulo2Car">
    <w:name w:val="Título 2 Car"/>
    <w:basedOn w:val="Fuentedeprrafopredeter"/>
    <w:link w:val="Ttulo2"/>
    <w:uiPriority w:val="9"/>
    <w:rsid w:val="0086677D"/>
    <w:rPr>
      <w:rFonts w:ascii="Century Gothic" w:eastAsiaTheme="majorEastAsia" w:hAnsi="Century Gothic" w:cstheme="majorBidi"/>
      <w:b/>
      <w:bCs/>
      <w:color w:val="50866C"/>
      <w:sz w:val="26"/>
      <w:szCs w:val="26"/>
      <w:lang w:eastAsia="es-ES"/>
    </w:rPr>
  </w:style>
  <w:style w:type="character" w:styleId="Hipervnculovisitado">
    <w:name w:val="FollowedHyperlink"/>
    <w:basedOn w:val="Fuentedeprrafopredeter"/>
    <w:uiPriority w:val="99"/>
    <w:semiHidden/>
    <w:unhideWhenUsed/>
    <w:rsid w:val="003055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67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d-agm.es/" TargetMode="External"/><Relationship Id="rId13" Type="http://schemas.openxmlformats.org/officeDocument/2006/relationships/hyperlink" Target="https://cud-agm.es/transparencia/informacion-economica/informacion-economica" TargetMode="External"/><Relationship Id="rId18" Type="http://schemas.openxmlformats.org/officeDocument/2006/relationships/hyperlink" Target="https://cud-agm.es/transparencia/informacion-economica/informacion-economica" TargetMode="External"/><Relationship Id="rId26" Type="http://schemas.openxmlformats.org/officeDocument/2006/relationships/hyperlink" Target="https://cud-agm.es/calidad/calidad-de-las-titulaciones/grado-en-ingenieria-de-la-organizacion-industrial" TargetMode="External"/><Relationship Id="rId3" Type="http://schemas.openxmlformats.org/officeDocument/2006/relationships/settings" Target="settings.xml"/><Relationship Id="rId21" Type="http://schemas.openxmlformats.org/officeDocument/2006/relationships/hyperlink" Target="https://intranet.cud-agm.es/paginas/transparencia/informacion-economica/informacion-economica" TargetMode="External"/><Relationship Id="rId7" Type="http://schemas.openxmlformats.org/officeDocument/2006/relationships/hyperlink" Target="https://cud-agm.es/" TargetMode="External"/><Relationship Id="rId12" Type="http://schemas.openxmlformats.org/officeDocument/2006/relationships/hyperlink" Target="https://cud-agm.es/transparencia/informacion-economica/informacion-economica" TargetMode="External"/><Relationship Id="rId17" Type="http://schemas.openxmlformats.org/officeDocument/2006/relationships/hyperlink" Target="https://intranet.cud-agm.es/paginas/transparencia/informacion-economica/informacion-economica" TargetMode="External"/><Relationship Id="rId25" Type="http://schemas.openxmlformats.org/officeDocument/2006/relationships/hyperlink" Target="https://intranet.cud-agm.es/paginas/transparencia/informacion-economica/informacion-economica" TargetMode="External"/><Relationship Id="rId2" Type="http://schemas.openxmlformats.org/officeDocument/2006/relationships/styles" Target="styles.xml"/><Relationship Id="rId16" Type="http://schemas.openxmlformats.org/officeDocument/2006/relationships/hyperlink" Target="https://intranet.cud-agm.es/paginas/transparencia/informacion-economica/informacion-economica" TargetMode="External"/><Relationship Id="rId20" Type="http://schemas.openxmlformats.org/officeDocument/2006/relationships/hyperlink" Target="https://cud-agm.es/transparencia/informacion-economica/informacion-economica" TargetMode="External"/><Relationship Id="rId29" Type="http://schemas.openxmlformats.org/officeDocument/2006/relationships/hyperlink" Target="https://cud-agm.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ud-agm.es/transparencia/plan-estrategica-y-rsc/indicadores-de-medida-y-valoracion" TargetMode="External"/><Relationship Id="rId24" Type="http://schemas.openxmlformats.org/officeDocument/2006/relationships/hyperlink" Target="https://cud-agm.es/transparencia/informacion-economica/informacion-economica"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ud-agm.es/transparencia/informacion-economica/informacion-economica" TargetMode="External"/><Relationship Id="rId23" Type="http://schemas.openxmlformats.org/officeDocument/2006/relationships/hyperlink" Target="https://intranet.cud-agm.es/paginas/transparencia/informacion-economica/informacion-economica" TargetMode="External"/><Relationship Id="rId28" Type="http://schemas.openxmlformats.org/officeDocument/2006/relationships/hyperlink" Target="https://cud-agm.es/" TargetMode="External"/><Relationship Id="rId10" Type="http://schemas.openxmlformats.org/officeDocument/2006/relationships/hyperlink" Target="https://cud-agm.es/transparencia/organizacion/estructura-organizativa" TargetMode="External"/><Relationship Id="rId19" Type="http://schemas.openxmlformats.org/officeDocument/2006/relationships/hyperlink" Target="https://cud-agm.es/transparencia/informacion-economica/informacion-economica"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ud-agm.es/registro-de-actividades-de-tratamiento" TargetMode="External"/><Relationship Id="rId14" Type="http://schemas.openxmlformats.org/officeDocument/2006/relationships/hyperlink" Target="https://cud-agm.es/transparencia/informacion-economica/informacion-economica" TargetMode="External"/><Relationship Id="rId22" Type="http://schemas.openxmlformats.org/officeDocument/2006/relationships/hyperlink" Target="https://intranet.cud-agm.es/paginas/transparencia/informacion-economica/informacion-economica" TargetMode="External"/><Relationship Id="rId27" Type="http://schemas.openxmlformats.org/officeDocument/2006/relationships/hyperlink" Target="https://cud-agm.es/calidad/calidad-de-las-titulaciones/master-universitario-en-direccion-y-gestion-de-adquisiciones-de-sistemas"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1747</Words>
  <Characters>9614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Amaya Gil Albarova</dc:creator>
  <cp:keywords/>
  <dc:description/>
  <cp:lastModifiedBy>Luis Sorbed Valero</cp:lastModifiedBy>
  <cp:revision>2</cp:revision>
  <dcterms:created xsi:type="dcterms:W3CDTF">2023-06-09T07:11:00Z</dcterms:created>
  <dcterms:modified xsi:type="dcterms:W3CDTF">2023-06-09T07:11:00Z</dcterms:modified>
</cp:coreProperties>
</file>