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100330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</w:sdtPr>
                            <w:sdtEndPr/>
                            <w:sdtContent>
                              <w:p w:rsidR="00690186" w:rsidRDefault="00690186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</w:p>
                              <w:p w:rsidR="00690186" w:rsidRPr="00006957" w:rsidRDefault="00690186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la gestión de las solicitudes de acceso a la información pública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7.9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</w:sdtPr>
                      <w:sdtContent>
                        <w:p w:rsidR="00690186" w:rsidRDefault="00690186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</w:p>
                        <w:p w:rsidR="00690186" w:rsidRPr="00006957" w:rsidRDefault="00690186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la gestión de las solicitudes de acceso a la información pública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90186" w:rsidRDefault="00690186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690186" w:rsidRDefault="00690186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531D64" w:rsidRPr="00CB5511" w:rsidRDefault="00544004" w:rsidP="00261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Autoridad Portuaria de Valencia (APV)</w:t>
            </w:r>
          </w:p>
        </w:tc>
      </w:tr>
      <w:tr w:rsidR="00531D64" w:rsidRPr="00CB5511" w:rsidTr="00AC715D">
        <w:tc>
          <w:tcPr>
            <w:tcW w:w="3652" w:type="dxa"/>
          </w:tcPr>
          <w:p w:rsidR="00531D64" w:rsidRPr="00E34195" w:rsidRDefault="00531D64" w:rsidP="00AC715D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531D64" w:rsidRPr="00CB5511" w:rsidRDefault="00544004" w:rsidP="00FB4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28/06</w:t>
            </w:r>
            <w:r w:rsidR="00FB4CB5">
              <w:rPr>
                <w:sz w:val="24"/>
                <w:szCs w:val="24"/>
              </w:rPr>
              <w:t>/2023</w:t>
            </w:r>
          </w:p>
        </w:tc>
      </w:tr>
    </w:tbl>
    <w:p w:rsidR="00BA266E" w:rsidRDefault="00BA266E"/>
    <w:p w:rsidR="00561402" w:rsidRPr="0012783F" w:rsidRDefault="00A43A6B">
      <w:pPr>
        <w:rPr>
          <w:b/>
        </w:rPr>
      </w:pPr>
      <w:sdt>
        <w:sdtPr>
          <w:rPr>
            <w:b/>
            <w:color w:val="00642D"/>
            <w:sz w:val="30"/>
            <w:szCs w:val="30"/>
          </w:rPr>
          <w:id w:val="1794640301"/>
          <w:placeholder>
            <w:docPart w:val="8F4720550BB74C508F8088AA887A2061"/>
          </w:placeholder>
        </w:sdtPr>
        <w:sdtEndPr>
          <w:rPr>
            <w:sz w:val="22"/>
            <w:szCs w:val="22"/>
          </w:rPr>
        </w:sdtEndPr>
        <w:sdtContent>
          <w:r w:rsidR="0012783F" w:rsidRPr="0012783F">
            <w:rPr>
              <w:b/>
              <w:color w:val="00642D"/>
              <w:sz w:val="30"/>
              <w:szCs w:val="30"/>
            </w:rPr>
            <w:t xml:space="preserve">I. </w:t>
          </w:r>
          <w:r w:rsidR="0012783F">
            <w:rPr>
              <w:b/>
              <w:color w:val="00642D"/>
              <w:sz w:val="30"/>
              <w:szCs w:val="30"/>
            </w:rPr>
            <w:t xml:space="preserve">Recursos disponibles para la tramitación de las solicitudes de acceso a información pública </w:t>
          </w:r>
        </w:sdtContent>
      </w:sdt>
    </w:p>
    <w:p w:rsid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12783F" w:rsidRDefault="00544004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>La APV no ha enviado información sobre la actividad generada por las solicitudes de acceso a información pública en 2022.</w:t>
      </w:r>
    </w:p>
    <w:p w:rsidR="00BA266E" w:rsidRPr="00BA266E" w:rsidRDefault="00BA266E" w:rsidP="0012783F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</w:p>
    <w:p w:rsidR="00B812AB" w:rsidRPr="0012783F" w:rsidRDefault="00A43A6B" w:rsidP="001E1C29">
      <w:pPr>
        <w:jc w:val="both"/>
        <w:rPr>
          <w:b/>
        </w:rPr>
      </w:pPr>
      <w:sdt>
        <w:sdtPr>
          <w:rPr>
            <w:rFonts w:eastAsiaTheme="majorEastAsia" w:cstheme="majorBidi"/>
            <w:b/>
            <w:bCs/>
            <w:color w:val="00642D"/>
            <w:sz w:val="30"/>
            <w:szCs w:val="30"/>
          </w:rPr>
          <w:id w:val="1704284111"/>
          <w:placeholder>
            <w:docPart w:val="A62AE5DAEDBD4B3592F8881F087FFB16"/>
          </w:placeholder>
        </w:sdtPr>
        <w:sdtEndPr>
          <w:rPr>
            <w:sz w:val="22"/>
            <w:szCs w:val="22"/>
          </w:rPr>
        </w:sdtEndPr>
        <w:sdtContent>
          <w:r w:rsidR="00B812AB" w:rsidRPr="0012783F">
            <w:rPr>
              <w:b/>
              <w:color w:val="00642D"/>
              <w:sz w:val="30"/>
              <w:szCs w:val="30"/>
            </w:rPr>
            <w:t>I</w:t>
          </w:r>
          <w:r w:rsidR="00B812AB">
            <w:rPr>
              <w:b/>
              <w:color w:val="00642D"/>
              <w:sz w:val="30"/>
              <w:szCs w:val="30"/>
            </w:rPr>
            <w:t>I</w:t>
          </w:r>
          <w:r w:rsidR="00B812AB" w:rsidRPr="0012783F">
            <w:rPr>
              <w:b/>
              <w:color w:val="00642D"/>
              <w:sz w:val="30"/>
              <w:szCs w:val="30"/>
            </w:rPr>
            <w:t xml:space="preserve">. </w:t>
          </w:r>
          <w:r w:rsidR="00B812AB">
            <w:rPr>
              <w:b/>
              <w:color w:val="00642D"/>
              <w:sz w:val="30"/>
              <w:szCs w:val="30"/>
            </w:rPr>
            <w:t>Actividad generada en 20</w:t>
          </w:r>
          <w:r w:rsidR="0001691A">
            <w:rPr>
              <w:b/>
              <w:color w:val="00642D"/>
              <w:sz w:val="30"/>
              <w:szCs w:val="30"/>
            </w:rPr>
            <w:t>22</w:t>
          </w:r>
          <w:r w:rsidR="00B812AB">
            <w:rPr>
              <w:b/>
              <w:color w:val="00642D"/>
              <w:sz w:val="30"/>
              <w:szCs w:val="30"/>
            </w:rPr>
            <w:t xml:space="preserve"> por las solicitudes de acceso a información pública</w:t>
          </w:r>
          <w:r w:rsidR="00531D64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544004" w:rsidRDefault="00544004" w:rsidP="00544004">
      <w:pPr>
        <w:pStyle w:val="Cuerpodelboletn"/>
        <w:spacing w:before="120" w:after="120" w:line="312" w:lineRule="auto"/>
        <w:ind w:left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>La APV no ha enviado información sobre la actividad generada por las solicitudes de acceso a información pública en 2022.</w:t>
      </w:r>
    </w:p>
    <w:p w:rsidR="00BA266E" w:rsidRDefault="00FA5A3E" w:rsidP="00F7263F">
      <w:pPr>
        <w:pStyle w:val="Cuerpodelboletn"/>
        <w:spacing w:before="120" w:after="120" w:line="312" w:lineRule="auto"/>
        <w:ind w:left="360"/>
      </w:pPr>
      <w:r w:rsidRPr="00FA5A3E">
        <w:t>No se ha localizado en el Portal de Transparencia de la APV</w:t>
      </w:r>
      <w:r>
        <w:t>,</w:t>
      </w:r>
      <w:r w:rsidRPr="00FA5A3E">
        <w:t xml:space="preserve"> información sobre las resoluciones</w:t>
      </w:r>
      <w:r>
        <w:rPr>
          <w:rStyle w:val="Ttulo2Car"/>
          <w:color w:val="00642D"/>
          <w:lang w:bidi="es-ES"/>
        </w:rPr>
        <w:t xml:space="preserve"> </w:t>
      </w:r>
      <w:r w:rsidRPr="00FA5A3E">
        <w:t xml:space="preserve">denegadas por aplicación de los límites del artículo 14 de la LTAIBG. </w:t>
      </w:r>
    </w:p>
    <w:p w:rsidR="00FA5A3E" w:rsidRPr="00FA5A3E" w:rsidRDefault="00FA5A3E" w:rsidP="00F7263F">
      <w:pPr>
        <w:pStyle w:val="Cuerpodelboletn"/>
        <w:spacing w:before="120" w:after="120" w:line="312" w:lineRule="auto"/>
        <w:ind w:left="360"/>
      </w:pPr>
    </w:p>
    <w:p w:rsidR="00B812AB" w:rsidRPr="00E34195" w:rsidRDefault="00A43A6B" w:rsidP="00B812AB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eastAsiaTheme="majorEastAsia" w:hAnsi="Century Gothic" w:cstheme="majorBidi"/>
            <w:b w:val="0"/>
            <w:bCs/>
            <w:color w:val="00642D"/>
            <w:sz w:val="30"/>
            <w:szCs w:val="30"/>
          </w:rPr>
          <w:id w:val="207845719"/>
          <w:placeholder>
            <w:docPart w:val="D0093F7CCA03424CB7F48332D2DADFBC"/>
          </w:placeholder>
        </w:sdtPr>
        <w:sdtEndPr>
          <w:rPr>
            <w:sz w:val="32"/>
            <w:szCs w:val="24"/>
          </w:rPr>
        </w:sdtEndPr>
        <w:sdtContent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B812AB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Localización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de la información y facilidad de acceso al</w:t>
          </w:r>
          <w:r w:rsidR="00531D64">
            <w:rPr>
              <w:rFonts w:ascii="Century Gothic" w:hAnsi="Century Gothic"/>
              <w:color w:val="00642D"/>
              <w:sz w:val="30"/>
              <w:szCs w:val="30"/>
            </w:rPr>
            <w:t xml:space="preserve"> </w:t>
          </w:r>
          <w:r w:rsidR="00055B15">
            <w:rPr>
              <w:rFonts w:ascii="Century Gothic" w:hAnsi="Century Gothic"/>
              <w:color w:val="00642D"/>
              <w:sz w:val="30"/>
              <w:szCs w:val="30"/>
            </w:rPr>
            <w:t>ejercicio del derecho de acceso</w:t>
          </w:r>
        </w:sdtContent>
      </w:sdt>
    </w:p>
    <w:p w:rsidR="00A351F7" w:rsidRDefault="00FA5A3E" w:rsidP="0041164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>La APV</w:t>
      </w:r>
      <w:r w:rsidR="00B378E2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>cuenta</w:t>
      </w:r>
      <w:r w:rsidR="00411640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  <w:r w:rsidR="00411640" w:rsidRPr="00411640">
        <w:rPr>
          <w:rStyle w:val="Ttulo2Car"/>
          <w:b w:val="0"/>
          <w:color w:val="auto"/>
          <w:sz w:val="22"/>
          <w:szCs w:val="22"/>
          <w:lang w:bidi="es-ES"/>
        </w:rPr>
        <w:t xml:space="preserve">con un apartado específico </w:t>
      </w:r>
      <w:r w:rsidR="001D4699" w:rsidRPr="001D4699">
        <w:rPr>
          <w:rStyle w:val="Ttulo2Car"/>
          <w:b w:val="0"/>
          <w:color w:val="auto"/>
          <w:sz w:val="22"/>
          <w:szCs w:val="22"/>
          <w:lang w:bidi="es-ES"/>
        </w:rPr>
        <w:t xml:space="preserve">en su web institucional </w:t>
      </w:r>
      <w:r w:rsidR="008839AB">
        <w:rPr>
          <w:rStyle w:val="Ttulo2Car"/>
          <w:b w:val="0"/>
          <w:color w:val="auto"/>
          <w:sz w:val="22"/>
          <w:szCs w:val="22"/>
          <w:lang w:bidi="es-ES"/>
        </w:rPr>
        <w:t xml:space="preserve">para la presentación de las solicitudes de acceso a información pública de la entidad. </w:t>
      </w:r>
      <w:r w:rsidR="00A351F7">
        <w:rPr>
          <w:rStyle w:val="Ttulo2Car"/>
          <w:b w:val="0"/>
          <w:color w:val="auto"/>
          <w:sz w:val="22"/>
          <w:szCs w:val="22"/>
          <w:lang w:bidi="es-ES"/>
        </w:rPr>
        <w:t xml:space="preserve">En este apartado se informa de la posibilidad de solicitar información pública de la </w:t>
      </w:r>
      <w:r>
        <w:rPr>
          <w:rStyle w:val="Ttulo2Car"/>
          <w:b w:val="0"/>
          <w:color w:val="auto"/>
          <w:sz w:val="22"/>
          <w:szCs w:val="22"/>
          <w:lang w:bidi="es-ES"/>
        </w:rPr>
        <w:t>AP</w:t>
      </w:r>
      <w:r w:rsidR="00A351F7">
        <w:rPr>
          <w:rStyle w:val="Ttulo2Car"/>
          <w:b w:val="0"/>
          <w:color w:val="auto"/>
          <w:sz w:val="22"/>
          <w:szCs w:val="22"/>
          <w:lang w:bidi="es-ES"/>
        </w:rPr>
        <w:t xml:space="preserve"> al amparo de la LTAIBG. </w:t>
      </w:r>
    </w:p>
    <w:p w:rsidR="001D4699" w:rsidRDefault="001D4699" w:rsidP="0041164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Como canales para  la presentación de las solicitudes, se informa expresamente </w:t>
      </w:r>
      <w:r w:rsidR="00FA5A3E">
        <w:rPr>
          <w:rStyle w:val="Ttulo2Car"/>
          <w:b w:val="0"/>
          <w:color w:val="auto"/>
          <w:sz w:val="22"/>
          <w:szCs w:val="22"/>
          <w:lang w:bidi="es-ES"/>
        </w:rPr>
        <w:t>sobre la sede electrónica</w:t>
      </w:r>
      <w:r w:rsidR="00A351F7">
        <w:rPr>
          <w:rStyle w:val="Ttulo2Car"/>
          <w:b w:val="0"/>
          <w:color w:val="auto"/>
          <w:sz w:val="22"/>
          <w:szCs w:val="22"/>
          <w:lang w:bidi="es-ES"/>
        </w:rPr>
        <w:t>.</w:t>
      </w:r>
      <w:r w:rsidR="00FA5A3E">
        <w:rPr>
          <w:rStyle w:val="Ttulo2Car"/>
          <w:b w:val="0"/>
          <w:color w:val="auto"/>
          <w:sz w:val="22"/>
          <w:szCs w:val="22"/>
          <w:lang w:bidi="es-ES"/>
        </w:rPr>
        <w:t xml:space="preserve"> En la sede se añaden como formas de presentación el correo ordinario y la presentación presencial.</w:t>
      </w:r>
      <w:r w:rsidR="00A351F7">
        <w:rPr>
          <w:rStyle w:val="Ttulo2Car"/>
          <w:b w:val="0"/>
          <w:color w:val="auto"/>
          <w:sz w:val="22"/>
          <w:szCs w:val="22"/>
          <w:lang w:bidi="es-ES"/>
        </w:rPr>
        <w:t xml:space="preserve"> No obstante, también se indica que la presentación podrá efectuarse por cualquier</w:t>
      </w:r>
      <w:r w:rsidR="0080645C">
        <w:rPr>
          <w:rStyle w:val="Ttulo2Car"/>
          <w:b w:val="0"/>
          <w:color w:val="auto"/>
          <w:sz w:val="22"/>
          <w:szCs w:val="22"/>
          <w:lang w:bidi="es-ES"/>
        </w:rPr>
        <w:t xml:space="preserve">a de los canales previstos en la </w:t>
      </w:r>
      <w:r w:rsidR="00A43A6B">
        <w:rPr>
          <w:rStyle w:val="Ttulo2Car"/>
          <w:b w:val="0"/>
          <w:color w:val="auto"/>
          <w:sz w:val="22"/>
          <w:szCs w:val="22"/>
          <w:lang w:bidi="es-ES"/>
        </w:rPr>
        <w:t>Ley</w:t>
      </w:r>
      <w:r w:rsidR="0080645C">
        <w:rPr>
          <w:rStyle w:val="Ttulo2Car"/>
          <w:b w:val="0"/>
          <w:smallCaps/>
          <w:color w:val="auto"/>
          <w:sz w:val="22"/>
          <w:szCs w:val="22"/>
          <w:lang w:bidi="es-ES"/>
        </w:rPr>
        <w:t xml:space="preserve"> 39/2015.</w:t>
      </w:r>
      <w:r w:rsidR="00A351F7">
        <w:rPr>
          <w:rStyle w:val="Ttulo2Car"/>
          <w:b w:val="0"/>
          <w:color w:val="auto"/>
          <w:sz w:val="22"/>
          <w:szCs w:val="22"/>
          <w:lang w:bidi="es-ES"/>
        </w:rPr>
        <w:t xml:space="preserve"> </w:t>
      </w:r>
    </w:p>
    <w:p w:rsidR="00B378E2" w:rsidRDefault="00A351F7" w:rsidP="0041164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lastRenderedPageBreak/>
        <w:t xml:space="preserve">En cuanto a los requisitos para la presentación de solicitudes, </w:t>
      </w:r>
      <w:r w:rsidR="0080645C">
        <w:rPr>
          <w:rStyle w:val="Ttulo2Car"/>
          <w:b w:val="0"/>
          <w:color w:val="auto"/>
          <w:sz w:val="22"/>
          <w:szCs w:val="22"/>
          <w:lang w:bidi="es-ES"/>
        </w:rPr>
        <w:t xml:space="preserve">sólo se exige la identificación – sin aportar copia del DNI o NIE – y un medio de contacto, preferiblemente </w:t>
      </w:r>
      <w:r w:rsidR="00A43A6B">
        <w:rPr>
          <w:rStyle w:val="Ttulo2Car"/>
          <w:b w:val="0"/>
          <w:color w:val="auto"/>
          <w:sz w:val="22"/>
          <w:szCs w:val="22"/>
          <w:lang w:bidi="es-ES"/>
        </w:rPr>
        <w:t>electrónico</w:t>
      </w:r>
      <w:r>
        <w:rPr>
          <w:rStyle w:val="Ttulo2Car"/>
          <w:b w:val="0"/>
          <w:color w:val="auto"/>
          <w:sz w:val="22"/>
          <w:szCs w:val="22"/>
          <w:lang w:bidi="es-ES"/>
        </w:rPr>
        <w:t>.</w:t>
      </w:r>
    </w:p>
    <w:p w:rsidR="00FA5A3E" w:rsidRDefault="00FA5A3E" w:rsidP="00411640">
      <w:pPr>
        <w:ind w:left="426"/>
        <w:jc w:val="both"/>
        <w:rPr>
          <w:rStyle w:val="Ttulo2Car"/>
          <w:b w:val="0"/>
          <w:color w:val="auto"/>
          <w:sz w:val="22"/>
          <w:szCs w:val="22"/>
          <w:lang w:bidi="es-ES"/>
        </w:rPr>
      </w:pPr>
      <w:r>
        <w:rPr>
          <w:rStyle w:val="Ttulo2Car"/>
          <w:b w:val="0"/>
          <w:color w:val="auto"/>
          <w:sz w:val="22"/>
          <w:szCs w:val="22"/>
          <w:lang w:bidi="es-ES"/>
        </w:rPr>
        <w:t xml:space="preserve">Aunque existe un apartado Informes y estadísticas, el enlace abre una página que no contiene información. </w:t>
      </w:r>
    </w:p>
    <w:p w:rsidR="00B40246" w:rsidRPr="00E34195" w:rsidRDefault="00A43A6B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eastAsiaTheme="majorEastAsia" w:hAnsi="Century Gothic" w:cstheme="majorBidi"/>
            <w:b w:val="0"/>
            <w:bCs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>V</w:t>
          </w:r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 xml:space="preserve">. </w:t>
          </w:r>
          <w:r w:rsidR="00176A94">
            <w:rPr>
              <w:rFonts w:ascii="Century Gothic" w:hAnsi="Century Gothic"/>
              <w:color w:val="00642D"/>
              <w:sz w:val="30"/>
              <w:szCs w:val="30"/>
            </w:rPr>
            <w:t xml:space="preserve">Gestión de las solicitudes de acceso </w:t>
          </w:r>
        </w:sdtContent>
      </w:sdt>
    </w:p>
    <w:p w:rsidR="00046805" w:rsidRDefault="00E3088D" w:rsidP="00046805">
      <w:pPr>
        <w:pStyle w:val="Cuerpodelboletn"/>
        <w:spacing w:before="120" w:after="120" w:line="312" w:lineRule="auto"/>
        <w:ind w:left="360"/>
        <w:rPr>
          <w:color w:val="00642D"/>
          <w:lang w:bidi="es-ES"/>
        </w:rPr>
      </w:pPr>
      <w:r w:rsidRPr="00C33A23">
        <w:rPr>
          <w:color w:val="00642D"/>
          <w:lang w:bidi="es-ES"/>
        </w:rPr>
        <w:t xml:space="preserve"> </w:t>
      </w:r>
    </w:p>
    <w:p w:rsidR="00F34803" w:rsidRDefault="00F34803" w:rsidP="00046805">
      <w:pPr>
        <w:pStyle w:val="Cuerpodelboletn"/>
        <w:spacing w:before="120" w:after="120" w:line="312" w:lineRule="auto"/>
        <w:ind w:left="360"/>
        <w:rPr>
          <w:color w:val="auto"/>
          <w:lang w:bidi="es-ES"/>
        </w:rPr>
      </w:pPr>
      <w:r w:rsidRPr="001276B2">
        <w:rPr>
          <w:rStyle w:val="Ttulo2Car"/>
          <w:sz w:val="22"/>
          <w:szCs w:val="22"/>
        </w:rPr>
        <w:t>Inicio del procedimiento</w:t>
      </w:r>
      <w:r>
        <w:rPr>
          <w:color w:val="auto"/>
          <w:lang w:bidi="es-ES"/>
        </w:rPr>
        <w:t xml:space="preserve">. </w:t>
      </w:r>
    </w:p>
    <w:p w:rsidR="001E1C29" w:rsidRDefault="00F34803" w:rsidP="00A915A2">
      <w:pPr>
        <w:pStyle w:val="Cuerpodelboletn"/>
        <w:spacing w:before="120" w:after="120" w:line="276" w:lineRule="auto"/>
        <w:ind w:left="426"/>
        <w:rPr>
          <w:rStyle w:val="Ttulo2Car"/>
          <w:sz w:val="22"/>
          <w:szCs w:val="22"/>
        </w:rPr>
      </w:pPr>
      <w:r w:rsidRPr="005C4D89">
        <w:rPr>
          <w:color w:val="auto"/>
          <w:lang w:bidi="es-ES"/>
        </w:rPr>
        <w:t xml:space="preserve">Con fecha </w:t>
      </w:r>
      <w:r w:rsidR="0080645C">
        <w:rPr>
          <w:color w:val="auto"/>
          <w:lang w:bidi="es-ES"/>
        </w:rPr>
        <w:t>24</w:t>
      </w:r>
      <w:r w:rsidR="00FC2FB9">
        <w:rPr>
          <w:color w:val="auto"/>
          <w:lang w:bidi="es-ES"/>
        </w:rPr>
        <w:t>/0</w:t>
      </w:r>
      <w:r w:rsidR="00E57E17">
        <w:rPr>
          <w:color w:val="auto"/>
          <w:lang w:bidi="es-ES"/>
        </w:rPr>
        <w:t>5</w:t>
      </w:r>
      <w:r w:rsidR="000B2A81">
        <w:rPr>
          <w:color w:val="auto"/>
          <w:lang w:bidi="es-ES"/>
        </w:rPr>
        <w:t>/</w:t>
      </w:r>
      <w:r>
        <w:rPr>
          <w:color w:val="auto"/>
          <w:lang w:bidi="es-ES"/>
        </w:rPr>
        <w:t>202</w:t>
      </w:r>
      <w:r w:rsidR="008839AB">
        <w:rPr>
          <w:color w:val="auto"/>
          <w:lang w:bidi="es-ES"/>
        </w:rPr>
        <w:t>3</w:t>
      </w:r>
      <w:r>
        <w:rPr>
          <w:color w:val="auto"/>
          <w:lang w:bidi="es-ES"/>
        </w:rPr>
        <w:t xml:space="preserve"> se presentó </w:t>
      </w:r>
      <w:r w:rsidR="00904E47">
        <w:rPr>
          <w:color w:val="auto"/>
          <w:lang w:bidi="es-ES"/>
        </w:rPr>
        <w:t xml:space="preserve">a través </w:t>
      </w:r>
      <w:r w:rsidR="0080645C">
        <w:rPr>
          <w:color w:val="auto"/>
          <w:lang w:bidi="es-ES"/>
        </w:rPr>
        <w:t>de la sede electrónica de la APV</w:t>
      </w:r>
      <w:r w:rsidR="00E57E17">
        <w:rPr>
          <w:color w:val="auto"/>
          <w:lang w:bidi="es-ES"/>
        </w:rPr>
        <w:t xml:space="preserve"> una solicitud de acceso a información pública de la entidad</w:t>
      </w:r>
      <w:r>
        <w:rPr>
          <w:color w:val="auto"/>
          <w:lang w:bidi="es-ES"/>
        </w:rPr>
        <w:t xml:space="preserve">. </w:t>
      </w:r>
      <w:r w:rsidR="00EE3509">
        <w:rPr>
          <w:color w:val="auto"/>
          <w:lang w:bidi="es-ES"/>
        </w:rPr>
        <w:t>En la misma fecha se emite un acuse de recibo.</w:t>
      </w: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Tramitación</w:t>
      </w:r>
    </w:p>
    <w:p w:rsidR="00AB4742" w:rsidRDefault="00E57E17" w:rsidP="00741849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 w:rsidRPr="00DE6A97">
        <w:rPr>
          <w:color w:val="auto"/>
          <w:lang w:bidi="es-ES"/>
        </w:rPr>
        <w:t>No</w:t>
      </w:r>
      <w:r w:rsidR="00B108F0" w:rsidRPr="00DE6A97">
        <w:rPr>
          <w:color w:val="auto"/>
          <w:lang w:bidi="es-ES"/>
        </w:rPr>
        <w:t xml:space="preserve"> se</w:t>
      </w:r>
      <w:r w:rsidR="00F34803" w:rsidRPr="00DE6A97">
        <w:rPr>
          <w:color w:val="auto"/>
          <w:lang w:bidi="es-ES"/>
        </w:rPr>
        <w:t xml:space="preserve"> </w:t>
      </w:r>
      <w:r w:rsidR="00904E47" w:rsidRPr="00DE6A97">
        <w:rPr>
          <w:color w:val="auto"/>
          <w:lang w:bidi="es-ES"/>
        </w:rPr>
        <w:t xml:space="preserve">comunica el </w:t>
      </w:r>
      <w:r w:rsidR="00F34803" w:rsidRPr="00DE6A97">
        <w:rPr>
          <w:color w:val="auto"/>
          <w:lang w:bidi="es-ES"/>
        </w:rPr>
        <w:t>inicio de la tramitación de la solicitud.</w:t>
      </w:r>
      <w:r w:rsidR="00F34803">
        <w:rPr>
          <w:color w:val="auto"/>
          <w:lang w:bidi="es-ES"/>
        </w:rPr>
        <w:t xml:space="preserve"> </w:t>
      </w:r>
    </w:p>
    <w:p w:rsidR="00AB4742" w:rsidRDefault="00AB4742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</w:p>
    <w:p w:rsidR="00F34803" w:rsidRDefault="00F34803" w:rsidP="00A915A2">
      <w:pPr>
        <w:pStyle w:val="Cuerpodelboletn"/>
        <w:spacing w:before="120" w:after="120" w:line="276" w:lineRule="auto"/>
        <w:ind w:left="426"/>
        <w:rPr>
          <w:color w:val="auto"/>
          <w:lang w:bidi="es-ES"/>
        </w:rPr>
      </w:pPr>
      <w:r>
        <w:rPr>
          <w:rStyle w:val="Ttulo2Car"/>
          <w:sz w:val="22"/>
          <w:szCs w:val="22"/>
        </w:rPr>
        <w:t>Resolución</w:t>
      </w:r>
    </w:p>
    <w:p w:rsidR="00904E47" w:rsidRPr="00DE6A97" w:rsidRDefault="00D41FBA" w:rsidP="00AC715D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 w:rsidRPr="00DE6A97">
        <w:rPr>
          <w:color w:val="auto"/>
          <w:lang w:bidi="es-ES"/>
        </w:rPr>
        <w:t>S</w:t>
      </w:r>
      <w:r w:rsidR="00AC715D" w:rsidRPr="00DE6A97">
        <w:rPr>
          <w:color w:val="auto"/>
          <w:lang w:bidi="es-ES"/>
        </w:rPr>
        <w:t>e</w:t>
      </w:r>
      <w:r w:rsidR="00626819" w:rsidRPr="00DE6A97">
        <w:rPr>
          <w:color w:val="auto"/>
          <w:lang w:bidi="es-ES"/>
        </w:rPr>
        <w:t xml:space="preserve"> dicta </w:t>
      </w:r>
      <w:r w:rsidR="00F34803" w:rsidRPr="00DE6A97">
        <w:rPr>
          <w:color w:val="auto"/>
          <w:lang w:bidi="es-ES"/>
        </w:rPr>
        <w:t>resolución expresa</w:t>
      </w:r>
      <w:r w:rsidR="00741849" w:rsidRPr="00DE6A97">
        <w:rPr>
          <w:color w:val="auto"/>
          <w:lang w:bidi="es-ES"/>
        </w:rPr>
        <w:t xml:space="preserve"> c</w:t>
      </w:r>
      <w:r w:rsidR="00AC715D" w:rsidRPr="00DE6A97">
        <w:rPr>
          <w:color w:val="auto"/>
          <w:lang w:bidi="es-ES"/>
        </w:rPr>
        <w:t xml:space="preserve">on fecha </w:t>
      </w:r>
      <w:r w:rsidR="00DE6A97" w:rsidRPr="00DE6A97">
        <w:rPr>
          <w:color w:val="auto"/>
          <w:lang w:bidi="es-ES"/>
        </w:rPr>
        <w:t>12/0</w:t>
      </w:r>
      <w:r w:rsidR="0080645C">
        <w:rPr>
          <w:color w:val="auto"/>
          <w:lang w:bidi="es-ES"/>
        </w:rPr>
        <w:t>6</w:t>
      </w:r>
      <w:r w:rsidR="00DE6A97" w:rsidRPr="00DE6A97">
        <w:rPr>
          <w:color w:val="auto"/>
          <w:lang w:bidi="es-ES"/>
        </w:rPr>
        <w:t>/2023</w:t>
      </w:r>
      <w:r w:rsidR="00904E47" w:rsidRPr="00DE6A97">
        <w:rPr>
          <w:color w:val="auto"/>
          <w:lang w:bidi="es-ES"/>
        </w:rPr>
        <w:t>.</w:t>
      </w:r>
      <w:r w:rsidR="00531D64" w:rsidRPr="00DE6A97">
        <w:rPr>
          <w:color w:val="auto"/>
          <w:lang w:bidi="es-ES"/>
        </w:rPr>
        <w:t xml:space="preserve"> </w:t>
      </w:r>
    </w:p>
    <w:p w:rsidR="004A133A" w:rsidRPr="00DE6A97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 w:rsidRPr="00DE6A97">
        <w:rPr>
          <w:color w:val="auto"/>
          <w:lang w:bidi="es-ES"/>
        </w:rPr>
        <w:t xml:space="preserve">La resolución está firmada por </w:t>
      </w:r>
      <w:r w:rsidR="00411640" w:rsidRPr="00DE6A97">
        <w:rPr>
          <w:color w:val="auto"/>
          <w:lang w:bidi="es-ES"/>
        </w:rPr>
        <w:t>el</w:t>
      </w:r>
      <w:r w:rsidR="00DF6C30" w:rsidRPr="00DE6A97">
        <w:rPr>
          <w:color w:val="auto"/>
          <w:lang w:bidi="es-ES"/>
        </w:rPr>
        <w:t xml:space="preserve"> </w:t>
      </w:r>
      <w:r w:rsidR="0080645C">
        <w:rPr>
          <w:color w:val="auto"/>
          <w:lang w:bidi="es-ES"/>
        </w:rPr>
        <w:t>Presidente de la AP</w:t>
      </w:r>
      <w:r w:rsidR="00DE6A97">
        <w:rPr>
          <w:color w:val="auto"/>
          <w:lang w:bidi="es-ES"/>
        </w:rPr>
        <w:t>.</w:t>
      </w:r>
    </w:p>
    <w:p w:rsidR="00F34803" w:rsidRPr="00DE6A97" w:rsidRDefault="004A133A" w:rsidP="00A915A2">
      <w:pPr>
        <w:pStyle w:val="Cuerpodelboletn"/>
        <w:numPr>
          <w:ilvl w:val="0"/>
          <w:numId w:val="6"/>
        </w:numPr>
        <w:spacing w:before="120" w:after="120" w:line="276" w:lineRule="auto"/>
        <w:rPr>
          <w:color w:val="auto"/>
          <w:lang w:bidi="es-ES"/>
        </w:rPr>
      </w:pPr>
      <w:r w:rsidRPr="00DE6A97">
        <w:rPr>
          <w:color w:val="auto"/>
          <w:lang w:bidi="es-ES"/>
        </w:rPr>
        <w:t>La resolución está completa, es clara y está estructurada. S</w:t>
      </w:r>
      <w:r w:rsidR="001C238B" w:rsidRPr="00DE6A97">
        <w:rPr>
          <w:color w:val="auto"/>
          <w:lang w:bidi="es-ES"/>
        </w:rPr>
        <w:t xml:space="preserve">e </w:t>
      </w:r>
      <w:r w:rsidR="00904E47" w:rsidRPr="00DE6A97">
        <w:rPr>
          <w:color w:val="auto"/>
          <w:lang w:bidi="es-ES"/>
        </w:rPr>
        <w:t>informa de los posibles recursos que el solicitante puede interponer en caso de disconformidad con la información recibida</w:t>
      </w:r>
      <w:r w:rsidR="00DE6A97">
        <w:rPr>
          <w:color w:val="auto"/>
          <w:lang w:bidi="es-ES"/>
        </w:rPr>
        <w:t>, pero no del plazo para su interposición</w:t>
      </w:r>
      <w:r w:rsidR="00904E47" w:rsidRPr="00DE6A97">
        <w:rPr>
          <w:color w:val="auto"/>
          <w:lang w:bidi="es-ES"/>
        </w:rPr>
        <w:t>.</w:t>
      </w:r>
    </w:p>
    <w:p w:rsidR="00447511" w:rsidRPr="00DE6A97" w:rsidRDefault="00046805" w:rsidP="001E1C29">
      <w:pPr>
        <w:pStyle w:val="Cuerpodelboletn"/>
        <w:numPr>
          <w:ilvl w:val="0"/>
          <w:numId w:val="6"/>
        </w:numPr>
        <w:spacing w:before="120" w:after="120" w:line="312" w:lineRule="auto"/>
        <w:rPr>
          <w:color w:val="auto"/>
          <w:lang w:bidi="es-ES"/>
        </w:rPr>
      </w:pPr>
      <w:r w:rsidRPr="00DE6A97">
        <w:rPr>
          <w:color w:val="auto"/>
          <w:lang w:bidi="es-ES"/>
        </w:rPr>
        <w:t xml:space="preserve">La información </w:t>
      </w:r>
      <w:r w:rsidR="00AC715D" w:rsidRPr="00DE6A97">
        <w:rPr>
          <w:color w:val="auto"/>
          <w:lang w:bidi="es-ES"/>
        </w:rPr>
        <w:t>se proporciona</w:t>
      </w:r>
      <w:r w:rsidR="001E1C29" w:rsidRPr="00DE6A97">
        <w:rPr>
          <w:color w:val="auto"/>
          <w:lang w:bidi="es-ES"/>
        </w:rPr>
        <w:t xml:space="preserve"> </w:t>
      </w:r>
      <w:r w:rsidR="0038280F" w:rsidRPr="00DE6A97">
        <w:rPr>
          <w:color w:val="auto"/>
          <w:lang w:bidi="es-ES"/>
        </w:rPr>
        <w:t xml:space="preserve">en </w:t>
      </w:r>
      <w:r w:rsidR="00A52CEF">
        <w:rPr>
          <w:color w:val="auto"/>
          <w:lang w:bidi="es-ES"/>
        </w:rPr>
        <w:t xml:space="preserve">el </w:t>
      </w:r>
      <w:r w:rsidR="0080645C">
        <w:rPr>
          <w:color w:val="auto"/>
          <w:lang w:bidi="es-ES"/>
        </w:rPr>
        <w:t>momento de la notificación de la resolución y en el formato solicitado</w:t>
      </w:r>
      <w:r w:rsidRPr="00DE6A97">
        <w:rPr>
          <w:color w:val="auto"/>
          <w:lang w:bidi="es-ES"/>
        </w:rPr>
        <w:t>.</w:t>
      </w:r>
      <w:r w:rsidR="009913A5" w:rsidRPr="00DE6A97">
        <w:rPr>
          <w:color w:val="auto"/>
          <w:lang w:bidi="es-ES"/>
        </w:rPr>
        <w:t xml:space="preserve"> </w:t>
      </w:r>
    </w:p>
    <w:p w:rsidR="00DE6A97" w:rsidRDefault="00DE6A97" w:rsidP="001E1C29">
      <w:pPr>
        <w:pStyle w:val="Cuerpodelboletn"/>
        <w:spacing w:before="120" w:after="120" w:line="312" w:lineRule="auto"/>
        <w:ind w:left="1146"/>
        <w:rPr>
          <w:color w:val="auto"/>
          <w:lang w:bidi="es-ES"/>
        </w:rPr>
      </w:pPr>
    </w:p>
    <w:sdt>
      <w:sdtPr>
        <w:rPr>
          <w:rFonts w:eastAsiaTheme="majorEastAsia" w:cstheme="majorBidi"/>
          <w:b/>
          <w:bCs/>
          <w:color w:val="00642D"/>
          <w:sz w:val="30"/>
          <w:szCs w:val="30"/>
        </w:rPr>
        <w:id w:val="219174856"/>
        <w:placeholder>
          <w:docPart w:val="0D1B12810E674B789E9273833A80B3B3"/>
        </w:placeholder>
      </w:sdtPr>
      <w:sdtEndPr>
        <w:rPr>
          <w:sz w:val="22"/>
          <w:szCs w:val="24"/>
        </w:rPr>
      </w:sdtEndPr>
      <w:sdtContent>
        <w:p w:rsidR="00256215" w:rsidRPr="00256215" w:rsidRDefault="00256215" w:rsidP="00E57E17">
          <w:pPr>
            <w:pStyle w:val="Cuerpodelboletn"/>
            <w:spacing w:before="120" w:after="120" w:line="312" w:lineRule="auto"/>
            <w:rPr>
              <w:b/>
              <w:color w:val="00642D"/>
              <w:sz w:val="32"/>
            </w:rPr>
          </w:pPr>
          <w:r w:rsidRPr="00256215">
            <w:rPr>
              <w:b/>
              <w:color w:val="00642D"/>
              <w:sz w:val="30"/>
              <w:szCs w:val="30"/>
            </w:rPr>
            <w:t xml:space="preserve">IV. </w:t>
          </w:r>
          <w:r>
            <w:rPr>
              <w:b/>
              <w:color w:val="00642D"/>
              <w:sz w:val="30"/>
              <w:szCs w:val="30"/>
            </w:rPr>
            <w:t>Reclamaciones ante el Consejo de Transparencia</w:t>
          </w:r>
          <w:r w:rsidR="00EE5BDF">
            <w:rPr>
              <w:b/>
              <w:color w:val="00642D"/>
              <w:sz w:val="30"/>
              <w:szCs w:val="30"/>
            </w:rPr>
            <w:t xml:space="preserve"> y Buen Gobierno</w:t>
          </w:r>
          <w:r w:rsidRPr="00256215">
            <w:rPr>
              <w:b/>
              <w:color w:val="00642D"/>
              <w:sz w:val="30"/>
              <w:szCs w:val="30"/>
            </w:rPr>
            <w:t xml:space="preserve"> </w:t>
          </w:r>
          <w:r w:rsidR="00AC715D">
            <w:rPr>
              <w:b/>
              <w:color w:val="00642D"/>
              <w:sz w:val="30"/>
              <w:szCs w:val="30"/>
            </w:rPr>
            <w:t>en el periodo 2015-202</w:t>
          </w:r>
          <w:r w:rsidR="005D006A">
            <w:rPr>
              <w:b/>
              <w:color w:val="00642D"/>
              <w:sz w:val="30"/>
              <w:szCs w:val="30"/>
            </w:rPr>
            <w:t>2</w:t>
          </w:r>
        </w:p>
      </w:sdtContent>
    </w:sdt>
    <w:p w:rsidR="00256215" w:rsidRDefault="00256215" w:rsidP="00256215">
      <w:pPr>
        <w:pStyle w:val="Cuerpodelboletn"/>
      </w:pPr>
    </w:p>
    <w:p w:rsidR="00690186" w:rsidRDefault="00690186" w:rsidP="00690186">
      <w:pPr>
        <w:pStyle w:val="Cuerpodelboletn"/>
        <w:spacing w:before="120" w:after="120" w:line="276" w:lineRule="auto"/>
        <w:ind w:left="425"/>
      </w:pPr>
      <w:r>
        <w:rPr>
          <w:color w:val="auto"/>
        </w:rPr>
        <w:t xml:space="preserve">El CTBG ha recibido un total de </w:t>
      </w:r>
      <w:r w:rsidR="00732A9F">
        <w:rPr>
          <w:color w:val="auto"/>
        </w:rPr>
        <w:t>cinco</w:t>
      </w:r>
      <w:r>
        <w:rPr>
          <w:color w:val="auto"/>
        </w:rPr>
        <w:t xml:space="preserve"> reclamaciones contra resoluciones de la </w:t>
      </w:r>
      <w:r w:rsidR="00732A9F">
        <w:rPr>
          <w:color w:val="auto"/>
        </w:rPr>
        <w:t>APV</w:t>
      </w:r>
      <w:r>
        <w:rPr>
          <w:color w:val="auto"/>
        </w:rPr>
        <w:t xml:space="preserve"> en materia de acceso a la información pública. De ellas, </w:t>
      </w:r>
      <w:r w:rsidR="00732A9F">
        <w:rPr>
          <w:color w:val="auto"/>
        </w:rPr>
        <w:t>tres</w:t>
      </w:r>
      <w:r>
        <w:rPr>
          <w:color w:val="auto"/>
        </w:rPr>
        <w:t xml:space="preserve"> fueron estimadas</w:t>
      </w:r>
      <w:r w:rsidRPr="004A133A">
        <w:t xml:space="preserve"> –</w:t>
      </w:r>
      <w:r>
        <w:t xml:space="preserve"> </w:t>
      </w:r>
      <w:r w:rsidR="00732A9F">
        <w:t>dos</w:t>
      </w:r>
      <w:r>
        <w:t xml:space="preserve"> de ellas de manera parcial</w:t>
      </w:r>
      <w:r w:rsidRPr="004A133A">
        <w:t xml:space="preserve"> -</w:t>
      </w:r>
      <w:r>
        <w:t xml:space="preserve">, </w:t>
      </w:r>
      <w:r w:rsidR="00732A9F">
        <w:t>una</w:t>
      </w:r>
      <w:r>
        <w:t xml:space="preserve"> fue desestimad</w:t>
      </w:r>
      <w:r w:rsidR="00732A9F">
        <w:t>a</w:t>
      </w:r>
      <w:r>
        <w:t xml:space="preserve"> y una inadmitida. </w:t>
      </w:r>
    </w:p>
    <w:p w:rsidR="00690186" w:rsidRDefault="00690186" w:rsidP="00690186">
      <w:pPr>
        <w:pStyle w:val="Cuerpodelboletn"/>
        <w:spacing w:before="120" w:after="120" w:line="276" w:lineRule="auto"/>
        <w:ind w:left="425"/>
        <w:rPr>
          <w:color w:val="auto"/>
        </w:rPr>
      </w:pPr>
      <w:r>
        <w:rPr>
          <w:color w:val="auto"/>
        </w:rPr>
        <w:t xml:space="preserve">La </w:t>
      </w:r>
      <w:r w:rsidR="00732A9F">
        <w:rPr>
          <w:color w:val="auto"/>
        </w:rPr>
        <w:t>APV</w:t>
      </w:r>
      <w:r>
        <w:rPr>
          <w:color w:val="auto"/>
        </w:rPr>
        <w:t xml:space="preserve"> presentó recurso contencioso-administrativo contra </w:t>
      </w:r>
      <w:r w:rsidR="00732A9F">
        <w:rPr>
          <w:color w:val="auto"/>
        </w:rPr>
        <w:t>una de las</w:t>
      </w:r>
      <w:r>
        <w:rPr>
          <w:color w:val="auto"/>
        </w:rPr>
        <w:t xml:space="preserve"> resoluciones favorables a los reclamantes, lo que sitúa la tasa de litigiosidad en el </w:t>
      </w:r>
      <w:r w:rsidR="00732A9F">
        <w:rPr>
          <w:color w:val="auto"/>
        </w:rPr>
        <w:t>33,3</w:t>
      </w:r>
      <w:r>
        <w:rPr>
          <w:color w:val="auto"/>
        </w:rPr>
        <w:t xml:space="preserve">%. La sentencia dictada, que ha adquirido firmeza, fue </w:t>
      </w:r>
      <w:proofErr w:type="gramStart"/>
      <w:r>
        <w:rPr>
          <w:color w:val="auto"/>
        </w:rPr>
        <w:t>favorables</w:t>
      </w:r>
      <w:proofErr w:type="gramEnd"/>
      <w:r>
        <w:rPr>
          <w:color w:val="auto"/>
        </w:rPr>
        <w:t xml:space="preserve"> </w:t>
      </w:r>
      <w:r w:rsidR="00732A9F">
        <w:rPr>
          <w:color w:val="auto"/>
        </w:rPr>
        <w:t>a la entidad</w:t>
      </w:r>
      <w:r>
        <w:rPr>
          <w:color w:val="auto"/>
        </w:rPr>
        <w:t xml:space="preserve">. </w:t>
      </w:r>
    </w:p>
    <w:p w:rsidR="00690186" w:rsidRDefault="00690186" w:rsidP="00690186">
      <w:pPr>
        <w:pStyle w:val="Cuerpodelboletn"/>
        <w:spacing w:before="120" w:after="120" w:line="276" w:lineRule="auto"/>
        <w:ind w:left="425"/>
        <w:rPr>
          <w:color w:val="auto"/>
        </w:rPr>
      </w:pPr>
    </w:p>
    <w:p w:rsidR="00732A9F" w:rsidRDefault="00732A9F" w:rsidP="00690186">
      <w:pPr>
        <w:pStyle w:val="Cuerpodelboletn"/>
        <w:spacing w:before="120" w:after="120" w:line="276" w:lineRule="auto"/>
        <w:ind w:left="425"/>
        <w:rPr>
          <w:color w:val="auto"/>
        </w:rPr>
      </w:pPr>
    </w:p>
    <w:p w:rsidR="00732A9F" w:rsidRDefault="00732A9F" w:rsidP="00690186">
      <w:pPr>
        <w:pStyle w:val="Cuerpodelboletn"/>
        <w:spacing w:before="120" w:after="120" w:line="276" w:lineRule="auto"/>
        <w:ind w:left="425"/>
        <w:rPr>
          <w:color w:val="auto"/>
        </w:rPr>
      </w:pPr>
    </w:p>
    <w:p w:rsidR="00732A9F" w:rsidRDefault="00732A9F" w:rsidP="00690186">
      <w:pPr>
        <w:pStyle w:val="Cuerpodelboletn"/>
        <w:spacing w:before="120" w:after="120" w:line="276" w:lineRule="auto"/>
        <w:ind w:left="425"/>
        <w:rPr>
          <w:color w:val="auto"/>
        </w:rPr>
      </w:pPr>
    </w:p>
    <w:p w:rsidR="00732A9F" w:rsidRDefault="00732A9F" w:rsidP="00690186">
      <w:pPr>
        <w:pStyle w:val="Cuerpodelboletn"/>
        <w:spacing w:before="120" w:after="120" w:line="276" w:lineRule="auto"/>
        <w:ind w:left="425"/>
        <w:rPr>
          <w:color w:val="auto"/>
        </w:rPr>
      </w:pPr>
    </w:p>
    <w:p w:rsidR="00732A9F" w:rsidRDefault="00732A9F" w:rsidP="00690186">
      <w:pPr>
        <w:pStyle w:val="Cuerpodelboletn"/>
        <w:spacing w:before="120" w:after="120" w:line="276" w:lineRule="auto"/>
        <w:ind w:left="425"/>
        <w:rPr>
          <w:color w:val="auto"/>
        </w:rPr>
      </w:pPr>
    </w:p>
    <w:tbl>
      <w:tblPr>
        <w:tblStyle w:val="Tablaconcuadrcula3"/>
        <w:tblW w:w="0" w:type="auto"/>
        <w:tblInd w:w="959" w:type="dxa"/>
        <w:tblLook w:val="04A0" w:firstRow="1" w:lastRow="0" w:firstColumn="1" w:lastColumn="0" w:noHBand="0" w:noVBand="1"/>
      </w:tblPr>
      <w:tblGrid>
        <w:gridCol w:w="1132"/>
        <w:gridCol w:w="4013"/>
        <w:gridCol w:w="1756"/>
        <w:gridCol w:w="1427"/>
      </w:tblGrid>
      <w:tr w:rsidR="00690186" w:rsidRPr="00871B3A" w:rsidTr="00690186">
        <w:tc>
          <w:tcPr>
            <w:tcW w:w="1132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007635"/>
            <w:textDirection w:val="btLr"/>
          </w:tcPr>
          <w:p w:rsidR="00690186" w:rsidRPr="00871B3A" w:rsidRDefault="00690186" w:rsidP="00690186">
            <w:pPr>
              <w:ind w:left="113" w:right="113"/>
              <w:jc w:val="center"/>
              <w:rPr>
                <w:rFonts w:ascii="Calibri" w:hAnsi="Calibri" w:cs="Calibri"/>
                <w:color w:val="FFFFFF"/>
              </w:rPr>
            </w:pPr>
          </w:p>
        </w:tc>
        <w:tc>
          <w:tcPr>
            <w:tcW w:w="5769" w:type="dxa"/>
            <w:gridSpan w:val="2"/>
            <w:tcBorders>
              <w:left w:val="nil"/>
            </w:tcBorders>
          </w:tcPr>
          <w:p w:rsidR="00690186" w:rsidRPr="00871B3A" w:rsidRDefault="00690186" w:rsidP="00690186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Nº de Resoluciones de la entidad recurridas ante el CTBG</w:t>
            </w:r>
          </w:p>
        </w:tc>
        <w:tc>
          <w:tcPr>
            <w:tcW w:w="1427" w:type="dxa"/>
            <w:vAlign w:val="center"/>
          </w:tcPr>
          <w:p w:rsidR="00690186" w:rsidRPr="00871B3A" w:rsidRDefault="00732A9F" w:rsidP="006901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90186" w:rsidRPr="00871B3A" w:rsidTr="00690186">
        <w:trPr>
          <w:trHeight w:val="248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690186" w:rsidRPr="00871B3A" w:rsidRDefault="00690186" w:rsidP="00690186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 w:val="restart"/>
            <w:tcBorders>
              <w:left w:val="nil"/>
            </w:tcBorders>
          </w:tcPr>
          <w:p w:rsidR="00690186" w:rsidRPr="00871B3A" w:rsidRDefault="00690186" w:rsidP="00690186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Nº de Resoluciones del CTBG favorables a la entidad</w:t>
            </w:r>
          </w:p>
        </w:tc>
        <w:tc>
          <w:tcPr>
            <w:tcW w:w="1756" w:type="dxa"/>
            <w:tcBorders>
              <w:left w:val="nil"/>
            </w:tcBorders>
          </w:tcPr>
          <w:p w:rsidR="00690186" w:rsidRPr="00871B3A" w:rsidRDefault="00690186" w:rsidP="00690186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Nº</w:t>
            </w:r>
          </w:p>
        </w:tc>
        <w:tc>
          <w:tcPr>
            <w:tcW w:w="1427" w:type="dxa"/>
            <w:vAlign w:val="center"/>
          </w:tcPr>
          <w:p w:rsidR="00690186" w:rsidRPr="00871B3A" w:rsidRDefault="00732A9F" w:rsidP="006901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690186" w:rsidRPr="00871B3A" w:rsidTr="00690186">
        <w:trPr>
          <w:trHeight w:val="247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690186" w:rsidRPr="00871B3A" w:rsidRDefault="00690186" w:rsidP="00690186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/>
            <w:tcBorders>
              <w:left w:val="nil"/>
            </w:tcBorders>
          </w:tcPr>
          <w:p w:rsidR="00690186" w:rsidRPr="00871B3A" w:rsidRDefault="00690186" w:rsidP="0069018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left w:val="nil"/>
            </w:tcBorders>
          </w:tcPr>
          <w:p w:rsidR="00690186" w:rsidRPr="00871B3A" w:rsidRDefault="00690186" w:rsidP="00690186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Porcentaje</w:t>
            </w:r>
          </w:p>
        </w:tc>
        <w:tc>
          <w:tcPr>
            <w:tcW w:w="1427" w:type="dxa"/>
            <w:vAlign w:val="center"/>
          </w:tcPr>
          <w:p w:rsidR="00690186" w:rsidRPr="00871B3A" w:rsidRDefault="00732A9F" w:rsidP="006901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25,0</w:t>
            </w:r>
          </w:p>
        </w:tc>
      </w:tr>
      <w:tr w:rsidR="00690186" w:rsidRPr="00871B3A" w:rsidTr="00690186">
        <w:trPr>
          <w:trHeight w:val="248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690186" w:rsidRPr="00871B3A" w:rsidRDefault="00690186" w:rsidP="00690186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 w:val="restart"/>
            <w:tcBorders>
              <w:left w:val="nil"/>
            </w:tcBorders>
          </w:tcPr>
          <w:p w:rsidR="00690186" w:rsidRPr="00871B3A" w:rsidRDefault="00690186" w:rsidP="00690186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Nº de Resoluciones del CTBG favorables a los reclamantes</w:t>
            </w:r>
          </w:p>
        </w:tc>
        <w:tc>
          <w:tcPr>
            <w:tcW w:w="1756" w:type="dxa"/>
            <w:tcBorders>
              <w:left w:val="nil"/>
            </w:tcBorders>
          </w:tcPr>
          <w:p w:rsidR="00690186" w:rsidRPr="00871B3A" w:rsidRDefault="00690186" w:rsidP="00690186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Nº</w:t>
            </w:r>
          </w:p>
        </w:tc>
        <w:tc>
          <w:tcPr>
            <w:tcW w:w="1427" w:type="dxa"/>
            <w:vAlign w:val="center"/>
          </w:tcPr>
          <w:p w:rsidR="00690186" w:rsidRPr="00871B3A" w:rsidRDefault="00732A9F" w:rsidP="006901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690186" w:rsidRPr="00871B3A" w:rsidTr="00690186">
        <w:trPr>
          <w:trHeight w:val="247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690186" w:rsidRPr="00871B3A" w:rsidRDefault="00690186" w:rsidP="00690186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/>
            <w:tcBorders>
              <w:left w:val="nil"/>
            </w:tcBorders>
          </w:tcPr>
          <w:p w:rsidR="00690186" w:rsidRPr="00871B3A" w:rsidRDefault="00690186" w:rsidP="0069018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left w:val="nil"/>
            </w:tcBorders>
          </w:tcPr>
          <w:p w:rsidR="00690186" w:rsidRPr="00871B3A" w:rsidRDefault="00690186" w:rsidP="00690186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Porcentaje</w:t>
            </w:r>
          </w:p>
        </w:tc>
        <w:tc>
          <w:tcPr>
            <w:tcW w:w="1427" w:type="dxa"/>
            <w:vAlign w:val="center"/>
          </w:tcPr>
          <w:p w:rsidR="00690186" w:rsidRPr="00871B3A" w:rsidRDefault="00732A9F" w:rsidP="006901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75,0</w:t>
            </w:r>
          </w:p>
        </w:tc>
      </w:tr>
      <w:tr w:rsidR="00690186" w:rsidRPr="00871B3A" w:rsidTr="00690186"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690186" w:rsidRPr="00871B3A" w:rsidRDefault="00690186" w:rsidP="00690186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5769" w:type="dxa"/>
            <w:gridSpan w:val="2"/>
            <w:tcBorders>
              <w:left w:val="nil"/>
            </w:tcBorders>
          </w:tcPr>
          <w:p w:rsidR="00690186" w:rsidRPr="00871B3A" w:rsidRDefault="00690186" w:rsidP="00690186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Nº de Resoluciones del CTBG favorables a los reclamantes recurridas ante la jurisdicción contencioso-administrativa</w:t>
            </w:r>
          </w:p>
        </w:tc>
        <w:tc>
          <w:tcPr>
            <w:tcW w:w="1427" w:type="dxa"/>
            <w:vAlign w:val="center"/>
          </w:tcPr>
          <w:p w:rsidR="00690186" w:rsidRPr="00871B3A" w:rsidRDefault="00732A9F" w:rsidP="006901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690186" w:rsidRPr="00871B3A" w:rsidTr="00690186"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690186" w:rsidRPr="00871B3A" w:rsidRDefault="00690186" w:rsidP="00690186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5769" w:type="dxa"/>
            <w:gridSpan w:val="2"/>
            <w:tcBorders>
              <w:left w:val="nil"/>
            </w:tcBorders>
          </w:tcPr>
          <w:p w:rsidR="00690186" w:rsidRPr="00871B3A" w:rsidRDefault="00690186" w:rsidP="00690186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Tasa de litigiosidad</w:t>
            </w:r>
          </w:p>
        </w:tc>
        <w:tc>
          <w:tcPr>
            <w:tcW w:w="1427" w:type="dxa"/>
            <w:vAlign w:val="center"/>
          </w:tcPr>
          <w:p w:rsidR="00690186" w:rsidRPr="00871B3A" w:rsidRDefault="00732A9F" w:rsidP="006901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33,3</w:t>
            </w:r>
          </w:p>
        </w:tc>
      </w:tr>
      <w:tr w:rsidR="00690186" w:rsidRPr="00871B3A" w:rsidTr="00690186"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690186" w:rsidRPr="00871B3A" w:rsidRDefault="00690186" w:rsidP="00690186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 w:val="restart"/>
            <w:tcBorders>
              <w:left w:val="nil"/>
            </w:tcBorders>
            <w:vAlign w:val="center"/>
          </w:tcPr>
          <w:p w:rsidR="00690186" w:rsidRPr="00871B3A" w:rsidRDefault="00690186" w:rsidP="00690186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Sentencias firmes favorables al CTBG</w:t>
            </w:r>
          </w:p>
        </w:tc>
        <w:tc>
          <w:tcPr>
            <w:tcW w:w="1756" w:type="dxa"/>
            <w:tcBorders>
              <w:left w:val="nil"/>
            </w:tcBorders>
          </w:tcPr>
          <w:p w:rsidR="00690186" w:rsidRPr="00871B3A" w:rsidRDefault="00690186" w:rsidP="00690186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 xml:space="preserve">Nº </w:t>
            </w:r>
          </w:p>
        </w:tc>
        <w:tc>
          <w:tcPr>
            <w:tcW w:w="1427" w:type="dxa"/>
            <w:vAlign w:val="center"/>
          </w:tcPr>
          <w:p w:rsidR="00690186" w:rsidRPr="00871B3A" w:rsidRDefault="00732A9F" w:rsidP="006901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690186" w:rsidRPr="00871B3A" w:rsidTr="00690186">
        <w:trPr>
          <w:trHeight w:val="113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690186" w:rsidRPr="00871B3A" w:rsidRDefault="00690186" w:rsidP="00690186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/>
            <w:tcBorders>
              <w:left w:val="nil"/>
            </w:tcBorders>
            <w:vAlign w:val="center"/>
          </w:tcPr>
          <w:p w:rsidR="00690186" w:rsidRPr="00871B3A" w:rsidRDefault="00690186" w:rsidP="0069018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left w:val="nil"/>
            </w:tcBorders>
          </w:tcPr>
          <w:p w:rsidR="00690186" w:rsidRPr="00871B3A" w:rsidRDefault="00690186" w:rsidP="00690186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Porcentaje</w:t>
            </w:r>
          </w:p>
        </w:tc>
        <w:tc>
          <w:tcPr>
            <w:tcW w:w="1427" w:type="dxa"/>
            <w:vAlign w:val="center"/>
          </w:tcPr>
          <w:p w:rsidR="00690186" w:rsidRPr="00871B3A" w:rsidRDefault="00732A9F" w:rsidP="006901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690186" w:rsidRPr="00871B3A" w:rsidTr="00690186">
        <w:trPr>
          <w:trHeight w:val="248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690186" w:rsidRPr="00871B3A" w:rsidRDefault="00690186" w:rsidP="00690186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 w:val="restart"/>
            <w:tcBorders>
              <w:left w:val="nil"/>
            </w:tcBorders>
            <w:vAlign w:val="center"/>
          </w:tcPr>
          <w:p w:rsidR="00690186" w:rsidRPr="00871B3A" w:rsidRDefault="00690186" w:rsidP="00690186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Sentencias firmes favorables a la entidad</w:t>
            </w:r>
          </w:p>
        </w:tc>
        <w:tc>
          <w:tcPr>
            <w:tcW w:w="1756" w:type="dxa"/>
            <w:tcBorders>
              <w:left w:val="nil"/>
            </w:tcBorders>
          </w:tcPr>
          <w:p w:rsidR="00690186" w:rsidRPr="00871B3A" w:rsidRDefault="00690186" w:rsidP="00690186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 xml:space="preserve">Nº </w:t>
            </w:r>
          </w:p>
        </w:tc>
        <w:tc>
          <w:tcPr>
            <w:tcW w:w="1427" w:type="dxa"/>
            <w:vAlign w:val="center"/>
          </w:tcPr>
          <w:p w:rsidR="00690186" w:rsidRPr="00871B3A" w:rsidRDefault="00732A9F" w:rsidP="006901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690186" w:rsidRPr="00871B3A" w:rsidTr="00690186">
        <w:trPr>
          <w:trHeight w:val="247"/>
        </w:trPr>
        <w:tc>
          <w:tcPr>
            <w:tcW w:w="1132" w:type="dxa"/>
            <w:vMerge/>
            <w:tcBorders>
              <w:right w:val="nil"/>
            </w:tcBorders>
            <w:shd w:val="clear" w:color="auto" w:fill="007635"/>
          </w:tcPr>
          <w:p w:rsidR="00690186" w:rsidRPr="00871B3A" w:rsidRDefault="00690186" w:rsidP="00690186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4013" w:type="dxa"/>
            <w:vMerge/>
            <w:tcBorders>
              <w:left w:val="nil"/>
            </w:tcBorders>
          </w:tcPr>
          <w:p w:rsidR="00690186" w:rsidRPr="00871B3A" w:rsidRDefault="00690186" w:rsidP="0069018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left w:val="nil"/>
            </w:tcBorders>
          </w:tcPr>
          <w:p w:rsidR="00690186" w:rsidRPr="00871B3A" w:rsidRDefault="00690186" w:rsidP="00690186">
            <w:pPr>
              <w:jc w:val="both"/>
              <w:rPr>
                <w:rFonts w:ascii="Calibri" w:hAnsi="Calibri" w:cs="Calibri"/>
              </w:rPr>
            </w:pPr>
            <w:r w:rsidRPr="00871B3A">
              <w:rPr>
                <w:rFonts w:ascii="Calibri" w:hAnsi="Calibri" w:cs="Calibri"/>
              </w:rPr>
              <w:t>Porcentaje</w:t>
            </w:r>
          </w:p>
        </w:tc>
        <w:tc>
          <w:tcPr>
            <w:tcW w:w="1427" w:type="dxa"/>
            <w:vAlign w:val="center"/>
          </w:tcPr>
          <w:p w:rsidR="00690186" w:rsidRPr="00871B3A" w:rsidRDefault="00732A9F" w:rsidP="00732A9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</w:tbl>
    <w:p w:rsidR="00690186" w:rsidRPr="004A133A" w:rsidRDefault="00690186" w:rsidP="00690186">
      <w:pPr>
        <w:pStyle w:val="Cuerpodelboletn"/>
        <w:spacing w:before="120" w:after="120" w:line="276" w:lineRule="auto"/>
        <w:ind w:left="425"/>
      </w:pPr>
    </w:p>
    <w:p w:rsidR="001D4699" w:rsidRPr="004A133A" w:rsidRDefault="001D4699" w:rsidP="00DF6C30">
      <w:pPr>
        <w:pStyle w:val="Cuerpodelboletn"/>
        <w:spacing w:before="120" w:after="120" w:line="276" w:lineRule="auto"/>
        <w:ind w:left="425"/>
      </w:pPr>
    </w:p>
    <w:p w:rsidR="001F251B" w:rsidRPr="00256215" w:rsidRDefault="00A43A6B" w:rsidP="00256215">
      <w:pPr>
        <w:pStyle w:val="Cuerpodelboletn"/>
      </w:pPr>
      <w:sdt>
        <w:sdtPr>
          <w:rPr>
            <w:b/>
            <w:color w:val="00642D"/>
            <w:sz w:val="30"/>
            <w:szCs w:val="30"/>
          </w:rPr>
          <w:id w:val="100155903"/>
          <w:placeholder>
            <w:docPart w:val="8B979E0795F94610A8B6D30CD9660B09"/>
          </w:placeholder>
        </w:sdtPr>
        <w:sdtEndPr>
          <w:rPr>
            <w:sz w:val="22"/>
            <w:szCs w:val="24"/>
          </w:rPr>
        </w:sdtEndPr>
        <w:sdtContent>
          <w:r w:rsidR="001F251B" w:rsidRPr="00256215">
            <w:rPr>
              <w:b/>
              <w:color w:val="00642D"/>
              <w:sz w:val="30"/>
              <w:szCs w:val="30"/>
            </w:rPr>
            <w:t xml:space="preserve">V. </w:t>
          </w:r>
          <w:r w:rsidR="001F251B">
            <w:rPr>
              <w:b/>
              <w:color w:val="00642D"/>
              <w:sz w:val="30"/>
              <w:szCs w:val="30"/>
            </w:rPr>
            <w:t>Buenas prácticas</w:t>
          </w:r>
          <w:r w:rsidR="001F251B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A52CEF" w:rsidRDefault="00A52CEF" w:rsidP="00A52CEF">
      <w:pPr>
        <w:spacing w:before="120" w:after="120"/>
        <w:ind w:left="426"/>
        <w:jc w:val="both"/>
      </w:pPr>
      <w:r>
        <w:t>CNIC presenta en la gestión de las solicitudes de acceso a información pública buenas prácticas que podrían ser aplicadas por otras instituciones y organizaciones públicas. Entre ellas cabe destacar:</w:t>
      </w:r>
    </w:p>
    <w:p w:rsidR="00A52CEF" w:rsidRPr="004A5655" w:rsidRDefault="00A52CEF" w:rsidP="00A52CEF">
      <w:pPr>
        <w:pStyle w:val="Prrafodelista"/>
        <w:numPr>
          <w:ilvl w:val="0"/>
          <w:numId w:val="10"/>
        </w:numPr>
        <w:spacing w:before="120" w:after="120"/>
        <w:ind w:left="1134"/>
        <w:contextualSpacing w:val="0"/>
        <w:jc w:val="both"/>
      </w:pPr>
      <w:r>
        <w:t>La disponibilidad de un espacio específico para el ejercicio del derecho de acceso</w:t>
      </w:r>
      <w:r w:rsidRPr="004A5655">
        <w:t>.</w:t>
      </w:r>
    </w:p>
    <w:p w:rsidR="00A52CEF" w:rsidRDefault="00A52CEF" w:rsidP="00A52CEF">
      <w:pPr>
        <w:pStyle w:val="Prrafodelista"/>
        <w:numPr>
          <w:ilvl w:val="0"/>
          <w:numId w:val="10"/>
        </w:numPr>
        <w:spacing w:before="120" w:after="120"/>
        <w:ind w:left="1134"/>
        <w:contextualSpacing w:val="0"/>
        <w:jc w:val="both"/>
      </w:pPr>
      <w:r>
        <w:t>La información sobre la posibilidad de presenta</w:t>
      </w:r>
      <w:bookmarkStart w:id="0" w:name="_GoBack"/>
      <w:bookmarkEnd w:id="0"/>
      <w:r>
        <w:t xml:space="preserve">ción de las solicitudes por vías alternativas a las </w:t>
      </w:r>
      <w:r w:rsidR="00732A9F">
        <w:t xml:space="preserve">tres </w:t>
      </w:r>
      <w:r>
        <w:t xml:space="preserve">sobre las que se informa expresamente. </w:t>
      </w:r>
    </w:p>
    <w:p w:rsidR="00A52CEF" w:rsidRDefault="00A52CEF" w:rsidP="00A52CEF">
      <w:pPr>
        <w:pStyle w:val="Prrafodelista"/>
        <w:spacing w:before="120" w:after="120"/>
        <w:ind w:left="1134"/>
        <w:contextualSpacing w:val="0"/>
        <w:jc w:val="both"/>
      </w:pPr>
    </w:p>
    <w:p w:rsidR="00256215" w:rsidRDefault="00A43A6B" w:rsidP="001F251B">
      <w:pPr>
        <w:pStyle w:val="Cuerpodelboletn"/>
        <w:spacing w:before="120" w:after="120" w:line="312" w:lineRule="auto"/>
        <w:ind w:left="142"/>
        <w:rPr>
          <w:b/>
          <w:color w:val="00642D"/>
          <w:sz w:val="32"/>
        </w:rPr>
      </w:pPr>
      <w:sdt>
        <w:sdtPr>
          <w:rPr>
            <w:b/>
            <w:color w:val="00642D"/>
            <w:sz w:val="30"/>
            <w:szCs w:val="30"/>
          </w:rPr>
          <w:id w:val="1967305046"/>
          <w:placeholder>
            <w:docPart w:val="98DB7F0835414356B53154A5A4F8C311"/>
          </w:placeholder>
        </w:sdtPr>
        <w:sdtEndPr>
          <w:rPr>
            <w:sz w:val="22"/>
            <w:szCs w:val="24"/>
          </w:rPr>
        </w:sdtEndPr>
        <w:sdtContent>
          <w:r w:rsidR="00256215" w:rsidRPr="00256215">
            <w:rPr>
              <w:b/>
              <w:color w:val="00642D"/>
              <w:sz w:val="30"/>
              <w:szCs w:val="30"/>
            </w:rPr>
            <w:t>V</w:t>
          </w:r>
          <w:r w:rsidR="001F251B">
            <w:rPr>
              <w:b/>
              <w:color w:val="00642D"/>
              <w:sz w:val="30"/>
              <w:szCs w:val="30"/>
            </w:rPr>
            <w:t>I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. </w:t>
          </w:r>
          <w:r w:rsidR="00256215">
            <w:rPr>
              <w:b/>
              <w:color w:val="00642D"/>
              <w:sz w:val="30"/>
              <w:szCs w:val="30"/>
            </w:rPr>
            <w:t>Conclusiones y recomendaciones</w:t>
          </w:r>
          <w:r w:rsidR="00256215" w:rsidRPr="00256215">
            <w:rPr>
              <w:b/>
              <w:color w:val="00642D"/>
              <w:sz w:val="30"/>
              <w:szCs w:val="30"/>
            </w:rPr>
            <w:t xml:space="preserve"> </w:t>
          </w:r>
        </w:sdtContent>
      </w:sdt>
    </w:p>
    <w:p w:rsidR="00B40246" w:rsidRDefault="00B40246"/>
    <w:p w:rsidR="00F34803" w:rsidRPr="00B70DBD" w:rsidRDefault="00F34803" w:rsidP="005A0354">
      <w:pPr>
        <w:pStyle w:val="Prrafodelista"/>
        <w:numPr>
          <w:ilvl w:val="0"/>
          <w:numId w:val="9"/>
        </w:numPr>
        <w:ind w:left="709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actividad generada por las solicitudes de acceso a información pública.</w:t>
      </w:r>
    </w:p>
    <w:p w:rsidR="00F34803" w:rsidRDefault="00F34803" w:rsidP="00F34803">
      <w:pPr>
        <w:pStyle w:val="Prrafodelista"/>
        <w:ind w:left="644"/>
        <w:rPr>
          <w:rStyle w:val="Ttulo2Car"/>
          <w:color w:val="00642D"/>
          <w:sz w:val="22"/>
          <w:szCs w:val="22"/>
          <w:lang w:bidi="es-ES"/>
        </w:rPr>
      </w:pPr>
    </w:p>
    <w:p w:rsidR="00BB63C9" w:rsidRPr="005358B1" w:rsidRDefault="00732A9F" w:rsidP="001D4699">
      <w:pPr>
        <w:pStyle w:val="Prrafodelista"/>
        <w:ind w:left="709"/>
        <w:jc w:val="both"/>
        <w:rPr>
          <w:bCs/>
        </w:rPr>
      </w:pPr>
      <w:r>
        <w:rPr>
          <w:bCs/>
        </w:rPr>
        <w:t>La APV no ha remitido información sobre la actividad generada por las solicitudes de acceso a información pública de la entidad durante 2022.</w:t>
      </w:r>
    </w:p>
    <w:p w:rsidR="00D74E79" w:rsidRDefault="00D74E79" w:rsidP="00F34803">
      <w:pPr>
        <w:pStyle w:val="Prrafodelista"/>
        <w:ind w:left="644"/>
        <w:jc w:val="both"/>
        <w:rPr>
          <w:bCs/>
        </w:rPr>
      </w:pPr>
    </w:p>
    <w:p w:rsidR="005D006A" w:rsidRDefault="005D006A" w:rsidP="005D006A">
      <w:pPr>
        <w:pStyle w:val="Prrafodelista"/>
        <w:ind w:left="644"/>
        <w:jc w:val="both"/>
        <w:rPr>
          <w:bCs/>
        </w:rPr>
      </w:pPr>
      <w:r w:rsidRPr="00D74E79">
        <w:rPr>
          <w:bCs/>
        </w:rPr>
        <w:t>Una cuestión adicional es que no se publican las resoluciones que deniegan el acceso a la información en aplicación de los límites del artículo 14.</w:t>
      </w:r>
    </w:p>
    <w:p w:rsidR="005D006A" w:rsidRDefault="005D006A" w:rsidP="005D006A">
      <w:pPr>
        <w:pStyle w:val="Prrafodelista"/>
        <w:ind w:left="644"/>
        <w:jc w:val="both"/>
        <w:rPr>
          <w:bCs/>
        </w:rPr>
      </w:pPr>
    </w:p>
    <w:p w:rsidR="005D006A" w:rsidRDefault="00732A9F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La APV</w:t>
      </w:r>
      <w:r w:rsidR="005D006A" w:rsidRPr="00F33EF2">
        <w:rPr>
          <w:bCs/>
        </w:rPr>
        <w:t xml:space="preserve"> </w:t>
      </w:r>
      <w:r w:rsidR="005D006A">
        <w:rPr>
          <w:bCs/>
        </w:rPr>
        <w:t xml:space="preserve">debería publicar en su </w:t>
      </w:r>
      <w:r w:rsidR="00236AF5">
        <w:rPr>
          <w:bCs/>
        </w:rPr>
        <w:t>web institucional</w:t>
      </w:r>
      <w:r w:rsidR="005D006A">
        <w:rPr>
          <w:bCs/>
        </w:rPr>
        <w:t xml:space="preserve"> las resoluciones que deniegan el acceso a la información por aplicación de los límites del artículo 14, según lo dispuesto por el artículo 14.3 de la LTAIBG.</w:t>
      </w:r>
    </w:p>
    <w:p w:rsidR="005D006A" w:rsidRDefault="005D006A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</w:p>
    <w:p w:rsidR="005D006A" w:rsidRPr="008648E8" w:rsidRDefault="005D006A" w:rsidP="005D006A">
      <w:pPr>
        <w:pStyle w:val="Prrafodelista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ind w:left="644"/>
        <w:jc w:val="both"/>
        <w:rPr>
          <w:bCs/>
        </w:rPr>
      </w:pPr>
      <w:r>
        <w:rPr>
          <w:bCs/>
        </w:rPr>
        <w:t>En el caso de que no hubiese solicitudes denegadas por aplicación de estos límites debería indicarse expresamente esta circunstancia.</w:t>
      </w:r>
    </w:p>
    <w:p w:rsidR="00F34803" w:rsidRDefault="00F34803" w:rsidP="00F34803">
      <w:pPr>
        <w:pStyle w:val="Prrafodelista"/>
        <w:ind w:left="644"/>
      </w:pPr>
    </w:p>
    <w:p w:rsidR="00732A9F" w:rsidRDefault="00732A9F" w:rsidP="00F34803">
      <w:pPr>
        <w:pStyle w:val="Prrafodelista"/>
        <w:ind w:left="644"/>
      </w:pPr>
    </w:p>
    <w:p w:rsidR="00732A9F" w:rsidRDefault="00732A9F" w:rsidP="00F34803">
      <w:pPr>
        <w:pStyle w:val="Prrafodelista"/>
        <w:ind w:left="644"/>
      </w:pPr>
    </w:p>
    <w:p w:rsidR="00732A9F" w:rsidRDefault="00732A9F" w:rsidP="00F34803">
      <w:pPr>
        <w:pStyle w:val="Prrafodelista"/>
        <w:ind w:left="644"/>
      </w:pPr>
    </w:p>
    <w:p w:rsidR="00DE6A97" w:rsidRDefault="00DE6A97" w:rsidP="00F34803">
      <w:pPr>
        <w:pStyle w:val="Prrafodelista"/>
        <w:ind w:left="644"/>
      </w:pPr>
    </w:p>
    <w:p w:rsidR="00F34803" w:rsidRPr="001018C9" w:rsidRDefault="00F34803" w:rsidP="005A0354">
      <w:pPr>
        <w:pStyle w:val="Prrafodelista"/>
        <w:numPr>
          <w:ilvl w:val="0"/>
          <w:numId w:val="9"/>
        </w:numPr>
        <w:ind w:left="709"/>
      </w:pPr>
      <w:r w:rsidRPr="00B70DBD">
        <w:rPr>
          <w:rStyle w:val="Ttulo2Car"/>
          <w:color w:val="00642D"/>
          <w:sz w:val="22"/>
          <w:szCs w:val="22"/>
          <w:lang w:bidi="es-ES"/>
        </w:rPr>
        <w:lastRenderedPageBreak/>
        <w:t>Respecto de la localización de la información y facilidad de acceso al ejercicio del derecho.</w:t>
      </w:r>
    </w:p>
    <w:p w:rsidR="00F34803" w:rsidRDefault="00F34803" w:rsidP="00F34803">
      <w:pPr>
        <w:pStyle w:val="Prrafodelista"/>
        <w:ind w:left="644"/>
      </w:pPr>
    </w:p>
    <w:p w:rsidR="00A52CEF" w:rsidRDefault="00F34803" w:rsidP="00A52CEF">
      <w:pPr>
        <w:pStyle w:val="Prrafodelista"/>
        <w:ind w:left="644"/>
        <w:jc w:val="both"/>
      </w:pPr>
      <w:r>
        <w:t xml:space="preserve">Como se ha indicado, </w:t>
      </w:r>
      <w:r w:rsidR="00732A9F">
        <w:t>la APV</w:t>
      </w:r>
      <w:r w:rsidR="005D006A">
        <w:t xml:space="preserve"> dispone de un espacio en su web institucional que facilit</w:t>
      </w:r>
      <w:r w:rsidR="00DE6A97">
        <w:t>a</w:t>
      </w:r>
      <w:r w:rsidR="005D006A">
        <w:t xml:space="preserve"> el ejercicio del derecho de acceso a la información. </w:t>
      </w:r>
      <w:r w:rsidR="00DE6A97">
        <w:t>S</w:t>
      </w:r>
      <w:r w:rsidR="005D006A">
        <w:t xml:space="preserve">e informa sobre la posibilidad de que los ciudadanos efectúen solicitudes de acceso a información pública dirigidas a la entidad y </w:t>
      </w:r>
      <w:r w:rsidR="00DE6A97">
        <w:t>también</w:t>
      </w:r>
      <w:r w:rsidR="005D006A">
        <w:t xml:space="preserve"> sobre los medios</w:t>
      </w:r>
      <w:r w:rsidR="00DE6A97">
        <w:t xml:space="preserve"> de presentación de solicitudes y los </w:t>
      </w:r>
      <w:r w:rsidR="005D006A">
        <w:t xml:space="preserve"> requisitos </w:t>
      </w:r>
      <w:r w:rsidR="00DE6A97">
        <w:t xml:space="preserve">exigidos. </w:t>
      </w:r>
    </w:p>
    <w:p w:rsidR="00A52CEF" w:rsidRDefault="00A52CEF" w:rsidP="00A52CEF">
      <w:pPr>
        <w:pStyle w:val="Prrafodelista"/>
        <w:ind w:left="644"/>
        <w:jc w:val="both"/>
      </w:pPr>
      <w:r>
        <w:t xml:space="preserve">Como canales de presentación, se alude expresamente </w:t>
      </w:r>
      <w:r w:rsidR="00732A9F">
        <w:t>a la sede electrónica, al</w:t>
      </w:r>
      <w:r>
        <w:t xml:space="preserve"> correo </w:t>
      </w:r>
      <w:r w:rsidR="00732A9F">
        <w:t>ordinario</w:t>
      </w:r>
      <w:r>
        <w:t xml:space="preserve"> y a la presentación </w:t>
      </w:r>
      <w:r w:rsidR="00732A9F">
        <w:t>presencial</w:t>
      </w:r>
      <w:r>
        <w:t xml:space="preserve">. También se indica, que la presentación podrá realizarse por los medios </w:t>
      </w:r>
      <w:r w:rsidR="00732A9F">
        <w:t>contemplados en la Ley 39/2015</w:t>
      </w:r>
    </w:p>
    <w:p w:rsidR="00393F8C" w:rsidRDefault="00393F8C" w:rsidP="005D006A">
      <w:pPr>
        <w:pStyle w:val="Prrafodelista"/>
        <w:ind w:left="644"/>
      </w:pPr>
    </w:p>
    <w:p w:rsidR="00F34803" w:rsidRPr="00B70DBD" w:rsidRDefault="00F34803" w:rsidP="005A0354">
      <w:pPr>
        <w:pStyle w:val="Prrafodelista"/>
        <w:numPr>
          <w:ilvl w:val="0"/>
          <w:numId w:val="8"/>
        </w:numPr>
        <w:ind w:left="709"/>
        <w:jc w:val="both"/>
        <w:rPr>
          <w:rStyle w:val="Ttulo2Car"/>
          <w:color w:val="00642D"/>
          <w:sz w:val="22"/>
          <w:szCs w:val="22"/>
          <w:lang w:bidi="es-ES"/>
        </w:rPr>
      </w:pPr>
      <w:r w:rsidRPr="00B70DBD">
        <w:rPr>
          <w:rStyle w:val="Ttulo2Car"/>
          <w:color w:val="00642D"/>
          <w:sz w:val="22"/>
          <w:szCs w:val="22"/>
          <w:lang w:bidi="es-ES"/>
        </w:rPr>
        <w:t>Respecto de la gestión de las solicitudes de acceso</w:t>
      </w:r>
    </w:p>
    <w:p w:rsidR="00F34803" w:rsidRDefault="00F34803" w:rsidP="00F34803">
      <w:pPr>
        <w:pStyle w:val="Prrafodelista"/>
        <w:ind w:left="644"/>
        <w:jc w:val="both"/>
      </w:pPr>
    </w:p>
    <w:p w:rsidR="00B31C4E" w:rsidRPr="00393F8C" w:rsidRDefault="00F34803" w:rsidP="002E0A33">
      <w:pPr>
        <w:pStyle w:val="Prrafodelista"/>
        <w:ind w:left="426"/>
        <w:jc w:val="both"/>
      </w:pPr>
      <w:r w:rsidRPr="00393F8C">
        <w:t>La gestión de la solicitud de acceso presentada se ha ajustado al procedimiento establecido po</w:t>
      </w:r>
      <w:r w:rsidR="00A915A2" w:rsidRPr="00393F8C">
        <w:t xml:space="preserve">r la LTAIBG. </w:t>
      </w:r>
      <w:r w:rsidR="002E0A33" w:rsidRPr="00393F8C">
        <w:t xml:space="preserve">La resolución </w:t>
      </w:r>
      <w:r w:rsidR="00393F8C">
        <w:t>dictada</w:t>
      </w:r>
      <w:r w:rsidR="002E0A33" w:rsidRPr="00393F8C">
        <w:t xml:space="preserve"> </w:t>
      </w:r>
      <w:r w:rsidR="00393F8C">
        <w:t xml:space="preserve">por </w:t>
      </w:r>
      <w:r w:rsidR="003A260E" w:rsidRPr="00393F8C">
        <w:rPr>
          <w:lang w:bidi="es-ES"/>
        </w:rPr>
        <w:t xml:space="preserve">el </w:t>
      </w:r>
      <w:r w:rsidR="00732A9F">
        <w:rPr>
          <w:lang w:bidi="es-ES"/>
        </w:rPr>
        <w:t>Presidente</w:t>
      </w:r>
      <w:r w:rsidR="003A260E" w:rsidRPr="00393F8C">
        <w:t xml:space="preserve"> </w:t>
      </w:r>
      <w:r w:rsidR="002E0A33" w:rsidRPr="00393F8C">
        <w:t>está motivada y correctamente estructurada, es clara y compr</w:t>
      </w:r>
      <w:r w:rsidR="0063118A" w:rsidRPr="00393F8C">
        <w:t>ensible</w:t>
      </w:r>
      <w:r w:rsidR="00FC2FB9" w:rsidRPr="00393F8C">
        <w:t xml:space="preserve"> e</w:t>
      </w:r>
      <w:r w:rsidR="0063118A" w:rsidRPr="00393F8C">
        <w:t xml:space="preserve"> incluye pie de recurso.</w:t>
      </w:r>
      <w:r w:rsidR="00DF6C30" w:rsidRPr="00393F8C">
        <w:t xml:space="preserve"> </w:t>
      </w:r>
    </w:p>
    <w:p w:rsidR="00E541AF" w:rsidRDefault="0063118A" w:rsidP="00732A9F">
      <w:pPr>
        <w:tabs>
          <w:tab w:val="left" w:pos="426"/>
        </w:tabs>
        <w:ind w:left="426"/>
        <w:contextualSpacing/>
        <w:jc w:val="both"/>
      </w:pPr>
      <w:r w:rsidRPr="00393F8C">
        <w:t>L</w:t>
      </w:r>
      <w:r w:rsidR="00D84B7B" w:rsidRPr="00393F8C">
        <w:t xml:space="preserve">a información se proporciona </w:t>
      </w:r>
      <w:r w:rsidR="003A260E" w:rsidRPr="00393F8C">
        <w:t xml:space="preserve">en el momento de la notificación </w:t>
      </w:r>
      <w:r w:rsidR="00732A9F">
        <w:t xml:space="preserve">y </w:t>
      </w:r>
      <w:r w:rsidR="00AF6C5C" w:rsidRPr="00393F8C">
        <w:t>en el formato solicitado</w:t>
      </w:r>
      <w:r w:rsidR="00732A9F">
        <w:t>.</w:t>
      </w:r>
    </w:p>
    <w:p w:rsidR="00732A9F" w:rsidRPr="00D84B7B" w:rsidRDefault="00732A9F" w:rsidP="00732A9F">
      <w:pPr>
        <w:tabs>
          <w:tab w:val="left" w:pos="426"/>
        </w:tabs>
        <w:ind w:left="426"/>
        <w:contextualSpacing/>
        <w:jc w:val="both"/>
      </w:pPr>
    </w:p>
    <w:p w:rsidR="00B40246" w:rsidRDefault="00B40246" w:rsidP="00D84B7B">
      <w:pPr>
        <w:pStyle w:val="Prrafodelista"/>
        <w:ind w:left="644"/>
        <w:jc w:val="both"/>
      </w:pPr>
    </w:p>
    <w:p w:rsidR="007B7889" w:rsidRDefault="007B7889" w:rsidP="007B7889">
      <w:pPr>
        <w:pStyle w:val="Prrafodelista"/>
        <w:ind w:left="7724" w:firstLine="64"/>
        <w:jc w:val="both"/>
      </w:pPr>
      <w:r>
        <w:t xml:space="preserve">Madrid, </w:t>
      </w:r>
      <w:r w:rsidR="00732A9F">
        <w:t>junio</w:t>
      </w:r>
      <w:r>
        <w:t xml:space="preserve"> de 2023</w:t>
      </w:r>
    </w:p>
    <w:sectPr w:rsidR="007B7889" w:rsidSect="00DF63E7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186" w:rsidRDefault="00690186" w:rsidP="00932008">
      <w:pPr>
        <w:spacing w:after="0" w:line="240" w:lineRule="auto"/>
      </w:pPr>
      <w:r>
        <w:separator/>
      </w:r>
    </w:p>
  </w:endnote>
  <w:endnote w:type="continuationSeparator" w:id="0">
    <w:p w:rsidR="00690186" w:rsidRDefault="00690186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4071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690186" w:rsidRPr="00C533E7" w:rsidRDefault="00690186">
        <w:pPr>
          <w:pStyle w:val="Piedepgina"/>
          <w:jc w:val="right"/>
          <w:rPr>
            <w:sz w:val="18"/>
            <w:szCs w:val="18"/>
          </w:rPr>
        </w:pPr>
        <w:r w:rsidRPr="00C533E7">
          <w:rPr>
            <w:sz w:val="18"/>
            <w:szCs w:val="18"/>
          </w:rPr>
          <w:fldChar w:fldCharType="begin"/>
        </w:r>
        <w:r w:rsidRPr="00C533E7">
          <w:rPr>
            <w:sz w:val="18"/>
            <w:szCs w:val="18"/>
          </w:rPr>
          <w:instrText>PAGE   \* MERGEFORMAT</w:instrText>
        </w:r>
        <w:r w:rsidRPr="00C533E7">
          <w:rPr>
            <w:sz w:val="18"/>
            <w:szCs w:val="18"/>
          </w:rPr>
          <w:fldChar w:fldCharType="separate"/>
        </w:r>
        <w:r w:rsidR="00A43A6B">
          <w:rPr>
            <w:noProof/>
            <w:sz w:val="18"/>
            <w:szCs w:val="18"/>
          </w:rPr>
          <w:t>3</w:t>
        </w:r>
        <w:r w:rsidRPr="00C533E7">
          <w:rPr>
            <w:sz w:val="18"/>
            <w:szCs w:val="18"/>
          </w:rPr>
          <w:fldChar w:fldCharType="end"/>
        </w:r>
      </w:p>
    </w:sdtContent>
  </w:sdt>
  <w:p w:rsidR="00690186" w:rsidRDefault="006901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186" w:rsidRDefault="00690186" w:rsidP="00932008">
      <w:pPr>
        <w:spacing w:after="0" w:line="240" w:lineRule="auto"/>
      </w:pPr>
      <w:r>
        <w:separator/>
      </w:r>
    </w:p>
  </w:footnote>
  <w:footnote w:type="continuationSeparator" w:id="0">
    <w:p w:rsidR="00690186" w:rsidRDefault="00690186" w:rsidP="0093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14" type="#_x0000_t75" style="width:9pt;height:9pt" o:bullet="t">
        <v:imagedata r:id="rId1" o:title="BD14533_"/>
      </v:shape>
    </w:pict>
  </w:numPicBullet>
  <w:abstractNum w:abstractNumId="0">
    <w:nsid w:val="00212285"/>
    <w:multiLevelType w:val="hybridMultilevel"/>
    <w:tmpl w:val="0810C892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7FA"/>
    <w:multiLevelType w:val="hybridMultilevel"/>
    <w:tmpl w:val="07C0C4A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1437"/>
    <w:multiLevelType w:val="hybridMultilevel"/>
    <w:tmpl w:val="41C0F3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53"/>
    <w:multiLevelType w:val="hybridMultilevel"/>
    <w:tmpl w:val="DA1E6A24"/>
    <w:lvl w:ilvl="0" w:tplc="B7C2270E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1BB51E8"/>
    <w:multiLevelType w:val="hybridMultilevel"/>
    <w:tmpl w:val="0914B1B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40E4D"/>
    <w:multiLevelType w:val="hybridMultilevel"/>
    <w:tmpl w:val="BD6EB5AA"/>
    <w:lvl w:ilvl="0" w:tplc="8E12CA6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3CC708F"/>
    <w:multiLevelType w:val="hybridMultilevel"/>
    <w:tmpl w:val="018EFDD2"/>
    <w:lvl w:ilvl="0" w:tplc="117C1058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008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46CA4154"/>
    <w:lvl w:ilvl="0" w:tplc="340E6440">
      <w:start w:val="5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1691A"/>
    <w:rsid w:val="000262A3"/>
    <w:rsid w:val="000266FD"/>
    <w:rsid w:val="00032FA6"/>
    <w:rsid w:val="00046805"/>
    <w:rsid w:val="00055B15"/>
    <w:rsid w:val="00056B19"/>
    <w:rsid w:val="00076680"/>
    <w:rsid w:val="000965B3"/>
    <w:rsid w:val="000A1C07"/>
    <w:rsid w:val="000B0A0D"/>
    <w:rsid w:val="000B2A81"/>
    <w:rsid w:val="000C6CFF"/>
    <w:rsid w:val="00102733"/>
    <w:rsid w:val="001252EE"/>
    <w:rsid w:val="0012783F"/>
    <w:rsid w:val="001561A4"/>
    <w:rsid w:val="00176A94"/>
    <w:rsid w:val="00194000"/>
    <w:rsid w:val="001B3D6A"/>
    <w:rsid w:val="001C238B"/>
    <w:rsid w:val="001D4699"/>
    <w:rsid w:val="001E1C29"/>
    <w:rsid w:val="001F251B"/>
    <w:rsid w:val="001F25E4"/>
    <w:rsid w:val="002260CC"/>
    <w:rsid w:val="00236AF5"/>
    <w:rsid w:val="00241D7A"/>
    <w:rsid w:val="00255A7E"/>
    <w:rsid w:val="00256215"/>
    <w:rsid w:val="002615D8"/>
    <w:rsid w:val="0026281C"/>
    <w:rsid w:val="002A154B"/>
    <w:rsid w:val="002A479C"/>
    <w:rsid w:val="002E0A33"/>
    <w:rsid w:val="003145AD"/>
    <w:rsid w:val="00334115"/>
    <w:rsid w:val="00340559"/>
    <w:rsid w:val="00341F8F"/>
    <w:rsid w:val="0038280F"/>
    <w:rsid w:val="00393F8C"/>
    <w:rsid w:val="003A260E"/>
    <w:rsid w:val="003B5288"/>
    <w:rsid w:val="003F271E"/>
    <w:rsid w:val="003F572A"/>
    <w:rsid w:val="00411640"/>
    <w:rsid w:val="00447511"/>
    <w:rsid w:val="004537FB"/>
    <w:rsid w:val="004A123A"/>
    <w:rsid w:val="004A133A"/>
    <w:rsid w:val="004A706B"/>
    <w:rsid w:val="004B4DC3"/>
    <w:rsid w:val="004D6E73"/>
    <w:rsid w:val="004F2655"/>
    <w:rsid w:val="00531D64"/>
    <w:rsid w:val="00544004"/>
    <w:rsid w:val="005446A8"/>
    <w:rsid w:val="00561402"/>
    <w:rsid w:val="0057532F"/>
    <w:rsid w:val="00577A83"/>
    <w:rsid w:val="00595AAF"/>
    <w:rsid w:val="005A0354"/>
    <w:rsid w:val="005A2AD2"/>
    <w:rsid w:val="005B1F0E"/>
    <w:rsid w:val="005B3C15"/>
    <w:rsid w:val="005D006A"/>
    <w:rsid w:val="005E37C8"/>
    <w:rsid w:val="00610D8A"/>
    <w:rsid w:val="00626819"/>
    <w:rsid w:val="0063118A"/>
    <w:rsid w:val="00654162"/>
    <w:rsid w:val="00690186"/>
    <w:rsid w:val="006A2766"/>
    <w:rsid w:val="006A2E9A"/>
    <w:rsid w:val="00706E04"/>
    <w:rsid w:val="00707CFE"/>
    <w:rsid w:val="00710031"/>
    <w:rsid w:val="00727BA2"/>
    <w:rsid w:val="00732A9F"/>
    <w:rsid w:val="00741849"/>
    <w:rsid w:val="00743756"/>
    <w:rsid w:val="00786832"/>
    <w:rsid w:val="007932E6"/>
    <w:rsid w:val="007B0F99"/>
    <w:rsid w:val="007B1EF0"/>
    <w:rsid w:val="007B7889"/>
    <w:rsid w:val="007C57AB"/>
    <w:rsid w:val="007C5F74"/>
    <w:rsid w:val="007D6B40"/>
    <w:rsid w:val="007F4BBB"/>
    <w:rsid w:val="0080645C"/>
    <w:rsid w:val="00815659"/>
    <w:rsid w:val="008207D9"/>
    <w:rsid w:val="00832D4F"/>
    <w:rsid w:val="00833900"/>
    <w:rsid w:val="00844FA9"/>
    <w:rsid w:val="008839AB"/>
    <w:rsid w:val="008C1E1E"/>
    <w:rsid w:val="00904E47"/>
    <w:rsid w:val="00923092"/>
    <w:rsid w:val="009239D9"/>
    <w:rsid w:val="00930638"/>
    <w:rsid w:val="00932008"/>
    <w:rsid w:val="009609E9"/>
    <w:rsid w:val="0096522C"/>
    <w:rsid w:val="00983919"/>
    <w:rsid w:val="009913A5"/>
    <w:rsid w:val="00A351F7"/>
    <w:rsid w:val="00A41DD5"/>
    <w:rsid w:val="00A43A6B"/>
    <w:rsid w:val="00A52CEF"/>
    <w:rsid w:val="00A544D3"/>
    <w:rsid w:val="00A8003E"/>
    <w:rsid w:val="00A915A2"/>
    <w:rsid w:val="00AB4742"/>
    <w:rsid w:val="00AC109E"/>
    <w:rsid w:val="00AC715D"/>
    <w:rsid w:val="00AC7259"/>
    <w:rsid w:val="00AD1B67"/>
    <w:rsid w:val="00AD1DBF"/>
    <w:rsid w:val="00AE1CBE"/>
    <w:rsid w:val="00AE788F"/>
    <w:rsid w:val="00AF6C5C"/>
    <w:rsid w:val="00B108F0"/>
    <w:rsid w:val="00B31C4E"/>
    <w:rsid w:val="00B378E2"/>
    <w:rsid w:val="00B40246"/>
    <w:rsid w:val="00B5583D"/>
    <w:rsid w:val="00B812AB"/>
    <w:rsid w:val="00B841AE"/>
    <w:rsid w:val="00B84669"/>
    <w:rsid w:val="00BA266E"/>
    <w:rsid w:val="00BB63C9"/>
    <w:rsid w:val="00BB6799"/>
    <w:rsid w:val="00BD41F9"/>
    <w:rsid w:val="00BD4582"/>
    <w:rsid w:val="00BE6A46"/>
    <w:rsid w:val="00BF5EDE"/>
    <w:rsid w:val="00C02768"/>
    <w:rsid w:val="00C25AF5"/>
    <w:rsid w:val="00C33A23"/>
    <w:rsid w:val="00C34BB5"/>
    <w:rsid w:val="00C4479B"/>
    <w:rsid w:val="00C533E7"/>
    <w:rsid w:val="00C5744D"/>
    <w:rsid w:val="00C627FB"/>
    <w:rsid w:val="00CB5511"/>
    <w:rsid w:val="00CB7518"/>
    <w:rsid w:val="00CC2049"/>
    <w:rsid w:val="00CC587B"/>
    <w:rsid w:val="00CC610D"/>
    <w:rsid w:val="00CD0605"/>
    <w:rsid w:val="00D41FBA"/>
    <w:rsid w:val="00D445A7"/>
    <w:rsid w:val="00D52E43"/>
    <w:rsid w:val="00D74E79"/>
    <w:rsid w:val="00D84B7B"/>
    <w:rsid w:val="00D93A14"/>
    <w:rsid w:val="00D96F84"/>
    <w:rsid w:val="00DA4FE5"/>
    <w:rsid w:val="00DA5100"/>
    <w:rsid w:val="00DB76AF"/>
    <w:rsid w:val="00DC0848"/>
    <w:rsid w:val="00DD3E02"/>
    <w:rsid w:val="00DE4AA9"/>
    <w:rsid w:val="00DE6A97"/>
    <w:rsid w:val="00DF2ACE"/>
    <w:rsid w:val="00DF4D57"/>
    <w:rsid w:val="00DF63E7"/>
    <w:rsid w:val="00DF6C30"/>
    <w:rsid w:val="00E3088D"/>
    <w:rsid w:val="00E34195"/>
    <w:rsid w:val="00E4702F"/>
    <w:rsid w:val="00E47613"/>
    <w:rsid w:val="00E541AF"/>
    <w:rsid w:val="00E569FD"/>
    <w:rsid w:val="00E57E17"/>
    <w:rsid w:val="00ED3EAD"/>
    <w:rsid w:val="00EE3509"/>
    <w:rsid w:val="00EE5BDF"/>
    <w:rsid w:val="00F14DA4"/>
    <w:rsid w:val="00F34803"/>
    <w:rsid w:val="00F47C3B"/>
    <w:rsid w:val="00F50AE2"/>
    <w:rsid w:val="00F71D7D"/>
    <w:rsid w:val="00F7263F"/>
    <w:rsid w:val="00F76499"/>
    <w:rsid w:val="00F900E1"/>
    <w:rsid w:val="00F95C49"/>
    <w:rsid w:val="00FA5A3E"/>
    <w:rsid w:val="00FB4CB5"/>
    <w:rsid w:val="00FC2FB9"/>
    <w:rsid w:val="00FD5B21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90186"/>
    <w:pPr>
      <w:spacing w:after="0" w:line="240" w:lineRule="auto"/>
    </w:pPr>
    <w:rPr>
      <w:rFonts w:eastAsia="Georg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B8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411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7B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BA2"/>
    <w:rPr>
      <w:rFonts w:ascii="Century Gothic" w:hAnsi="Century Gothic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BA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8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8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819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8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819"/>
    <w:rPr>
      <w:rFonts w:ascii="Century Gothic" w:hAnsi="Century Gothic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1E1C2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A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90186"/>
    <w:pPr>
      <w:spacing w:after="0" w:line="240" w:lineRule="auto"/>
    </w:pPr>
    <w:rPr>
      <w:rFonts w:eastAsia="Georg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F4720550BB74C508F8088AA887A2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A9C-11C2-4FB9-9770-97F98D530D5F}"/>
      </w:docPartPr>
      <w:docPartBody>
        <w:p w:rsidR="00E147F2" w:rsidRDefault="00E147F2" w:rsidP="00E147F2">
          <w:pPr>
            <w:pStyle w:val="8F4720550BB74C508F8088AA887A206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A62AE5DAEDBD4B3592F8881F087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72A-BBEC-48C6-9FF2-DF5329547F5C}"/>
      </w:docPartPr>
      <w:docPartBody>
        <w:p w:rsidR="00E147F2" w:rsidRDefault="00E147F2" w:rsidP="00E147F2">
          <w:pPr>
            <w:pStyle w:val="A62AE5DAEDBD4B3592F8881F087FFB1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0093F7CCA03424CB7F48332D2DA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440B-7C4D-48E4-A504-746333F1AA86}"/>
      </w:docPartPr>
      <w:docPartBody>
        <w:p w:rsidR="00E147F2" w:rsidRDefault="00E147F2" w:rsidP="00E147F2">
          <w:pPr>
            <w:pStyle w:val="D0093F7CCA03424CB7F48332D2DADFBC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D1B12810E674B789E9273833A80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847B3-43C0-463E-9818-9F75A372C2C5}"/>
      </w:docPartPr>
      <w:docPartBody>
        <w:p w:rsidR="002C7AFA" w:rsidRDefault="002C7AFA" w:rsidP="002C7AFA">
          <w:pPr>
            <w:pStyle w:val="0D1B12810E674B789E9273833A80B3B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98DB7F0835414356B53154A5A4F8C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FB1B4-A5DF-4D02-810D-AC979EAF5C47}"/>
      </w:docPartPr>
      <w:docPartBody>
        <w:p w:rsidR="002C7AFA" w:rsidRDefault="002C7AFA" w:rsidP="002C7AFA">
          <w:pPr>
            <w:pStyle w:val="98DB7F0835414356B53154A5A4F8C31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8B979E0795F94610A8B6D30CD966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5854-DEE5-4E51-92B7-8221416CECCD}"/>
      </w:docPartPr>
      <w:docPartBody>
        <w:p w:rsidR="00E16D50" w:rsidRDefault="00E5085E" w:rsidP="00E5085E">
          <w:pPr>
            <w:pStyle w:val="8B979E0795F94610A8B6D30CD9660B09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13771E"/>
    <w:rsid w:val="001D72A6"/>
    <w:rsid w:val="00274CEE"/>
    <w:rsid w:val="002A5B0E"/>
    <w:rsid w:val="002A69E7"/>
    <w:rsid w:val="002C1748"/>
    <w:rsid w:val="002C7AFA"/>
    <w:rsid w:val="00317E39"/>
    <w:rsid w:val="003D088C"/>
    <w:rsid w:val="004437AC"/>
    <w:rsid w:val="00543A52"/>
    <w:rsid w:val="00546DCA"/>
    <w:rsid w:val="00602B9C"/>
    <w:rsid w:val="006D7969"/>
    <w:rsid w:val="0087096B"/>
    <w:rsid w:val="00A80EAD"/>
    <w:rsid w:val="00AB1850"/>
    <w:rsid w:val="00AB757F"/>
    <w:rsid w:val="00C20906"/>
    <w:rsid w:val="00C26568"/>
    <w:rsid w:val="00C60DC9"/>
    <w:rsid w:val="00D35513"/>
    <w:rsid w:val="00DC5AD7"/>
    <w:rsid w:val="00E147F2"/>
    <w:rsid w:val="00E16D50"/>
    <w:rsid w:val="00E30568"/>
    <w:rsid w:val="00E5085E"/>
    <w:rsid w:val="00E83D79"/>
    <w:rsid w:val="00F61404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0DC9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BB90F30E9C6E4AB2881CC2C16C32DEEB">
    <w:name w:val="BB90F30E9C6E4AB2881CC2C16C32DEEB"/>
    <w:rsid w:val="00E147F2"/>
  </w:style>
  <w:style w:type="paragraph" w:customStyle="1" w:styleId="8F4720550BB74C508F8088AA887A2061">
    <w:name w:val="8F4720550BB74C508F8088AA887A2061"/>
    <w:rsid w:val="00E147F2"/>
  </w:style>
  <w:style w:type="paragraph" w:customStyle="1" w:styleId="A62AE5DAEDBD4B3592F8881F087FFB16">
    <w:name w:val="A62AE5DAEDBD4B3592F8881F087FFB16"/>
    <w:rsid w:val="00E147F2"/>
  </w:style>
  <w:style w:type="paragraph" w:customStyle="1" w:styleId="D0093F7CCA03424CB7F48332D2DADFBC">
    <w:name w:val="D0093F7CCA03424CB7F48332D2DADFBC"/>
    <w:rsid w:val="00E147F2"/>
  </w:style>
  <w:style w:type="paragraph" w:customStyle="1" w:styleId="E8D3F72821DE43D8A19B8EC903E6447F">
    <w:name w:val="E8D3F72821DE43D8A19B8EC903E6447F"/>
    <w:rsid w:val="002C7AFA"/>
  </w:style>
  <w:style w:type="paragraph" w:customStyle="1" w:styleId="22C904378EFB4DB2887BA99FB08175AC">
    <w:name w:val="22C904378EFB4DB2887BA99FB08175AC"/>
    <w:rsid w:val="002C7AFA"/>
  </w:style>
  <w:style w:type="paragraph" w:customStyle="1" w:styleId="C393F1DC6802496EBA8680C4DDC57750">
    <w:name w:val="C393F1DC6802496EBA8680C4DDC57750"/>
    <w:rsid w:val="002C7AFA"/>
  </w:style>
  <w:style w:type="paragraph" w:customStyle="1" w:styleId="9F87003F31EC47A8B7E4EC1AF5949FD0">
    <w:name w:val="9F87003F31EC47A8B7E4EC1AF5949FD0"/>
    <w:rsid w:val="002C7AFA"/>
  </w:style>
  <w:style w:type="paragraph" w:customStyle="1" w:styleId="0D1B12810E674B789E9273833A80B3B3">
    <w:name w:val="0D1B12810E674B789E9273833A80B3B3"/>
    <w:rsid w:val="002C7AFA"/>
  </w:style>
  <w:style w:type="paragraph" w:customStyle="1" w:styleId="98DB7F0835414356B53154A5A4F8C311">
    <w:name w:val="98DB7F0835414356B53154A5A4F8C311"/>
    <w:rsid w:val="002C7AFA"/>
  </w:style>
  <w:style w:type="paragraph" w:customStyle="1" w:styleId="8B979E0795F94610A8B6D30CD9660B09">
    <w:name w:val="8B979E0795F94610A8B6D30CD9660B09"/>
    <w:rsid w:val="00E5085E"/>
  </w:style>
  <w:style w:type="paragraph" w:customStyle="1" w:styleId="A696AEA18169457E89A8D4D8E1BBEE4F">
    <w:name w:val="A696AEA18169457E89A8D4D8E1BBEE4F"/>
    <w:rsid w:val="00C6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DB998C-C71A-4330-AA42-2BF37DED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34</TotalTime>
  <Pages>4</Pages>
  <Words>900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4</cp:revision>
  <cp:lastPrinted>2007-10-26T10:03:00Z</cp:lastPrinted>
  <dcterms:created xsi:type="dcterms:W3CDTF">2023-06-28T09:43:00Z</dcterms:created>
  <dcterms:modified xsi:type="dcterms:W3CDTF">2023-07-14T09:16:00Z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