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B16390" w:rsidRDefault="00B1639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B16390" w:rsidRPr="00006957" w:rsidRDefault="00B1639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16390" w:rsidRDefault="00B1639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16390" w:rsidRPr="00006957" w:rsidRDefault="00B1639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6390" w:rsidRDefault="00B1639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16390" w:rsidRDefault="00B1639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CF48F2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Confederación Hidrográfica del Ebro (CHE)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023F1" w:rsidP="00CF4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48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/0</w:t>
            </w:r>
            <w:r w:rsidR="00B15F0F">
              <w:rPr>
                <w:sz w:val="24"/>
                <w:szCs w:val="24"/>
              </w:rPr>
              <w:t>6/2023</w:t>
            </w:r>
          </w:p>
        </w:tc>
      </w:tr>
    </w:tbl>
    <w:p w:rsidR="00BA266E" w:rsidRDefault="00BA266E"/>
    <w:p w:rsidR="00561402" w:rsidRPr="0012783F" w:rsidRDefault="00B16390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0672AA" w:rsidRDefault="00CF48F2" w:rsidP="000672A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CHE no ha remitido información sobre la actividad generada en 2022 por las solicitudes de acceso a información pública del organismo.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B16390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CF48F2" w:rsidRDefault="00CF48F2" w:rsidP="00CF48F2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CHE no ha remitido información sobre la actividad generada en 2022 por las solicitudes de acceso a información pública del organismo.</w:t>
      </w:r>
    </w:p>
    <w:p w:rsidR="00BE7366" w:rsidRDefault="00FD10A6" w:rsidP="002A4E0D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CF48F2">
        <w:rPr>
          <w:rStyle w:val="Ttulo2Car"/>
          <w:b w:val="0"/>
          <w:color w:val="auto"/>
          <w:sz w:val="22"/>
          <w:szCs w:val="22"/>
          <w:lang w:bidi="es-ES"/>
        </w:rPr>
        <w:t>CHE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 publica  en su web institucional, las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577A83" w:rsidRDefault="00577A8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B16390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B62022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web de </w:t>
      </w:r>
      <w:r w:rsidR="00FD10A6"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B16390">
        <w:rPr>
          <w:rStyle w:val="Ttulo2Car"/>
          <w:b w:val="0"/>
          <w:color w:val="auto"/>
          <w:sz w:val="22"/>
          <w:szCs w:val="22"/>
          <w:lang w:bidi="es-ES"/>
        </w:rPr>
        <w:t>CHE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carece de un acceso específico para la presentación de las solicitudes de acceso a información pública.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En consecuencia, 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</w:t>
      </w:r>
      <w:r w:rsidR="00AF65F3">
        <w:rPr>
          <w:rStyle w:val="Ttulo2Car"/>
          <w:b w:val="0"/>
          <w:color w:val="auto"/>
          <w:sz w:val="22"/>
          <w:szCs w:val="22"/>
          <w:lang w:bidi="es-ES"/>
        </w:rPr>
        <w:t>de la sociedad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B1639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BE7366">
        <w:rPr>
          <w:color w:val="auto"/>
          <w:lang w:bidi="es-ES"/>
        </w:rPr>
        <w:t>0</w:t>
      </w:r>
      <w:r w:rsidR="00FD10A6">
        <w:rPr>
          <w:color w:val="auto"/>
          <w:lang w:bidi="es-ES"/>
        </w:rPr>
        <w:t>5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</w:t>
      </w:r>
      <w:r w:rsidR="00FD10A6">
        <w:rPr>
          <w:color w:val="auto"/>
          <w:lang w:bidi="es-ES"/>
        </w:rPr>
        <w:t>,</w:t>
      </w:r>
      <w:r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FD10A6">
        <w:rPr>
          <w:color w:val="auto"/>
          <w:lang w:bidi="es-ES"/>
        </w:rPr>
        <w:t>Registro Electrónico General</w:t>
      </w:r>
      <w:r w:rsidR="00BE7366">
        <w:rPr>
          <w:color w:val="auto"/>
          <w:lang w:bidi="es-ES"/>
        </w:rPr>
        <w:t xml:space="preserve">, </w:t>
      </w:r>
      <w:r w:rsidR="00E57E17">
        <w:rPr>
          <w:color w:val="auto"/>
          <w:lang w:bidi="es-ES"/>
        </w:rPr>
        <w:t xml:space="preserve"> una solicitud de acceso a información pública de </w:t>
      </w:r>
      <w:r w:rsidR="00FD10A6">
        <w:rPr>
          <w:color w:val="auto"/>
          <w:lang w:bidi="es-ES"/>
        </w:rPr>
        <w:t xml:space="preserve">la </w:t>
      </w:r>
      <w:r w:rsidR="00B16390">
        <w:rPr>
          <w:color w:val="auto"/>
          <w:lang w:bidi="es-ES"/>
        </w:rPr>
        <w:t>CHE</w:t>
      </w:r>
      <w:r w:rsidR="00AF65F3">
        <w:rPr>
          <w:color w:val="auto"/>
          <w:lang w:bidi="es-ES"/>
        </w:rPr>
        <w:t>.</w:t>
      </w:r>
      <w:r>
        <w:rPr>
          <w:color w:val="auto"/>
          <w:lang w:bidi="es-ES"/>
        </w:rPr>
        <w:t xml:space="preserve"> </w:t>
      </w:r>
      <w:r w:rsidR="00B62022">
        <w:rPr>
          <w:color w:val="auto"/>
          <w:lang w:bidi="es-ES"/>
        </w:rPr>
        <w:t>Con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FC285F" w:rsidRPr="00FC285F" w:rsidRDefault="00FC285F" w:rsidP="00FC285F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C285F">
        <w:rPr>
          <w:color w:val="auto"/>
          <w:lang w:bidi="es-ES"/>
        </w:rPr>
        <w:t>No se comunica el inicio de la tramitación de la solicitud</w:t>
      </w:r>
    </w:p>
    <w:p w:rsidR="00FC285F" w:rsidRPr="00FC285F" w:rsidRDefault="00FC285F" w:rsidP="00FC285F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FC285F">
        <w:rPr>
          <w:rStyle w:val="Ttulo2Car"/>
          <w:sz w:val="22"/>
          <w:szCs w:val="22"/>
        </w:rPr>
        <w:t>Resolución</w:t>
      </w:r>
    </w:p>
    <w:p w:rsidR="00B62022" w:rsidRPr="00DE6A97" w:rsidRDefault="00FD10A6" w:rsidP="00FD10A6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>
        <w:rPr>
          <w:color w:val="auto"/>
          <w:lang w:bidi="es-ES"/>
        </w:rPr>
        <w:t>No s</w:t>
      </w:r>
      <w:r w:rsidR="00B62022" w:rsidRPr="00DE6A97">
        <w:rPr>
          <w:color w:val="auto"/>
          <w:lang w:bidi="es-ES"/>
        </w:rPr>
        <w:t>e dicta resolución</w:t>
      </w:r>
      <w:r>
        <w:rPr>
          <w:color w:val="auto"/>
          <w:lang w:bidi="es-ES"/>
        </w:rPr>
        <w:t xml:space="preserve">. Mediante escrito notificado con fecha el </w:t>
      </w:r>
      <w:r w:rsidR="00B16390">
        <w:rPr>
          <w:color w:val="auto"/>
          <w:lang w:bidi="es-ES"/>
        </w:rPr>
        <w:t>07</w:t>
      </w:r>
      <w:r w:rsidR="00B62022" w:rsidRPr="00DE6A97">
        <w:rPr>
          <w:color w:val="auto"/>
          <w:lang w:bidi="es-ES"/>
        </w:rPr>
        <w:t>/0</w:t>
      </w:r>
      <w:r w:rsidR="00B16390">
        <w:rPr>
          <w:color w:val="auto"/>
          <w:lang w:bidi="es-ES"/>
        </w:rPr>
        <w:t>6</w:t>
      </w:r>
      <w:r w:rsidR="00B62022" w:rsidRPr="00DE6A97">
        <w:rPr>
          <w:color w:val="auto"/>
          <w:lang w:bidi="es-ES"/>
        </w:rPr>
        <w:t>/2023</w:t>
      </w:r>
      <w:r w:rsidR="00B16390">
        <w:rPr>
          <w:color w:val="auto"/>
          <w:lang w:bidi="es-ES"/>
        </w:rPr>
        <w:t xml:space="preserve"> – por lo tanto, fuera de plazo - </w:t>
      </w:r>
      <w:r>
        <w:rPr>
          <w:color w:val="auto"/>
          <w:lang w:bidi="es-ES"/>
        </w:rPr>
        <w:t xml:space="preserve"> se comunica que se concede el acceso a la información solicitada</w:t>
      </w:r>
      <w:r w:rsidR="00B62022" w:rsidRPr="00DE6A97">
        <w:rPr>
          <w:color w:val="auto"/>
          <w:lang w:bidi="es-ES"/>
        </w:rPr>
        <w:t xml:space="preserve">. </w:t>
      </w:r>
    </w:p>
    <w:p w:rsidR="00B62022" w:rsidRPr="00DE6A97" w:rsidRDefault="00B62022" w:rsidP="00B62022">
      <w:pPr>
        <w:pStyle w:val="Cuerpodelboletn"/>
        <w:numPr>
          <w:ilvl w:val="0"/>
          <w:numId w:val="6"/>
        </w:numPr>
        <w:spacing w:before="120" w:after="120" w:line="312" w:lineRule="auto"/>
        <w:ind w:left="1146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información se proporciona en </w:t>
      </w:r>
      <w:r>
        <w:rPr>
          <w:color w:val="auto"/>
          <w:lang w:bidi="es-ES"/>
        </w:rPr>
        <w:t xml:space="preserve">el momento de la notificación </w:t>
      </w:r>
      <w:r w:rsidR="00B16390">
        <w:rPr>
          <w:color w:val="auto"/>
          <w:lang w:bidi="es-ES"/>
        </w:rPr>
        <w:t>pero no</w:t>
      </w:r>
      <w:r>
        <w:rPr>
          <w:color w:val="auto"/>
          <w:lang w:bidi="es-ES"/>
        </w:rPr>
        <w:t xml:space="preserve"> en el formato solicitado</w:t>
      </w:r>
      <w:r w:rsidRPr="00DE6A97">
        <w:rPr>
          <w:color w:val="auto"/>
          <w:lang w:bidi="es-ES"/>
        </w:rPr>
        <w:t xml:space="preserve">. </w:t>
      </w:r>
    </w:p>
    <w:p w:rsidR="003A260E" w:rsidRDefault="003A260E" w:rsidP="00FC285F">
      <w:pPr>
        <w:pStyle w:val="Cuerpodelboletn"/>
        <w:spacing w:before="120" w:after="120" w:line="312" w:lineRule="auto"/>
        <w:ind w:left="567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FD10A6" w:rsidRDefault="00FD10A6" w:rsidP="00FD10A6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B16390">
        <w:rPr>
          <w:color w:val="auto"/>
        </w:rPr>
        <w:t>17</w:t>
      </w:r>
      <w:r>
        <w:rPr>
          <w:color w:val="auto"/>
        </w:rPr>
        <w:t xml:space="preserve"> reclamaciones contra resoluciones de la </w:t>
      </w:r>
      <w:r w:rsidR="00B16390">
        <w:rPr>
          <w:color w:val="auto"/>
        </w:rPr>
        <w:t>CHE</w:t>
      </w:r>
      <w:r>
        <w:rPr>
          <w:color w:val="auto"/>
        </w:rPr>
        <w:t xml:space="preserve"> en materia de acceso a la información pública. De ellas, </w:t>
      </w:r>
      <w:r w:rsidR="00B16390">
        <w:rPr>
          <w:color w:val="auto"/>
        </w:rPr>
        <w:t>6</w:t>
      </w:r>
      <w:r>
        <w:rPr>
          <w:color w:val="auto"/>
        </w:rPr>
        <w:t xml:space="preserve"> fue</w:t>
      </w:r>
      <w:r w:rsidR="00B16390">
        <w:rPr>
          <w:color w:val="auto"/>
        </w:rPr>
        <w:t>ron</w:t>
      </w:r>
      <w:r>
        <w:rPr>
          <w:color w:val="auto"/>
        </w:rPr>
        <w:t xml:space="preserve"> estimada</w:t>
      </w:r>
      <w:r w:rsidR="00B16390">
        <w:rPr>
          <w:color w:val="auto"/>
        </w:rPr>
        <w:t>s</w:t>
      </w:r>
      <w:r w:rsidRPr="004A133A">
        <w:t xml:space="preserve"> –</w:t>
      </w:r>
      <w:r>
        <w:t xml:space="preserve"> </w:t>
      </w:r>
      <w:r w:rsidR="00B16390">
        <w:t xml:space="preserve">en tres casos </w:t>
      </w:r>
      <w:r>
        <w:t xml:space="preserve">la </w:t>
      </w:r>
      <w:r w:rsidR="00B16390">
        <w:t>CHE</w:t>
      </w:r>
      <w:r>
        <w:t xml:space="preserve"> dio acceso a la información antes de finalizar el procedimiento de reclamación</w:t>
      </w:r>
      <w:r w:rsidR="00B16390">
        <w:t xml:space="preserve"> y en otro caso la estimación fue parcial</w:t>
      </w:r>
      <w:r w:rsidRPr="004A133A">
        <w:t xml:space="preserve"> -</w:t>
      </w:r>
      <w:r>
        <w:t xml:space="preserve">, </w:t>
      </w:r>
      <w:r w:rsidR="00B16390">
        <w:t>3</w:t>
      </w:r>
      <w:r>
        <w:t xml:space="preserve"> fue</w:t>
      </w:r>
      <w:r w:rsidR="00B16390">
        <w:t>ron</w:t>
      </w:r>
      <w:r>
        <w:t xml:space="preserve"> desestimada</w:t>
      </w:r>
      <w:r w:rsidR="00B16390">
        <w:t>s</w:t>
      </w:r>
      <w:r w:rsidR="005C0765">
        <w:t>,</w:t>
      </w:r>
      <w:r>
        <w:t xml:space="preserve"> </w:t>
      </w:r>
      <w:r w:rsidR="00B16390">
        <w:t>6</w:t>
      </w:r>
      <w:r>
        <w:t xml:space="preserve"> inadmitida</w:t>
      </w:r>
      <w:r w:rsidR="00B16390">
        <w:t>s</w:t>
      </w:r>
      <w:r w:rsidR="005C0765">
        <w:t xml:space="preserve"> y </w:t>
      </w:r>
      <w:r w:rsidR="00B16390">
        <w:t>2</w:t>
      </w:r>
      <w:r w:rsidR="005C0765">
        <w:t xml:space="preserve"> archivada</w:t>
      </w:r>
      <w:r w:rsidR="00B16390">
        <w:t>s</w:t>
      </w:r>
      <w:r>
        <w:t xml:space="preserve">. </w:t>
      </w:r>
    </w:p>
    <w:p w:rsidR="00FD10A6" w:rsidRDefault="00FD10A6" w:rsidP="00FD10A6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La </w:t>
      </w:r>
      <w:r w:rsidR="00B16390">
        <w:rPr>
          <w:color w:val="auto"/>
        </w:rPr>
        <w:t>CHE</w:t>
      </w:r>
      <w:r>
        <w:rPr>
          <w:color w:val="auto"/>
        </w:rPr>
        <w:t xml:space="preserve"> </w:t>
      </w:r>
      <w:r w:rsidR="00B16390">
        <w:rPr>
          <w:color w:val="auto"/>
        </w:rPr>
        <w:t xml:space="preserve">no ha presentado </w:t>
      </w:r>
      <w:r>
        <w:rPr>
          <w:color w:val="auto"/>
        </w:rPr>
        <w:t xml:space="preserve">recurso contencioso-administrativo contra </w:t>
      </w:r>
      <w:r w:rsidR="005C0765">
        <w:rPr>
          <w:color w:val="auto"/>
        </w:rPr>
        <w:t>la</w:t>
      </w:r>
      <w:r w:rsidR="00B16390">
        <w:rPr>
          <w:color w:val="auto"/>
        </w:rPr>
        <w:t>s</w:t>
      </w:r>
      <w:r>
        <w:rPr>
          <w:color w:val="auto"/>
        </w:rPr>
        <w:t xml:space="preserve"> </w:t>
      </w:r>
      <w:r w:rsidR="00B16390">
        <w:rPr>
          <w:color w:val="auto"/>
        </w:rPr>
        <w:t>resoluciones</w:t>
      </w:r>
      <w:r w:rsidR="005C0765">
        <w:rPr>
          <w:color w:val="auto"/>
        </w:rPr>
        <w:t xml:space="preserve"> favorable</w:t>
      </w:r>
      <w:r w:rsidR="00B16390">
        <w:rPr>
          <w:color w:val="auto"/>
        </w:rPr>
        <w:t>s</w:t>
      </w:r>
      <w:r>
        <w:rPr>
          <w:color w:val="auto"/>
        </w:rPr>
        <w:t xml:space="preserve"> a los reclamantes. </w:t>
      </w: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B16390" w:rsidRPr="00871B3A" w:rsidTr="00B16390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B16390" w:rsidRPr="00871B3A" w:rsidTr="00B16390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B16390" w:rsidRPr="00871B3A" w:rsidTr="00B16390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</w:t>
            </w:r>
          </w:p>
        </w:tc>
      </w:tr>
      <w:tr w:rsidR="00B16390" w:rsidRPr="00871B3A" w:rsidTr="00B16390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B16390" w:rsidRPr="00871B3A" w:rsidTr="00B16390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</w:t>
            </w:r>
          </w:p>
        </w:tc>
      </w:tr>
      <w:tr w:rsidR="00B16390" w:rsidRPr="00871B3A" w:rsidTr="00B16390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16390" w:rsidRPr="00871B3A" w:rsidTr="00B16390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16390" w:rsidRPr="00871B3A" w:rsidTr="00B16390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</w:p>
        </w:tc>
      </w:tr>
      <w:tr w:rsidR="00B16390" w:rsidRPr="00871B3A" w:rsidTr="00B16390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</w:p>
        </w:tc>
      </w:tr>
      <w:tr w:rsidR="00B16390" w:rsidRPr="00871B3A" w:rsidTr="00B16390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</w:p>
        </w:tc>
      </w:tr>
      <w:tr w:rsidR="00B16390" w:rsidRPr="00871B3A" w:rsidTr="00B16390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16390" w:rsidRPr="00871B3A" w:rsidRDefault="00B16390" w:rsidP="00B1639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16390" w:rsidRPr="00871B3A" w:rsidRDefault="00B16390" w:rsidP="00B1639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16390" w:rsidRPr="00871B3A" w:rsidRDefault="00B16390" w:rsidP="00B1639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6390" w:rsidRDefault="00B16390" w:rsidP="00FD10A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FD10A6" w:rsidRDefault="00FD10A6" w:rsidP="00FD10A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F65F3" w:rsidRPr="004A133A" w:rsidRDefault="00AF65F3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B16390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5C0765">
        <w:t xml:space="preserve">la </w:t>
      </w:r>
      <w:r w:rsidR="00B16390">
        <w:t>CHE</w:t>
      </w:r>
      <w:r>
        <w:t xml:space="preserve"> </w:t>
      </w:r>
      <w:r w:rsidR="00FC285F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256215" w:rsidRDefault="00B16390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C285F" w:rsidRDefault="00B16390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No se ha remitido información por parte de la CHE, que permita valorar la actividad generada por las solicitudes de acceso a información pública del organismo.</w:t>
      </w:r>
    </w:p>
    <w:p w:rsidR="005C0765" w:rsidRDefault="005C0765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5C0765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B16390">
        <w:rPr>
          <w:bCs/>
        </w:rPr>
        <w:t>CHE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</w:t>
      </w:r>
      <w:r w:rsidR="00FC285F">
        <w:rPr>
          <w:bCs/>
        </w:rPr>
        <w:t xml:space="preserve"> o 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F34803" w:rsidRDefault="00F34803" w:rsidP="00F34803">
      <w:pPr>
        <w:pStyle w:val="Prrafodelista"/>
        <w:ind w:left="644"/>
      </w:pPr>
    </w:p>
    <w:p w:rsidR="005C0765" w:rsidRDefault="005C0765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5C0765" w:rsidP="00310D6E">
      <w:pPr>
        <w:pStyle w:val="Prrafodelista"/>
        <w:ind w:left="644"/>
        <w:jc w:val="both"/>
      </w:pPr>
      <w:r>
        <w:t xml:space="preserve">La </w:t>
      </w:r>
      <w:r w:rsidR="00B16390">
        <w:t>CHE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5C0765">
        <w:t xml:space="preserve">la </w:t>
      </w:r>
      <w:r w:rsidR="00B16390">
        <w:t>CHE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10D6E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45977" w:rsidRPr="008C5F9E" w:rsidRDefault="00B815DD" w:rsidP="00745977">
      <w:pPr>
        <w:tabs>
          <w:tab w:val="left" w:pos="426"/>
        </w:tabs>
        <w:ind w:left="426"/>
        <w:contextualSpacing/>
        <w:jc w:val="both"/>
      </w:pPr>
      <w:r w:rsidRPr="00393F8C">
        <w:t xml:space="preserve">La gestión de la solicitud de acceso presentada </w:t>
      </w:r>
      <w:r w:rsidR="00745977">
        <w:t xml:space="preserve">no </w:t>
      </w:r>
      <w:r w:rsidRPr="00393F8C">
        <w:t xml:space="preserve">se ha ajustado al procedimiento establecido por la LTAIBG. </w:t>
      </w:r>
      <w:r w:rsidR="00745977" w:rsidRPr="008C5F9E">
        <w:t xml:space="preserve">Se remite un </w:t>
      </w:r>
      <w:r w:rsidR="00745977">
        <w:t xml:space="preserve">escrito mediante </w:t>
      </w:r>
      <w:r w:rsidR="00745977" w:rsidRPr="008C5F9E">
        <w:t>correo electrónico</w:t>
      </w:r>
      <w:r w:rsidR="00745977">
        <w:t xml:space="preserve"> que no incluye </w:t>
      </w:r>
      <w:r w:rsidR="00745977">
        <w:lastRenderedPageBreak/>
        <w:t>pie de recurso ni informa sobre los plazos para la interposición de los recursos contemplados en la LTAIBG</w:t>
      </w:r>
      <w:r w:rsidR="00745977" w:rsidRPr="008C5F9E">
        <w:t xml:space="preserve">.     </w:t>
      </w:r>
    </w:p>
    <w:p w:rsidR="00745977" w:rsidRPr="008C5F9E" w:rsidRDefault="00745977" w:rsidP="00745977">
      <w:pPr>
        <w:tabs>
          <w:tab w:val="left" w:pos="426"/>
        </w:tabs>
        <w:ind w:left="426"/>
        <w:contextualSpacing/>
        <w:jc w:val="both"/>
      </w:pPr>
    </w:p>
    <w:p w:rsidR="00745977" w:rsidRPr="008C5F9E" w:rsidRDefault="00745977" w:rsidP="00745977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 xml:space="preserve">La </w:t>
      </w:r>
      <w:r w:rsidR="00B16390">
        <w:t>CHE</w:t>
      </w:r>
      <w:r>
        <w:t xml:space="preserve"> </w:t>
      </w:r>
      <w:r w:rsidRPr="008C5F9E">
        <w:t>debe ajustarse al procedimiento establecido por las Leyes 19/2013 y 39/2015: debe dictar una resolución expresa, incluyendo los recursos que contra la misma procedan, órgano administrativo o judicial ante el que presentarlos y el plazo para interponerlos.</w:t>
      </w:r>
    </w:p>
    <w:p w:rsidR="00745977" w:rsidRDefault="00745977" w:rsidP="00B815DD">
      <w:pPr>
        <w:tabs>
          <w:tab w:val="left" w:pos="426"/>
        </w:tabs>
        <w:ind w:left="426"/>
        <w:contextualSpacing/>
        <w:jc w:val="both"/>
      </w:pPr>
    </w:p>
    <w:p w:rsidR="00B815DD" w:rsidRDefault="00B815DD" w:rsidP="00B815DD">
      <w:pPr>
        <w:tabs>
          <w:tab w:val="left" w:pos="426"/>
        </w:tabs>
        <w:ind w:left="426"/>
        <w:contextualSpacing/>
        <w:jc w:val="both"/>
      </w:pPr>
      <w:r w:rsidRPr="00393F8C">
        <w:t xml:space="preserve">La información se proporciona en el momento de la notificación </w:t>
      </w:r>
      <w:r w:rsidR="00B16390">
        <w:t xml:space="preserve">pero no </w:t>
      </w:r>
      <w:r w:rsidRPr="00393F8C">
        <w:t>en el formato solicitado</w:t>
      </w:r>
      <w:r>
        <w:t>.</w:t>
      </w:r>
    </w:p>
    <w:p w:rsidR="00B16390" w:rsidRDefault="00B16390" w:rsidP="00B815DD">
      <w:pPr>
        <w:tabs>
          <w:tab w:val="left" w:pos="426"/>
        </w:tabs>
        <w:ind w:left="426"/>
        <w:contextualSpacing/>
        <w:jc w:val="both"/>
      </w:pPr>
    </w:p>
    <w:p w:rsidR="00B16390" w:rsidRPr="00393F8C" w:rsidRDefault="00B16390" w:rsidP="00B16390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 xml:space="preserve">En la medida de lo posible, la información debe ofrecerse en el formato </w:t>
      </w:r>
      <w:r w:rsidR="00B46BA4">
        <w:t xml:space="preserve">determinado </w:t>
      </w:r>
      <w:r>
        <w:t xml:space="preserve">por los </w:t>
      </w:r>
      <w:r w:rsidR="00B46BA4">
        <w:t>solicitantes</w:t>
      </w:r>
      <w:bookmarkStart w:id="0" w:name="_GoBack"/>
      <w:bookmarkEnd w:id="0"/>
      <w:r w:rsidR="00B46BA4">
        <w:t>.</w:t>
      </w:r>
    </w:p>
    <w:p w:rsidR="00AF65F3" w:rsidRDefault="00AF65F3" w:rsidP="00AF65F3">
      <w:pPr>
        <w:ind w:left="644"/>
        <w:contextualSpacing/>
        <w:jc w:val="both"/>
      </w:pPr>
    </w:p>
    <w:p w:rsidR="00AF65F3" w:rsidRPr="008D4B85" w:rsidRDefault="00AF65F3" w:rsidP="00AF65F3">
      <w:pPr>
        <w:ind w:left="644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Madrid, junio de 2023</w:t>
      </w:r>
    </w:p>
    <w:sectPr w:rsidR="00AF65F3" w:rsidRPr="008D4B85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90" w:rsidRDefault="00B16390" w:rsidP="00932008">
      <w:pPr>
        <w:spacing w:after="0" w:line="240" w:lineRule="auto"/>
      </w:pPr>
      <w:r>
        <w:separator/>
      </w:r>
    </w:p>
  </w:endnote>
  <w:endnote w:type="continuationSeparator" w:id="0">
    <w:p w:rsidR="00B16390" w:rsidRDefault="00B1639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16390" w:rsidRPr="00C533E7" w:rsidRDefault="00B1639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46BA4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B16390" w:rsidRDefault="00B163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90" w:rsidRDefault="00B16390" w:rsidP="00932008">
      <w:pPr>
        <w:spacing w:after="0" w:line="240" w:lineRule="auto"/>
      </w:pPr>
      <w:r>
        <w:separator/>
      </w:r>
    </w:p>
  </w:footnote>
  <w:footnote w:type="continuationSeparator" w:id="0">
    <w:p w:rsidR="00B16390" w:rsidRDefault="00B1639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1002"/>
    <w:multiLevelType w:val="hybridMultilevel"/>
    <w:tmpl w:val="9C32A746"/>
    <w:lvl w:ilvl="0" w:tplc="B7C2270E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75F0B"/>
    <w:multiLevelType w:val="hybridMultilevel"/>
    <w:tmpl w:val="D700CC2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672AA"/>
    <w:rsid w:val="00076680"/>
    <w:rsid w:val="000965B3"/>
    <w:rsid w:val="000A1C07"/>
    <w:rsid w:val="000B0A0D"/>
    <w:rsid w:val="000B2A81"/>
    <w:rsid w:val="000C6CFF"/>
    <w:rsid w:val="001023F1"/>
    <w:rsid w:val="00102733"/>
    <w:rsid w:val="00111920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A4E0D"/>
    <w:rsid w:val="002E0A33"/>
    <w:rsid w:val="00310D6E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4C8D"/>
    <w:rsid w:val="0057532F"/>
    <w:rsid w:val="00577A83"/>
    <w:rsid w:val="00595AAF"/>
    <w:rsid w:val="005A0354"/>
    <w:rsid w:val="005A2AD2"/>
    <w:rsid w:val="005B1F0E"/>
    <w:rsid w:val="005B3C15"/>
    <w:rsid w:val="005C076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443DE"/>
    <w:rsid w:val="00745977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57FAE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74DEA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5F3"/>
    <w:rsid w:val="00AF6C5C"/>
    <w:rsid w:val="00B108F0"/>
    <w:rsid w:val="00B15F0F"/>
    <w:rsid w:val="00B16390"/>
    <w:rsid w:val="00B31C4E"/>
    <w:rsid w:val="00B378E2"/>
    <w:rsid w:val="00B40246"/>
    <w:rsid w:val="00B46BA4"/>
    <w:rsid w:val="00B5583D"/>
    <w:rsid w:val="00B62022"/>
    <w:rsid w:val="00B812AB"/>
    <w:rsid w:val="00B815DD"/>
    <w:rsid w:val="00B841AE"/>
    <w:rsid w:val="00B84669"/>
    <w:rsid w:val="00BA266E"/>
    <w:rsid w:val="00BB63C9"/>
    <w:rsid w:val="00BB6799"/>
    <w:rsid w:val="00BD3C05"/>
    <w:rsid w:val="00BD41F9"/>
    <w:rsid w:val="00BD4582"/>
    <w:rsid w:val="00BE6A46"/>
    <w:rsid w:val="00BE736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F48F2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85F"/>
    <w:rsid w:val="00FC2FB9"/>
    <w:rsid w:val="00FD10A6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16390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16390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3507F"/>
    <w:rsid w:val="00274CEE"/>
    <w:rsid w:val="002A5B0E"/>
    <w:rsid w:val="002A69E7"/>
    <w:rsid w:val="002C1748"/>
    <w:rsid w:val="002C7AFA"/>
    <w:rsid w:val="003D088C"/>
    <w:rsid w:val="004437AC"/>
    <w:rsid w:val="0048081C"/>
    <w:rsid w:val="004C3BB1"/>
    <w:rsid w:val="00543A52"/>
    <w:rsid w:val="00546DCA"/>
    <w:rsid w:val="006D7969"/>
    <w:rsid w:val="0087096B"/>
    <w:rsid w:val="00881BC5"/>
    <w:rsid w:val="009D0337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8BE64-7891-4ADB-B00F-3186D076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</TotalTime>
  <Pages>4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2023-06-29T10:26:00Z</dcterms:created>
  <dcterms:modified xsi:type="dcterms:W3CDTF">2023-06-29T10:37:00Z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