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CB4447" w:rsidRDefault="006F17B5" w:rsidP="001B16D9">
      <w:pPr>
        <w:pStyle w:val="Ttulo1"/>
        <w:jc w:val="both"/>
        <w:rPr>
          <w:color w:val="079386"/>
        </w:rPr>
      </w:pPr>
      <w:r w:rsidRPr="00CB4447">
        <w:rPr>
          <w:color w:val="079386"/>
        </w:rPr>
        <w:t xml:space="preserve">INFORME RELATIVO A LAS OBSERVACIONES REMITIDAS POR </w:t>
      </w:r>
      <w:r w:rsidR="0015084B">
        <w:rPr>
          <w:color w:val="079386"/>
        </w:rPr>
        <w:t>EL CENTRO UNIVERSITARIO DE LA DEFENSA UBICADO EN LA ACADEMIA GENERAL MILITAR</w:t>
      </w:r>
      <w:r w:rsidR="007704A4">
        <w:rPr>
          <w:color w:val="079386"/>
        </w:rPr>
        <w:t xml:space="preserve"> </w:t>
      </w:r>
      <w:r w:rsidRPr="00CB4447">
        <w:rPr>
          <w:color w:val="079386"/>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En contestación a su</w:t>
      </w:r>
      <w:r w:rsidR="00C25FA5">
        <w:rPr>
          <w:rFonts w:asciiTheme="minorHAnsi" w:hAnsiTheme="minorHAnsi" w:cstheme="minorHAnsi"/>
          <w:szCs w:val="24"/>
        </w:rPr>
        <w:t xml:space="preserve"> escrito </w:t>
      </w:r>
      <w:r w:rsidR="00565608">
        <w:rPr>
          <w:rFonts w:asciiTheme="minorHAnsi" w:hAnsiTheme="minorHAnsi" w:cstheme="minorHAnsi"/>
          <w:szCs w:val="24"/>
        </w:rPr>
        <w:t xml:space="preserve">de fecha </w:t>
      </w:r>
      <w:r w:rsidR="0015084B">
        <w:rPr>
          <w:rFonts w:asciiTheme="minorHAnsi" w:hAnsiTheme="minorHAnsi" w:cstheme="minorHAnsi"/>
          <w:szCs w:val="24"/>
        </w:rPr>
        <w:t>9</w:t>
      </w:r>
      <w:r w:rsidRPr="002C000A">
        <w:rPr>
          <w:rFonts w:asciiTheme="minorHAnsi" w:hAnsiTheme="minorHAnsi" w:cstheme="minorHAnsi"/>
          <w:szCs w:val="24"/>
        </w:rPr>
        <w:t xml:space="preserve"> de </w:t>
      </w:r>
      <w:r w:rsidR="00323DEE">
        <w:rPr>
          <w:rFonts w:asciiTheme="minorHAnsi" w:hAnsiTheme="minorHAnsi" w:cstheme="minorHAnsi"/>
          <w:szCs w:val="24"/>
        </w:rPr>
        <w:t>junio</w:t>
      </w:r>
      <w:r w:rsidRPr="002C000A">
        <w:rPr>
          <w:rFonts w:asciiTheme="minorHAnsi" w:hAnsiTheme="minorHAnsi" w:cstheme="minorHAnsi"/>
          <w:szCs w:val="24"/>
        </w:rPr>
        <w:t xml:space="preserve"> de 202</w:t>
      </w:r>
      <w:r w:rsidR="007704A4">
        <w:rPr>
          <w:rFonts w:asciiTheme="minorHAnsi" w:hAnsiTheme="minorHAnsi" w:cstheme="minorHAnsi"/>
          <w:szCs w:val="24"/>
        </w:rPr>
        <w:t>3</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9E16B5">
      <w:pPr>
        <w:tabs>
          <w:tab w:val="left" w:pos="284"/>
        </w:tabs>
        <w:spacing w:before="120" w:after="120" w:line="312" w:lineRule="auto"/>
        <w:contextualSpacing/>
        <w:jc w:val="both"/>
        <w:rPr>
          <w:rFonts w:asciiTheme="minorHAnsi" w:hAnsiTheme="minorHAnsi" w:cstheme="minorHAnsi"/>
          <w:szCs w:val="24"/>
        </w:rPr>
      </w:pPr>
    </w:p>
    <w:p w:rsidR="00F34F89" w:rsidRDefault="00F34F89" w:rsidP="000E0D61">
      <w:pPr>
        <w:tabs>
          <w:tab w:val="left" w:pos="284"/>
        </w:tabs>
        <w:spacing w:before="120" w:after="120" w:line="312" w:lineRule="auto"/>
        <w:jc w:val="both"/>
        <w:rPr>
          <w:rFonts w:asciiTheme="minorHAnsi" w:hAnsiTheme="minorHAnsi" w:cstheme="minorHAnsi"/>
          <w:szCs w:val="24"/>
        </w:rPr>
      </w:pPr>
      <w:r w:rsidRPr="00076DBA">
        <w:rPr>
          <w:rFonts w:asciiTheme="minorHAnsi" w:hAnsiTheme="minorHAnsi" w:cstheme="minorHAnsi"/>
          <w:szCs w:val="24"/>
        </w:rPr>
        <w:t xml:space="preserve">Como consideración previa </w:t>
      </w:r>
      <w:r>
        <w:rPr>
          <w:rFonts w:asciiTheme="minorHAnsi" w:hAnsiTheme="minorHAnsi" w:cstheme="minorHAnsi"/>
          <w:szCs w:val="24"/>
        </w:rPr>
        <w:t>de este Consejo</w:t>
      </w:r>
      <w:r w:rsidR="000E0D61">
        <w:rPr>
          <w:rFonts w:asciiTheme="minorHAnsi" w:hAnsiTheme="minorHAnsi" w:cstheme="minorHAnsi"/>
          <w:szCs w:val="24"/>
        </w:rPr>
        <w:t xml:space="preserve">, señalar  que la mayoría de las observaciones presentadas por el CUD-AGM, parecen estar referidas al informe provisional de evaluación que fue remitido el 19 de mayo de 2023. Con posterioridad a esta fecha, desde el CUD-AGM, se informó a este Consejo que pocos días </w:t>
      </w:r>
      <w:r w:rsidR="00186BD0">
        <w:rPr>
          <w:rFonts w:asciiTheme="minorHAnsi" w:hAnsiTheme="minorHAnsi" w:cstheme="minorHAnsi"/>
          <w:szCs w:val="24"/>
        </w:rPr>
        <w:t xml:space="preserve">después de la remisión de este informe, </w:t>
      </w:r>
      <w:r w:rsidR="000E0D61">
        <w:rPr>
          <w:rFonts w:asciiTheme="minorHAnsi" w:hAnsiTheme="minorHAnsi" w:cstheme="minorHAnsi"/>
          <w:szCs w:val="24"/>
        </w:rPr>
        <w:t xml:space="preserve">había sido puesta en funcionamiento la nueva web del Centro, que incluía la incorporación de un Portal de Transparencia.  A la vista de esta información, este Consejo decidió efectuar una nueva evaluación de cumplimiento de la entidad, lo que fue comunicado el 29 de mayo. El día 30 de mayo de 2023 se envió el nuevo informe provisional de evaluación, indicando que el Centro disponía de 15 días para enviar las observaciones que considerase oportunas. Finalmente, el 9 de junio el CUD-AGM, </w:t>
      </w:r>
      <w:r w:rsidR="007A4EFC">
        <w:rPr>
          <w:rFonts w:asciiTheme="minorHAnsi" w:hAnsiTheme="minorHAnsi" w:cstheme="minorHAnsi"/>
          <w:szCs w:val="24"/>
        </w:rPr>
        <w:t>envía su informe de observaciones, que como se ha indicado</w:t>
      </w:r>
      <w:r w:rsidR="00186BD0">
        <w:rPr>
          <w:rFonts w:asciiTheme="minorHAnsi" w:hAnsiTheme="minorHAnsi" w:cstheme="minorHAnsi"/>
          <w:szCs w:val="24"/>
        </w:rPr>
        <w:t>,</w:t>
      </w:r>
      <w:r w:rsidR="007A4EFC">
        <w:rPr>
          <w:rFonts w:asciiTheme="minorHAnsi" w:hAnsiTheme="minorHAnsi" w:cstheme="minorHAnsi"/>
          <w:szCs w:val="24"/>
        </w:rPr>
        <w:t xml:space="preserve"> no </w:t>
      </w:r>
      <w:r w:rsidR="00186BD0">
        <w:rPr>
          <w:rFonts w:asciiTheme="minorHAnsi" w:hAnsiTheme="minorHAnsi" w:cstheme="minorHAnsi"/>
          <w:szCs w:val="24"/>
        </w:rPr>
        <w:t xml:space="preserve">parece </w:t>
      </w:r>
      <w:r w:rsidR="007A4EFC">
        <w:rPr>
          <w:rFonts w:asciiTheme="minorHAnsi" w:hAnsiTheme="minorHAnsi" w:cstheme="minorHAnsi"/>
          <w:szCs w:val="24"/>
        </w:rPr>
        <w:t>est</w:t>
      </w:r>
      <w:r w:rsidR="00186BD0">
        <w:rPr>
          <w:rFonts w:asciiTheme="minorHAnsi" w:hAnsiTheme="minorHAnsi" w:cstheme="minorHAnsi"/>
          <w:szCs w:val="24"/>
        </w:rPr>
        <w:t>ar</w:t>
      </w:r>
      <w:r w:rsidR="007A4EFC">
        <w:rPr>
          <w:rFonts w:asciiTheme="minorHAnsi" w:hAnsiTheme="minorHAnsi" w:cstheme="minorHAnsi"/>
          <w:szCs w:val="24"/>
        </w:rPr>
        <w:t xml:space="preserve"> referido al último informe de evaluación remitido por este Consejo.</w:t>
      </w:r>
    </w:p>
    <w:p w:rsidR="00AD5B28" w:rsidRPr="00F34F89" w:rsidRDefault="00AD5B28" w:rsidP="00F34F89">
      <w:pPr>
        <w:tabs>
          <w:tab w:val="left" w:pos="284"/>
        </w:tabs>
        <w:spacing w:before="120" w:after="120" w:line="312" w:lineRule="auto"/>
        <w:jc w:val="both"/>
        <w:rPr>
          <w:rFonts w:asciiTheme="minorHAnsi" w:hAnsiTheme="minorHAnsi" w:cstheme="minorHAnsi"/>
          <w:b/>
          <w:szCs w:val="24"/>
        </w:rPr>
      </w:pPr>
    </w:p>
    <w:p w:rsidR="007704A4" w:rsidRDefault="007704A4" w:rsidP="00D847B0">
      <w:pPr>
        <w:pStyle w:val="Prrafodelista"/>
        <w:numPr>
          <w:ilvl w:val="0"/>
          <w:numId w:val="11"/>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 xml:space="preserve">Respecto </w:t>
      </w:r>
      <w:r w:rsidR="00323DEE">
        <w:rPr>
          <w:rFonts w:asciiTheme="minorHAnsi" w:hAnsiTheme="minorHAnsi" w:cstheme="minorHAnsi"/>
          <w:b/>
          <w:szCs w:val="24"/>
        </w:rPr>
        <w:t xml:space="preserve">de las observaciones </w:t>
      </w:r>
      <w:r w:rsidR="00D775DA">
        <w:rPr>
          <w:rFonts w:asciiTheme="minorHAnsi" w:hAnsiTheme="minorHAnsi" w:cstheme="minorHAnsi"/>
          <w:b/>
          <w:szCs w:val="24"/>
        </w:rPr>
        <w:t xml:space="preserve">relativas a la publicación de determinadas informaciones obligatorias </w:t>
      </w:r>
      <w:r w:rsidR="007A4EFC">
        <w:rPr>
          <w:rFonts w:asciiTheme="minorHAnsi" w:hAnsiTheme="minorHAnsi" w:cstheme="minorHAnsi"/>
          <w:b/>
          <w:szCs w:val="24"/>
        </w:rPr>
        <w:t>que no se habían localizado en la segunda evaluación efectuada por este Consejo</w:t>
      </w:r>
      <w:r>
        <w:rPr>
          <w:rFonts w:asciiTheme="minorHAnsi" w:hAnsiTheme="minorHAnsi" w:cstheme="minorHAnsi"/>
          <w:b/>
          <w:szCs w:val="24"/>
        </w:rPr>
        <w:t>.</w:t>
      </w:r>
    </w:p>
    <w:p w:rsidR="00F34F89" w:rsidRDefault="00F34F89" w:rsidP="007704A4">
      <w:pPr>
        <w:pStyle w:val="Prrafodelista"/>
        <w:tabs>
          <w:tab w:val="left" w:pos="284"/>
        </w:tabs>
        <w:spacing w:before="120" w:after="120" w:line="312" w:lineRule="auto"/>
        <w:jc w:val="both"/>
        <w:rPr>
          <w:rFonts w:asciiTheme="minorHAnsi" w:hAnsiTheme="minorHAnsi" w:cstheme="minorHAnsi"/>
          <w:szCs w:val="24"/>
        </w:rPr>
      </w:pPr>
    </w:p>
    <w:p w:rsidR="000547A3" w:rsidRDefault="007A4EFC" w:rsidP="000547A3">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Para diversas informaciones obligatorias (Modificaciones de contratos adjudicados; datos estadísticos sobre contratación; Convenios; Encomiendas de gestión y subcontrataciones derivadas de éstas;  </w:t>
      </w:r>
      <w:r w:rsidR="000547A3">
        <w:rPr>
          <w:rFonts w:asciiTheme="minorHAnsi" w:hAnsiTheme="minorHAnsi" w:cstheme="minorHAnsi"/>
          <w:szCs w:val="24"/>
        </w:rPr>
        <w:t xml:space="preserve">Presupuestos; Cuentas anuales; Informes de Auditoría y Fiscalización elaborados por órganos de control externo; retribuciones; indemnizaciones percibidas por altos cargos y máximos responsables con ocasión del cese; autorizaciones para el ejercicio de actividades privadas </w:t>
      </w:r>
      <w:r w:rsidR="00D243C8">
        <w:rPr>
          <w:rFonts w:asciiTheme="minorHAnsi" w:hAnsiTheme="minorHAnsi" w:cstheme="minorHAnsi"/>
          <w:szCs w:val="24"/>
        </w:rPr>
        <w:t>tras el</w:t>
      </w:r>
      <w:r w:rsidR="000547A3">
        <w:rPr>
          <w:rFonts w:asciiTheme="minorHAnsi" w:hAnsiTheme="minorHAnsi" w:cstheme="minorHAnsi"/>
          <w:szCs w:val="24"/>
        </w:rPr>
        <w:t xml:space="preserve"> cese de altos cargos</w:t>
      </w:r>
      <w:r w:rsidR="00D243C8">
        <w:rPr>
          <w:rFonts w:asciiTheme="minorHAnsi" w:hAnsiTheme="minorHAnsi" w:cstheme="minorHAnsi"/>
          <w:szCs w:val="24"/>
        </w:rPr>
        <w:t>) se indica en el informe de observaciones</w:t>
      </w:r>
      <w:r w:rsidR="00186BD0">
        <w:rPr>
          <w:rFonts w:asciiTheme="minorHAnsi" w:hAnsiTheme="minorHAnsi" w:cstheme="minorHAnsi"/>
          <w:szCs w:val="24"/>
        </w:rPr>
        <w:t>,</w:t>
      </w:r>
      <w:r w:rsidR="00D243C8">
        <w:rPr>
          <w:rFonts w:asciiTheme="minorHAnsi" w:hAnsiTheme="minorHAnsi" w:cstheme="minorHAnsi"/>
          <w:szCs w:val="24"/>
        </w:rPr>
        <w:t xml:space="preserve"> que la información está publicada. A la vista del número de hipotéticos errores materiales de este Consejo  a la hora de localizar la información – 10 obligaciones sobre un total de 28 obligaciones aplicables al CUD – parece</w:t>
      </w:r>
      <w:r w:rsidR="00186BD0">
        <w:rPr>
          <w:rFonts w:asciiTheme="minorHAnsi" w:hAnsiTheme="minorHAnsi" w:cstheme="minorHAnsi"/>
          <w:szCs w:val="24"/>
        </w:rPr>
        <w:t xml:space="preserve"> que</w:t>
      </w:r>
      <w:r w:rsidR="00D243C8">
        <w:rPr>
          <w:rFonts w:asciiTheme="minorHAnsi" w:hAnsiTheme="minorHAnsi" w:cstheme="minorHAnsi"/>
          <w:szCs w:val="24"/>
        </w:rPr>
        <w:t xml:space="preserve"> la publicación de estas informaciones se ha efectuado con </w:t>
      </w:r>
      <w:r w:rsidR="00D243C8">
        <w:rPr>
          <w:rFonts w:asciiTheme="minorHAnsi" w:hAnsiTheme="minorHAnsi" w:cstheme="minorHAnsi"/>
          <w:szCs w:val="24"/>
        </w:rPr>
        <w:lastRenderedPageBreak/>
        <w:t xml:space="preserve">posterioridad a la fecha de envío del segundo informe provisional de evaluación. El criterio que mantiene este Consejo, es no tener en cuenta las informaciones publicadas una vez que se ha enviado el informe provisional de evaluación. No obstante, también considera que el esfuerzo realizado en la aplicación de recomendaciones durante el periodo de observaciones, debe reflejarse y por esta razón, se publica un documento, junto a los informes de evaluación, que recoge las recomendaciones aplicadas durante esta fase. </w:t>
      </w:r>
    </w:p>
    <w:p w:rsidR="000547A3" w:rsidRDefault="000547A3" w:rsidP="000547A3">
      <w:pPr>
        <w:pStyle w:val="Prrafodelista"/>
        <w:tabs>
          <w:tab w:val="left" w:pos="284"/>
        </w:tabs>
        <w:spacing w:before="120" w:after="120" w:line="312" w:lineRule="auto"/>
        <w:jc w:val="both"/>
        <w:rPr>
          <w:rFonts w:asciiTheme="minorHAnsi" w:hAnsiTheme="minorHAnsi" w:cstheme="minorHAnsi"/>
          <w:szCs w:val="24"/>
        </w:rPr>
      </w:pPr>
    </w:p>
    <w:p w:rsidR="0066237D" w:rsidRDefault="00186B56" w:rsidP="00D243C8">
      <w:pPr>
        <w:pStyle w:val="Prrafodelista"/>
        <w:numPr>
          <w:ilvl w:val="0"/>
          <w:numId w:val="11"/>
        </w:numPr>
        <w:tabs>
          <w:tab w:val="left" w:pos="284"/>
        </w:tabs>
        <w:spacing w:before="120" w:after="120" w:line="312" w:lineRule="auto"/>
        <w:jc w:val="both"/>
        <w:rPr>
          <w:rFonts w:asciiTheme="minorHAnsi" w:hAnsiTheme="minorHAnsi" w:cstheme="minorHAnsi"/>
          <w:b/>
          <w:szCs w:val="24"/>
        </w:rPr>
      </w:pPr>
      <w:r w:rsidRPr="00186B56">
        <w:rPr>
          <w:rFonts w:asciiTheme="minorHAnsi" w:hAnsiTheme="minorHAnsi" w:cstheme="minorHAnsi"/>
          <w:b/>
          <w:szCs w:val="24"/>
        </w:rPr>
        <w:t xml:space="preserve">Respecto </w:t>
      </w:r>
      <w:r w:rsidR="00D243C8">
        <w:rPr>
          <w:rFonts w:asciiTheme="minorHAnsi" w:hAnsiTheme="minorHAnsi" w:cstheme="minorHAnsi"/>
          <w:b/>
          <w:szCs w:val="24"/>
        </w:rPr>
        <w:t>de los contenidos publicados durante la fase de observaciones en aplicación de algunas de las recomendaciones efectuadas por este Consejo</w:t>
      </w:r>
      <w:r w:rsidR="0066237D">
        <w:rPr>
          <w:rFonts w:asciiTheme="minorHAnsi" w:hAnsiTheme="minorHAnsi" w:cstheme="minorHAnsi"/>
          <w:b/>
          <w:szCs w:val="24"/>
        </w:rPr>
        <w:t>.</w:t>
      </w:r>
    </w:p>
    <w:p w:rsidR="00043EA8" w:rsidRDefault="00043EA8" w:rsidP="00043EA8">
      <w:pPr>
        <w:pStyle w:val="Prrafodelista"/>
        <w:tabs>
          <w:tab w:val="left" w:pos="284"/>
        </w:tabs>
        <w:spacing w:before="120" w:after="120" w:line="312" w:lineRule="auto"/>
        <w:jc w:val="both"/>
        <w:rPr>
          <w:rFonts w:asciiTheme="minorHAnsi" w:hAnsiTheme="minorHAnsi" w:cstheme="minorHAnsi"/>
          <w:szCs w:val="24"/>
        </w:rPr>
      </w:pPr>
    </w:p>
    <w:p w:rsidR="007A0B25" w:rsidRPr="007A0B25" w:rsidRDefault="007A0B25" w:rsidP="007A0B25">
      <w:pPr>
        <w:pStyle w:val="Prrafodelista"/>
        <w:numPr>
          <w:ilvl w:val="1"/>
          <w:numId w:val="11"/>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I</w:t>
      </w:r>
      <w:r w:rsidRPr="007A0B25">
        <w:rPr>
          <w:rFonts w:asciiTheme="minorHAnsi" w:hAnsiTheme="minorHAnsi" w:cstheme="minorHAnsi"/>
          <w:szCs w:val="24"/>
        </w:rPr>
        <w:t>nformes de auditoría y fiscalización.</w:t>
      </w:r>
    </w:p>
    <w:p w:rsidR="007A0B25" w:rsidRPr="007A0B25" w:rsidRDefault="007A0B25" w:rsidP="007A0B25">
      <w:pPr>
        <w:pStyle w:val="Prrafodelista"/>
        <w:tabs>
          <w:tab w:val="left" w:pos="284"/>
        </w:tabs>
        <w:spacing w:before="120" w:after="120" w:line="312" w:lineRule="auto"/>
        <w:jc w:val="both"/>
        <w:rPr>
          <w:rFonts w:asciiTheme="minorHAnsi" w:hAnsiTheme="minorHAnsi" w:cstheme="minorHAnsi"/>
          <w:szCs w:val="24"/>
        </w:rPr>
      </w:pPr>
    </w:p>
    <w:p w:rsidR="00C85F42" w:rsidRDefault="007A0B25" w:rsidP="00C85F42">
      <w:pPr>
        <w:pStyle w:val="Prrafodelista"/>
        <w:tabs>
          <w:tab w:val="left" w:pos="284"/>
        </w:tabs>
        <w:spacing w:before="120" w:after="120" w:line="312" w:lineRule="auto"/>
        <w:ind w:left="1418"/>
        <w:jc w:val="both"/>
        <w:rPr>
          <w:rFonts w:asciiTheme="minorHAnsi" w:hAnsiTheme="minorHAnsi" w:cstheme="minorHAnsi"/>
          <w:szCs w:val="24"/>
        </w:rPr>
      </w:pPr>
      <w:r>
        <w:rPr>
          <w:rFonts w:asciiTheme="minorHAnsi" w:hAnsiTheme="minorHAnsi" w:cstheme="minorHAnsi"/>
          <w:szCs w:val="24"/>
        </w:rPr>
        <w:t>En su portal de Transparencia el CUD</w:t>
      </w:r>
      <w:r w:rsidR="00C85F42">
        <w:rPr>
          <w:rFonts w:asciiTheme="minorHAnsi" w:hAnsiTheme="minorHAnsi" w:cstheme="minorHAnsi"/>
          <w:szCs w:val="24"/>
        </w:rPr>
        <w:t xml:space="preserve"> enlaza a dos informes elaborados por la IGAE. </w:t>
      </w:r>
      <w:r w:rsidR="00C85F42" w:rsidRPr="007A0B25">
        <w:rPr>
          <w:rFonts w:asciiTheme="minorHAnsi" w:hAnsiTheme="minorHAnsi" w:cstheme="minorHAnsi"/>
          <w:szCs w:val="24"/>
        </w:rPr>
        <w:t xml:space="preserve">El artículo 8.1 e) de la LTAIBG establece que deberán publicarse “…..y los informes de auditoría de cuentas y de fiscalización por parte de los </w:t>
      </w:r>
      <w:r w:rsidR="00C85F42" w:rsidRPr="00186BD0">
        <w:rPr>
          <w:rFonts w:asciiTheme="minorHAnsi" w:hAnsiTheme="minorHAnsi" w:cstheme="minorHAnsi"/>
          <w:szCs w:val="24"/>
          <w:u w:val="single"/>
        </w:rPr>
        <w:t>órganos de control externo</w:t>
      </w:r>
      <w:r w:rsidR="00C85F42" w:rsidRPr="007A0B25">
        <w:rPr>
          <w:rFonts w:asciiTheme="minorHAnsi" w:hAnsiTheme="minorHAnsi" w:cstheme="minorHAnsi"/>
          <w:szCs w:val="24"/>
        </w:rPr>
        <w:t xml:space="preserve"> que sobre ellos se emitan”.  Por lo tanto, claramente, el cumplimiento de esta obligación implica la publicación de los informes del Tribunal de Cuentas, o, si ese es el caso, señalar que la entidad no ha sido sometida a ningún proceso de fiscalización por parte del Tribunal de Cuentas.</w:t>
      </w:r>
    </w:p>
    <w:p w:rsidR="007A0B25" w:rsidRPr="007A0B25" w:rsidRDefault="007A0B25" w:rsidP="007A0B25">
      <w:pPr>
        <w:pStyle w:val="Prrafodelista"/>
        <w:tabs>
          <w:tab w:val="left" w:pos="284"/>
        </w:tabs>
        <w:spacing w:before="120" w:after="120" w:line="312" w:lineRule="auto"/>
        <w:ind w:left="1418"/>
        <w:jc w:val="both"/>
        <w:rPr>
          <w:rFonts w:asciiTheme="minorHAnsi" w:hAnsiTheme="minorHAnsi" w:cstheme="minorHAnsi"/>
          <w:szCs w:val="24"/>
        </w:rPr>
      </w:pPr>
      <w:r w:rsidRPr="007A0B25">
        <w:rPr>
          <w:rFonts w:asciiTheme="minorHAnsi" w:hAnsiTheme="minorHAnsi" w:cstheme="minorHAnsi"/>
          <w:szCs w:val="24"/>
        </w:rPr>
        <w:t xml:space="preserve">  </w:t>
      </w:r>
    </w:p>
    <w:p w:rsidR="007A0B25" w:rsidRPr="007A0B25" w:rsidRDefault="007A0B25" w:rsidP="007A0B25">
      <w:pPr>
        <w:pStyle w:val="Prrafodelista"/>
        <w:tabs>
          <w:tab w:val="left" w:pos="284"/>
        </w:tabs>
        <w:spacing w:before="120" w:after="120" w:line="312" w:lineRule="auto"/>
        <w:ind w:left="1418"/>
        <w:jc w:val="both"/>
        <w:rPr>
          <w:rFonts w:asciiTheme="minorHAnsi" w:hAnsiTheme="minorHAnsi" w:cstheme="minorHAnsi"/>
          <w:szCs w:val="24"/>
        </w:rPr>
      </w:pPr>
      <w:r w:rsidRPr="007A0B25">
        <w:rPr>
          <w:rFonts w:asciiTheme="minorHAnsi" w:hAnsiTheme="minorHAnsi" w:cstheme="minorHAnsi"/>
          <w:szCs w:val="24"/>
        </w:rPr>
        <w:t>La consideración por parte de este Consejo, de que los informes de auditoría elaborados por la IGAE no se corresponden con el contenido material de esta obligación, se fundamenta en el artículo 140 de la Ley General Presupuestaria, que se transcribe a continuación</w:t>
      </w:r>
      <w:r w:rsidR="00C85F42">
        <w:rPr>
          <w:rFonts w:asciiTheme="minorHAnsi" w:hAnsiTheme="minorHAnsi" w:cstheme="minorHAnsi"/>
          <w:szCs w:val="24"/>
        </w:rPr>
        <w:t>:</w:t>
      </w:r>
    </w:p>
    <w:p w:rsidR="007A0B25" w:rsidRPr="007A0B25" w:rsidRDefault="007A0B25" w:rsidP="007A0B25">
      <w:pPr>
        <w:pStyle w:val="Prrafodelista"/>
        <w:tabs>
          <w:tab w:val="left" w:pos="284"/>
        </w:tabs>
        <w:spacing w:before="120" w:after="120" w:line="312" w:lineRule="auto"/>
        <w:ind w:left="1418"/>
        <w:jc w:val="both"/>
        <w:rPr>
          <w:rFonts w:asciiTheme="minorHAnsi" w:hAnsiTheme="minorHAnsi" w:cstheme="minorHAnsi"/>
          <w:szCs w:val="24"/>
        </w:rPr>
      </w:pPr>
    </w:p>
    <w:p w:rsidR="007A0B25" w:rsidRDefault="007A0B25" w:rsidP="007A0B25">
      <w:pPr>
        <w:pStyle w:val="Prrafodelista"/>
        <w:tabs>
          <w:tab w:val="left" w:pos="284"/>
        </w:tabs>
        <w:spacing w:before="120" w:after="120" w:line="312" w:lineRule="auto"/>
        <w:ind w:left="1418"/>
        <w:jc w:val="both"/>
        <w:rPr>
          <w:rFonts w:asciiTheme="minorHAnsi" w:hAnsiTheme="minorHAnsi" w:cstheme="minorHAnsi"/>
          <w:szCs w:val="24"/>
        </w:rPr>
      </w:pPr>
      <w:r w:rsidRPr="007A0B25">
        <w:rPr>
          <w:rFonts w:asciiTheme="minorHAnsi" w:hAnsiTheme="minorHAnsi" w:cstheme="minorHAnsi"/>
          <w:szCs w:val="24"/>
        </w:rPr>
        <w:t xml:space="preserve"> “Artículo 140. Del control de la gestión económico-financiera del sector público estatal.</w:t>
      </w:r>
    </w:p>
    <w:p w:rsidR="00186BD0" w:rsidRPr="007A0B25" w:rsidRDefault="00186BD0" w:rsidP="007A0B25">
      <w:pPr>
        <w:pStyle w:val="Prrafodelista"/>
        <w:tabs>
          <w:tab w:val="left" w:pos="284"/>
        </w:tabs>
        <w:spacing w:before="120" w:after="120" w:line="312" w:lineRule="auto"/>
        <w:ind w:left="1418"/>
        <w:jc w:val="both"/>
        <w:rPr>
          <w:rFonts w:asciiTheme="minorHAnsi" w:hAnsiTheme="minorHAnsi" w:cstheme="minorHAnsi"/>
          <w:szCs w:val="24"/>
        </w:rPr>
      </w:pPr>
    </w:p>
    <w:p w:rsidR="007A0B25" w:rsidRPr="00186BD0" w:rsidRDefault="00186BD0" w:rsidP="00186BD0">
      <w:pPr>
        <w:tabs>
          <w:tab w:val="left" w:pos="284"/>
        </w:tabs>
        <w:spacing w:before="120" w:after="120" w:line="312" w:lineRule="auto"/>
        <w:ind w:left="1418"/>
        <w:jc w:val="both"/>
        <w:rPr>
          <w:rFonts w:asciiTheme="minorHAnsi" w:hAnsiTheme="minorHAnsi" w:cstheme="minorHAnsi"/>
          <w:szCs w:val="24"/>
        </w:rPr>
      </w:pPr>
      <w:r w:rsidRPr="00186BD0">
        <w:rPr>
          <w:rFonts w:asciiTheme="minorHAnsi" w:hAnsiTheme="minorHAnsi" w:cstheme="minorHAnsi"/>
          <w:sz w:val="22"/>
          <w:szCs w:val="24"/>
        </w:rPr>
        <w:t>1.</w:t>
      </w:r>
      <w:r>
        <w:rPr>
          <w:rFonts w:asciiTheme="minorHAnsi" w:hAnsiTheme="minorHAnsi" w:cstheme="minorHAnsi"/>
          <w:szCs w:val="24"/>
        </w:rPr>
        <w:t xml:space="preserve"> </w:t>
      </w:r>
      <w:r w:rsidR="007A0B25" w:rsidRPr="00186BD0">
        <w:rPr>
          <w:rFonts w:asciiTheme="minorHAnsi" w:hAnsiTheme="minorHAnsi" w:cstheme="minorHAnsi"/>
          <w:szCs w:val="24"/>
        </w:rPr>
        <w:t xml:space="preserve">En su condición de supremo órgano fiscalizador de las cuentas y de la gestión económica del Estado y del sector público, </w:t>
      </w:r>
      <w:r w:rsidR="007A0B25" w:rsidRPr="00186BD0">
        <w:rPr>
          <w:rFonts w:asciiTheme="minorHAnsi" w:hAnsiTheme="minorHAnsi" w:cstheme="minorHAnsi"/>
          <w:szCs w:val="24"/>
          <w:u w:val="single"/>
        </w:rPr>
        <w:t>corresponde al Tribunal de Cuentas el control externo del sector público estatal,</w:t>
      </w:r>
      <w:r w:rsidR="007A0B25" w:rsidRPr="00186BD0">
        <w:rPr>
          <w:rFonts w:asciiTheme="minorHAnsi" w:hAnsiTheme="minorHAnsi" w:cstheme="minorHAnsi"/>
          <w:szCs w:val="24"/>
        </w:rPr>
        <w:t xml:space="preserve"> en los términos establecidos en la Constitución, en su ley orgánica y en las demás leyes que regulen su competencia.</w:t>
      </w:r>
    </w:p>
    <w:p w:rsidR="007A0B25" w:rsidRDefault="007A0B25" w:rsidP="00C85F42">
      <w:pPr>
        <w:pStyle w:val="Prrafodelista"/>
        <w:tabs>
          <w:tab w:val="left" w:pos="284"/>
        </w:tabs>
        <w:spacing w:before="120" w:after="120" w:line="312" w:lineRule="auto"/>
        <w:ind w:left="1560"/>
        <w:jc w:val="both"/>
        <w:rPr>
          <w:rFonts w:asciiTheme="minorHAnsi" w:hAnsiTheme="minorHAnsi" w:cstheme="minorHAnsi"/>
          <w:szCs w:val="24"/>
        </w:rPr>
      </w:pPr>
      <w:r w:rsidRPr="007A0B25">
        <w:rPr>
          <w:rFonts w:asciiTheme="minorHAnsi" w:hAnsiTheme="minorHAnsi" w:cstheme="minorHAnsi"/>
          <w:szCs w:val="24"/>
        </w:rPr>
        <w:t xml:space="preserve">2. </w:t>
      </w:r>
      <w:r w:rsidRPr="00C85F42">
        <w:rPr>
          <w:rFonts w:asciiTheme="minorHAnsi" w:hAnsiTheme="minorHAnsi" w:cstheme="minorHAnsi"/>
          <w:szCs w:val="24"/>
          <w:u w:val="single"/>
        </w:rPr>
        <w:t>La Intervención General de la Administración del Estado ejercerá en los términos previstos en esta ley el control interno de la gestión económica y financiera</w:t>
      </w:r>
      <w:r w:rsidRPr="007A0B25">
        <w:rPr>
          <w:rFonts w:asciiTheme="minorHAnsi" w:hAnsiTheme="minorHAnsi" w:cstheme="minorHAnsi"/>
          <w:szCs w:val="24"/>
        </w:rPr>
        <w:t xml:space="preserve"> del sector público estatal, con plena autonomía respecto de las autoridades y demás entidades cuya gestión controle”. </w:t>
      </w:r>
    </w:p>
    <w:p w:rsidR="00C85F42" w:rsidRDefault="00C85F42" w:rsidP="00C85F42">
      <w:pPr>
        <w:pStyle w:val="Prrafodelista"/>
        <w:tabs>
          <w:tab w:val="left" w:pos="284"/>
        </w:tabs>
        <w:spacing w:before="120" w:after="120" w:line="312" w:lineRule="auto"/>
        <w:ind w:left="1560"/>
        <w:jc w:val="both"/>
        <w:rPr>
          <w:rFonts w:asciiTheme="minorHAnsi" w:hAnsiTheme="minorHAnsi" w:cstheme="minorHAnsi"/>
          <w:szCs w:val="24"/>
        </w:rPr>
      </w:pPr>
    </w:p>
    <w:p w:rsidR="00C85F42" w:rsidRDefault="00C85F42" w:rsidP="00C85F42">
      <w:pPr>
        <w:pStyle w:val="Prrafodelista"/>
        <w:numPr>
          <w:ilvl w:val="1"/>
          <w:numId w:val="11"/>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lastRenderedPageBreak/>
        <w:t xml:space="preserve">Retribuciones percibidas por altos cargos y máximos responsables. </w:t>
      </w:r>
    </w:p>
    <w:p w:rsidR="00C85F42" w:rsidRPr="00C85F42" w:rsidRDefault="00C85F42" w:rsidP="00C85F42">
      <w:pPr>
        <w:tabs>
          <w:tab w:val="left" w:pos="284"/>
        </w:tabs>
        <w:spacing w:before="120" w:after="120" w:line="312" w:lineRule="auto"/>
        <w:ind w:left="1418"/>
        <w:jc w:val="both"/>
        <w:rPr>
          <w:rFonts w:asciiTheme="minorHAnsi" w:hAnsiTheme="minorHAnsi" w:cstheme="minorHAnsi"/>
          <w:szCs w:val="24"/>
        </w:rPr>
      </w:pPr>
      <w:r>
        <w:rPr>
          <w:rFonts w:asciiTheme="minorHAnsi" w:hAnsiTheme="minorHAnsi" w:cstheme="minorHAnsi"/>
          <w:szCs w:val="24"/>
        </w:rPr>
        <w:t>La información se publica agregada para el conjunto del equipo directivo del CUD. El cumplimiento de esta obligación implica la publicación de las retribuciones individuales.</w:t>
      </w:r>
    </w:p>
    <w:p w:rsidR="00C2306E" w:rsidRDefault="00C2306E" w:rsidP="00C2306E">
      <w:pPr>
        <w:tabs>
          <w:tab w:val="left" w:pos="284"/>
        </w:tabs>
        <w:spacing w:before="120" w:after="120" w:line="312" w:lineRule="auto"/>
        <w:ind w:left="720"/>
        <w:contextualSpacing/>
        <w:jc w:val="both"/>
        <w:rPr>
          <w:rFonts w:asciiTheme="minorHAnsi" w:hAnsiTheme="minorHAnsi" w:cstheme="minorHAnsi"/>
          <w:szCs w:val="24"/>
        </w:rPr>
      </w:pPr>
    </w:p>
    <w:p w:rsidR="00C2306E" w:rsidRPr="00C2306E" w:rsidRDefault="00C2306E" w:rsidP="00C2306E">
      <w:pPr>
        <w:tabs>
          <w:tab w:val="left" w:pos="284"/>
        </w:tabs>
        <w:spacing w:before="120" w:after="120" w:line="312" w:lineRule="auto"/>
        <w:ind w:right="140"/>
        <w:contextualSpacing/>
        <w:jc w:val="both"/>
        <w:rPr>
          <w:rFonts w:asciiTheme="minorHAnsi" w:hAnsiTheme="minorHAnsi" w:cstheme="minorHAnsi"/>
          <w:sz w:val="28"/>
          <w:szCs w:val="24"/>
        </w:rPr>
      </w:pPr>
      <w:r>
        <w:rPr>
          <w:rFonts w:asciiTheme="minorHAnsi" w:hAnsiTheme="minorHAnsi" w:cstheme="minorHAnsi"/>
          <w:szCs w:val="24"/>
        </w:rPr>
        <w:t xml:space="preserve">Este Consejo valora muy positivamente la disposición del </w:t>
      </w:r>
      <w:r w:rsidR="00C85F42">
        <w:rPr>
          <w:rFonts w:asciiTheme="minorHAnsi" w:hAnsiTheme="minorHAnsi" w:cstheme="minorHAnsi"/>
          <w:szCs w:val="24"/>
        </w:rPr>
        <w:t>CUD-AGM</w:t>
      </w:r>
      <w:r>
        <w:rPr>
          <w:rFonts w:asciiTheme="minorHAnsi" w:hAnsiTheme="minorHAnsi" w:cstheme="minorHAnsi"/>
          <w:szCs w:val="24"/>
        </w:rPr>
        <w:t xml:space="preserve"> a tener en cuenta las recomendaciones del informe de evaluación</w:t>
      </w:r>
      <w:r w:rsidR="00C85F42">
        <w:rPr>
          <w:rFonts w:asciiTheme="minorHAnsi" w:hAnsiTheme="minorHAnsi" w:cstheme="minorHAnsi"/>
          <w:szCs w:val="24"/>
        </w:rPr>
        <w:t xml:space="preserve">, la mayor parte de las cuales se ha aplicado durante la fase de observaciones. </w:t>
      </w:r>
      <w:r>
        <w:rPr>
          <w:rFonts w:asciiTheme="minorHAnsi" w:hAnsiTheme="minorHAnsi" w:cstheme="minorHAnsi"/>
          <w:szCs w:val="24"/>
        </w:rPr>
        <w:t xml:space="preserve">Sin duda, la aplicación de las recomendaciones derivadas de la evaluación </w:t>
      </w:r>
      <w:r w:rsidR="00707C15">
        <w:rPr>
          <w:rFonts w:asciiTheme="minorHAnsi" w:hAnsiTheme="minorHAnsi" w:cstheme="minorHAnsi"/>
          <w:szCs w:val="24"/>
        </w:rPr>
        <w:t>supondrá</w:t>
      </w:r>
      <w:r>
        <w:rPr>
          <w:rFonts w:asciiTheme="minorHAnsi" w:hAnsiTheme="minorHAnsi" w:cstheme="minorHAnsi"/>
          <w:szCs w:val="24"/>
        </w:rPr>
        <w:t xml:space="preserve"> un incremento notable del Índice de Cumplimiento, que será, nuevamente evaluado en 2024. </w:t>
      </w:r>
      <w:bookmarkStart w:id="0" w:name="_GoBack"/>
      <w:bookmarkEnd w:id="0"/>
    </w:p>
    <w:p w:rsidR="00C2306E" w:rsidRDefault="00C2306E" w:rsidP="009557B1">
      <w:pPr>
        <w:autoSpaceDE w:val="0"/>
        <w:autoSpaceDN w:val="0"/>
        <w:adjustRightInd w:val="0"/>
        <w:spacing w:after="0"/>
        <w:jc w:val="right"/>
        <w:rPr>
          <w:rFonts w:asciiTheme="minorHAnsi" w:hAnsiTheme="minorHAnsi" w:cstheme="minorHAnsi"/>
          <w:szCs w:val="24"/>
        </w:rPr>
      </w:pPr>
    </w:p>
    <w:p w:rsidR="00C2306E" w:rsidRDefault="00C2306E" w:rsidP="009557B1">
      <w:pPr>
        <w:autoSpaceDE w:val="0"/>
        <w:autoSpaceDN w:val="0"/>
        <w:adjustRightInd w:val="0"/>
        <w:spacing w:after="0"/>
        <w:jc w:val="right"/>
        <w:rPr>
          <w:rFonts w:asciiTheme="minorHAnsi" w:hAnsiTheme="minorHAnsi" w:cstheme="minorHAnsi"/>
          <w:szCs w:val="24"/>
        </w:rPr>
      </w:pPr>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5C0138">
        <w:rPr>
          <w:rFonts w:asciiTheme="minorHAnsi" w:hAnsiTheme="minorHAnsi" w:cstheme="minorHAnsi"/>
          <w:szCs w:val="24"/>
        </w:rPr>
        <w:t>junio</w:t>
      </w:r>
      <w:r w:rsidRPr="002C000A">
        <w:rPr>
          <w:rFonts w:asciiTheme="minorHAnsi" w:hAnsiTheme="minorHAnsi" w:cstheme="minorHAnsi"/>
          <w:szCs w:val="24"/>
        </w:rPr>
        <w:t xml:space="preserve"> de 202</w:t>
      </w:r>
      <w:r w:rsidR="00FC3816">
        <w:rPr>
          <w:rFonts w:asciiTheme="minorHAnsi" w:hAnsiTheme="minorHAnsi" w:cstheme="minorHAnsi"/>
          <w:szCs w:val="24"/>
        </w:rPr>
        <w:t>3</w:t>
      </w:r>
    </w:p>
    <w:sectPr w:rsidR="006F17B5" w:rsidRPr="002C000A" w:rsidSect="009E16B5">
      <w:headerReference w:type="default" r:id="rId9"/>
      <w:footerReference w:type="default" r:id="rId10"/>
      <w:headerReference w:type="first" r:id="rId11"/>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7A3" w:rsidRDefault="000547A3" w:rsidP="00344FE7">
      <w:pPr>
        <w:spacing w:after="0" w:line="240" w:lineRule="auto"/>
      </w:pPr>
      <w:r>
        <w:separator/>
      </w:r>
    </w:p>
  </w:endnote>
  <w:endnote w:type="continuationSeparator" w:id="0">
    <w:p w:rsidR="000547A3" w:rsidRDefault="000547A3"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0547A3" w:rsidRPr="00C23F36" w:rsidRDefault="000547A3"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186BD0">
          <w:rPr>
            <w:noProof/>
            <w:sz w:val="20"/>
            <w:szCs w:val="20"/>
          </w:rPr>
          <w:t>3</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7A3" w:rsidRDefault="000547A3" w:rsidP="00344FE7">
      <w:pPr>
        <w:spacing w:after="0" w:line="240" w:lineRule="auto"/>
      </w:pPr>
      <w:r>
        <w:separator/>
      </w:r>
    </w:p>
  </w:footnote>
  <w:footnote w:type="continuationSeparator" w:id="0">
    <w:p w:rsidR="000547A3" w:rsidRDefault="000547A3"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7A3" w:rsidRDefault="000547A3">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0547A3" w:rsidRDefault="000547A3">
    <w:pPr>
      <w:pStyle w:val="Encabezado"/>
    </w:pPr>
  </w:p>
  <w:p w:rsidR="000547A3" w:rsidRDefault="000547A3" w:rsidP="00344FE7">
    <w:pPr>
      <w:pStyle w:val="Encabezado"/>
    </w:pPr>
  </w:p>
  <w:p w:rsidR="000547A3" w:rsidRDefault="000547A3" w:rsidP="00344FE7">
    <w:pPr>
      <w:pStyle w:val="Encabezado"/>
    </w:pPr>
  </w:p>
  <w:p w:rsidR="000547A3" w:rsidRDefault="000547A3"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7A3" w:rsidRDefault="000547A3"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957" type="#_x0000_t75" style="width:11.25pt;height:11.25pt" o:bullet="t">
        <v:imagedata r:id="rId1" o:title="BD14529_"/>
      </v:shape>
    </w:pict>
  </w:numPicBullet>
  <w:numPicBullet w:numPicBulletId="1">
    <w:pict>
      <v:shape id="_x0000_i2958" type="#_x0000_t75" style="width:11.25pt;height:11.25pt" o:bullet="t">
        <v:imagedata r:id="rId2" o:title="BD14654_"/>
      </v:shape>
    </w:pict>
  </w:numPicBullet>
  <w:numPicBullet w:numPicBulletId="2">
    <w:pict>
      <v:shape id="_x0000_i2959" type="#_x0000_t75" style="width:9pt;height:9pt" o:bullet="t">
        <v:imagedata r:id="rId3" o:title="BD14533_"/>
      </v:shape>
    </w:pict>
  </w:numPicBullet>
  <w:abstractNum w:abstractNumId="0">
    <w:nsid w:val="036C688B"/>
    <w:multiLevelType w:val="hybridMultilevel"/>
    <w:tmpl w:val="E8D4A118"/>
    <w:lvl w:ilvl="0" w:tplc="B7C2270E">
      <w:start w:val="1"/>
      <w:numFmt w:val="bullet"/>
      <w:lvlText w:val=""/>
      <w:lvlPicBulletId w:val="2"/>
      <w:lvlJc w:val="left"/>
      <w:pPr>
        <w:ind w:left="1429" w:hanging="360"/>
      </w:pPr>
      <w:rPr>
        <w:rFonts w:ascii="Symbol" w:hAnsi="Symbol" w:hint="default"/>
        <w:color w:val="auto"/>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6EC3ECE"/>
    <w:multiLevelType w:val="hybridMultilevel"/>
    <w:tmpl w:val="46187BF8"/>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81D006A"/>
    <w:multiLevelType w:val="hybridMultilevel"/>
    <w:tmpl w:val="06BCCD3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6">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E523F4C"/>
    <w:multiLevelType w:val="hybridMultilevel"/>
    <w:tmpl w:val="6C881162"/>
    <w:lvl w:ilvl="0" w:tplc="CEC84E8A">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1">
    <w:nsid w:val="33E35655"/>
    <w:multiLevelType w:val="hybridMultilevel"/>
    <w:tmpl w:val="C1BE2888"/>
    <w:lvl w:ilvl="0" w:tplc="6652D48A">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3F067871"/>
    <w:multiLevelType w:val="hybridMultilevel"/>
    <w:tmpl w:val="42BA3632"/>
    <w:lvl w:ilvl="0" w:tplc="B7C2270E">
      <w:start w:val="1"/>
      <w:numFmt w:val="bullet"/>
      <w:lvlText w:val=""/>
      <w:lvlPicBulletId w:val="2"/>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4">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C895C77"/>
    <w:multiLevelType w:val="hybridMultilevel"/>
    <w:tmpl w:val="26D4F032"/>
    <w:lvl w:ilvl="0" w:tplc="EA9AB97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DA30D8E"/>
    <w:multiLevelType w:val="hybridMultilevel"/>
    <w:tmpl w:val="365CDCD0"/>
    <w:lvl w:ilvl="0" w:tplc="DF9A9726">
      <w:start w:val="1"/>
      <w:numFmt w:val="decimal"/>
      <w:lvlText w:val="%1."/>
      <w:lvlJc w:val="left"/>
      <w:pPr>
        <w:ind w:left="1920" w:hanging="360"/>
      </w:pPr>
      <w:rPr>
        <w:rFonts w:hint="default"/>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2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0"/>
  </w:num>
  <w:num w:numId="5">
    <w:abstractNumId w:val="7"/>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1"/>
  </w:num>
  <w:num w:numId="11">
    <w:abstractNumId w:val="11"/>
  </w:num>
  <w:num w:numId="12">
    <w:abstractNumId w:val="14"/>
  </w:num>
  <w:num w:numId="13">
    <w:abstractNumId w:val="15"/>
  </w:num>
  <w:num w:numId="14">
    <w:abstractNumId w:val="18"/>
  </w:num>
  <w:num w:numId="15">
    <w:abstractNumId w:val="9"/>
  </w:num>
  <w:num w:numId="16">
    <w:abstractNumId w:val="10"/>
  </w:num>
  <w:num w:numId="17">
    <w:abstractNumId w:val="0"/>
  </w:num>
  <w:num w:numId="18">
    <w:abstractNumId w:val="13"/>
  </w:num>
  <w:num w:numId="19">
    <w:abstractNumId w:val="2"/>
  </w:num>
  <w:num w:numId="20">
    <w:abstractNumId w:val="16"/>
  </w:num>
  <w:num w:numId="21">
    <w:abstractNumId w:val="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03EA5"/>
    <w:rsid w:val="00006776"/>
    <w:rsid w:val="000234B9"/>
    <w:rsid w:val="00033E75"/>
    <w:rsid w:val="00034F48"/>
    <w:rsid w:val="00036A5D"/>
    <w:rsid w:val="000371F8"/>
    <w:rsid w:val="00043EA8"/>
    <w:rsid w:val="0005249D"/>
    <w:rsid w:val="000547A3"/>
    <w:rsid w:val="000561DC"/>
    <w:rsid w:val="00070294"/>
    <w:rsid w:val="00074030"/>
    <w:rsid w:val="00076DBA"/>
    <w:rsid w:val="00094C4C"/>
    <w:rsid w:val="000D4422"/>
    <w:rsid w:val="000E0D61"/>
    <w:rsid w:val="001257F9"/>
    <w:rsid w:val="0013625B"/>
    <w:rsid w:val="0014196C"/>
    <w:rsid w:val="0015084B"/>
    <w:rsid w:val="00151290"/>
    <w:rsid w:val="0016439B"/>
    <w:rsid w:val="001750A8"/>
    <w:rsid w:val="00175D6C"/>
    <w:rsid w:val="0018324C"/>
    <w:rsid w:val="00186B56"/>
    <w:rsid w:val="00186BD0"/>
    <w:rsid w:val="0019362B"/>
    <w:rsid w:val="00194E05"/>
    <w:rsid w:val="001B16D9"/>
    <w:rsid w:val="001B7352"/>
    <w:rsid w:val="001E13AE"/>
    <w:rsid w:val="001E1D71"/>
    <w:rsid w:val="001E44BC"/>
    <w:rsid w:val="002062C9"/>
    <w:rsid w:val="002114E3"/>
    <w:rsid w:val="00235A40"/>
    <w:rsid w:val="00251194"/>
    <w:rsid w:val="00292806"/>
    <w:rsid w:val="002A4771"/>
    <w:rsid w:val="002A7933"/>
    <w:rsid w:val="002C000A"/>
    <w:rsid w:val="002F5D0B"/>
    <w:rsid w:val="00323DEE"/>
    <w:rsid w:val="003259B9"/>
    <w:rsid w:val="00334745"/>
    <w:rsid w:val="00344FE7"/>
    <w:rsid w:val="00351475"/>
    <w:rsid w:val="00355DEA"/>
    <w:rsid w:val="003656B1"/>
    <w:rsid w:val="00395742"/>
    <w:rsid w:val="003B5DE7"/>
    <w:rsid w:val="003C09C3"/>
    <w:rsid w:val="003D2C6C"/>
    <w:rsid w:val="003D52DF"/>
    <w:rsid w:val="003F0972"/>
    <w:rsid w:val="003F38BD"/>
    <w:rsid w:val="004108BB"/>
    <w:rsid w:val="004124E7"/>
    <w:rsid w:val="00435013"/>
    <w:rsid w:val="0045134F"/>
    <w:rsid w:val="00466973"/>
    <w:rsid w:val="00470F02"/>
    <w:rsid w:val="00476C7E"/>
    <w:rsid w:val="00486ED2"/>
    <w:rsid w:val="004B15B8"/>
    <w:rsid w:val="004D4EF1"/>
    <w:rsid w:val="00525FCA"/>
    <w:rsid w:val="0055202A"/>
    <w:rsid w:val="00565608"/>
    <w:rsid w:val="005726F1"/>
    <w:rsid w:val="005B1C12"/>
    <w:rsid w:val="005C0138"/>
    <w:rsid w:val="005F0570"/>
    <w:rsid w:val="005F4305"/>
    <w:rsid w:val="00614890"/>
    <w:rsid w:val="00620AB5"/>
    <w:rsid w:val="006262A2"/>
    <w:rsid w:val="00636FF6"/>
    <w:rsid w:val="006615ED"/>
    <w:rsid w:val="0066237D"/>
    <w:rsid w:val="006F17B5"/>
    <w:rsid w:val="006F5890"/>
    <w:rsid w:val="00700D70"/>
    <w:rsid w:val="00707C15"/>
    <w:rsid w:val="0071472F"/>
    <w:rsid w:val="00727A3D"/>
    <w:rsid w:val="007342F2"/>
    <w:rsid w:val="00745E83"/>
    <w:rsid w:val="007704A4"/>
    <w:rsid w:val="00772C2A"/>
    <w:rsid w:val="007759D6"/>
    <w:rsid w:val="00782FEF"/>
    <w:rsid w:val="007A0B25"/>
    <w:rsid w:val="007A4EFC"/>
    <w:rsid w:val="007A662D"/>
    <w:rsid w:val="007B482F"/>
    <w:rsid w:val="007C00E5"/>
    <w:rsid w:val="007C0642"/>
    <w:rsid w:val="007D24E2"/>
    <w:rsid w:val="007D768B"/>
    <w:rsid w:val="008027DF"/>
    <w:rsid w:val="00815DA2"/>
    <w:rsid w:val="00855ECA"/>
    <w:rsid w:val="0088562A"/>
    <w:rsid w:val="00887DB9"/>
    <w:rsid w:val="00895B20"/>
    <w:rsid w:val="0089717A"/>
    <w:rsid w:val="008B5F75"/>
    <w:rsid w:val="008B79BD"/>
    <w:rsid w:val="008E39FA"/>
    <w:rsid w:val="00901F1F"/>
    <w:rsid w:val="009029E0"/>
    <w:rsid w:val="00950524"/>
    <w:rsid w:val="009557B1"/>
    <w:rsid w:val="00990CFE"/>
    <w:rsid w:val="009B7ADA"/>
    <w:rsid w:val="009D2560"/>
    <w:rsid w:val="009D6677"/>
    <w:rsid w:val="009E084D"/>
    <w:rsid w:val="009E16B5"/>
    <w:rsid w:val="009E30AA"/>
    <w:rsid w:val="009F1491"/>
    <w:rsid w:val="00A24192"/>
    <w:rsid w:val="00A26523"/>
    <w:rsid w:val="00A41DE8"/>
    <w:rsid w:val="00A603C7"/>
    <w:rsid w:val="00A62936"/>
    <w:rsid w:val="00A70779"/>
    <w:rsid w:val="00A76101"/>
    <w:rsid w:val="00AC04C4"/>
    <w:rsid w:val="00AD5B28"/>
    <w:rsid w:val="00AE1A4A"/>
    <w:rsid w:val="00AE5BF4"/>
    <w:rsid w:val="00B263E1"/>
    <w:rsid w:val="00B2797F"/>
    <w:rsid w:val="00B31F84"/>
    <w:rsid w:val="00B35A53"/>
    <w:rsid w:val="00B4112D"/>
    <w:rsid w:val="00B81EE6"/>
    <w:rsid w:val="00BC7A82"/>
    <w:rsid w:val="00BD3143"/>
    <w:rsid w:val="00BE33B9"/>
    <w:rsid w:val="00C01613"/>
    <w:rsid w:val="00C0201F"/>
    <w:rsid w:val="00C04331"/>
    <w:rsid w:val="00C119CE"/>
    <w:rsid w:val="00C13C51"/>
    <w:rsid w:val="00C2306E"/>
    <w:rsid w:val="00C2379F"/>
    <w:rsid w:val="00C23F36"/>
    <w:rsid w:val="00C25FA5"/>
    <w:rsid w:val="00C305B6"/>
    <w:rsid w:val="00C3135F"/>
    <w:rsid w:val="00C63231"/>
    <w:rsid w:val="00C736B9"/>
    <w:rsid w:val="00C82AB2"/>
    <w:rsid w:val="00C85F42"/>
    <w:rsid w:val="00C87BC3"/>
    <w:rsid w:val="00C91171"/>
    <w:rsid w:val="00C926FE"/>
    <w:rsid w:val="00CB4447"/>
    <w:rsid w:val="00CD334A"/>
    <w:rsid w:val="00CE0D15"/>
    <w:rsid w:val="00CF0704"/>
    <w:rsid w:val="00D23111"/>
    <w:rsid w:val="00D243C8"/>
    <w:rsid w:val="00D445A4"/>
    <w:rsid w:val="00D44E9D"/>
    <w:rsid w:val="00D55DED"/>
    <w:rsid w:val="00D72EF9"/>
    <w:rsid w:val="00D775DA"/>
    <w:rsid w:val="00D847B0"/>
    <w:rsid w:val="00D97887"/>
    <w:rsid w:val="00DA126F"/>
    <w:rsid w:val="00DB21EC"/>
    <w:rsid w:val="00DB2CB4"/>
    <w:rsid w:val="00DB2CCC"/>
    <w:rsid w:val="00DD07B5"/>
    <w:rsid w:val="00DF5982"/>
    <w:rsid w:val="00E03C82"/>
    <w:rsid w:val="00E35741"/>
    <w:rsid w:val="00E4386D"/>
    <w:rsid w:val="00E475B6"/>
    <w:rsid w:val="00E5135F"/>
    <w:rsid w:val="00E64F85"/>
    <w:rsid w:val="00EB7058"/>
    <w:rsid w:val="00EB79A4"/>
    <w:rsid w:val="00EC3AAE"/>
    <w:rsid w:val="00ED6FD3"/>
    <w:rsid w:val="00EE1E1D"/>
    <w:rsid w:val="00EF5F68"/>
    <w:rsid w:val="00F01784"/>
    <w:rsid w:val="00F17B00"/>
    <w:rsid w:val="00F34F89"/>
    <w:rsid w:val="00F43F74"/>
    <w:rsid w:val="00F47B8C"/>
    <w:rsid w:val="00F5121D"/>
    <w:rsid w:val="00F777C2"/>
    <w:rsid w:val="00FA448C"/>
    <w:rsid w:val="00FC3816"/>
    <w:rsid w:val="00FC651F"/>
    <w:rsid w:val="00FD1DF8"/>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clara">
    <w:name w:val="Light List"/>
    <w:basedOn w:val="Tablanormal"/>
    <w:uiPriority w:val="61"/>
    <w:rsid w:val="0019362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staclara1">
    <w:name w:val="Lista clara1"/>
    <w:basedOn w:val="Tablanormal"/>
    <w:next w:val="Listaclara"/>
    <w:uiPriority w:val="61"/>
    <w:rsid w:val="008027D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clara">
    <w:name w:val="Light List"/>
    <w:basedOn w:val="Tablanormal"/>
    <w:uiPriority w:val="61"/>
    <w:rsid w:val="0019362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staclara1">
    <w:name w:val="Lista clara1"/>
    <w:basedOn w:val="Tablanormal"/>
    <w:next w:val="Listaclara"/>
    <w:uiPriority w:val="61"/>
    <w:rsid w:val="008027D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64E68-2666-4E45-80EA-182CF3BCB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832</Words>
  <Characters>4579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6</cp:revision>
  <cp:lastPrinted>2015-01-27T17:42:00Z</cp:lastPrinted>
  <dcterms:created xsi:type="dcterms:W3CDTF">2023-06-16T09:51:00Z</dcterms:created>
  <dcterms:modified xsi:type="dcterms:W3CDTF">2023-06-16T11:08:00Z</dcterms:modified>
</cp:coreProperties>
</file>