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990CFE">
        <w:rPr>
          <w:color w:val="079386"/>
        </w:rPr>
        <w:t xml:space="preserve">LA </w:t>
      </w:r>
      <w:r w:rsidR="009F7659">
        <w:rPr>
          <w:color w:val="079386"/>
        </w:rPr>
        <w:t>SOCIEDAD MERCANTIL ESTATAL PARA LA GESTIÓN DE LA INNOVACIÓN Y LAS TECNOLOGÍAS TURÍSTICAS</w:t>
      </w:r>
      <w:r w:rsidR="007704A4">
        <w:rPr>
          <w:color w:val="079386"/>
        </w:rPr>
        <w:t xml:space="preserve">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escrito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9F7659">
        <w:rPr>
          <w:rFonts w:asciiTheme="minorHAnsi" w:hAnsiTheme="minorHAnsi" w:cstheme="minorHAnsi"/>
          <w:szCs w:val="24"/>
        </w:rPr>
        <w:t>8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323DEE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7704A4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704A4" w:rsidRDefault="007704A4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</w:t>
      </w:r>
      <w:r w:rsidR="00323DEE">
        <w:rPr>
          <w:rFonts w:asciiTheme="minorHAnsi" w:hAnsiTheme="minorHAnsi" w:cstheme="minorHAnsi"/>
          <w:b/>
          <w:szCs w:val="24"/>
        </w:rPr>
        <w:t xml:space="preserve">de </w:t>
      </w:r>
      <w:r w:rsidR="009F7659">
        <w:rPr>
          <w:rFonts w:asciiTheme="minorHAnsi" w:hAnsiTheme="minorHAnsi" w:cstheme="minorHAnsi"/>
          <w:b/>
          <w:szCs w:val="24"/>
        </w:rPr>
        <w:t>la observación relativa a la publicación de la descripción de la estructura organizativa de la sociedad</w:t>
      </w:r>
      <w:r>
        <w:rPr>
          <w:rFonts w:asciiTheme="minorHAnsi" w:hAnsiTheme="minorHAnsi" w:cstheme="minorHAnsi"/>
          <w:b/>
          <w:szCs w:val="24"/>
        </w:rPr>
        <w:t>.</w:t>
      </w:r>
    </w:p>
    <w:p w:rsidR="00F34F89" w:rsidRDefault="00F34F89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43EA8" w:rsidRDefault="00F34F89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su informe de observaciones indica</w:t>
      </w:r>
      <w:r w:rsidR="006262A2">
        <w:rPr>
          <w:rFonts w:asciiTheme="minorHAnsi" w:hAnsiTheme="minorHAnsi" w:cstheme="minorHAnsi"/>
          <w:szCs w:val="24"/>
        </w:rPr>
        <w:t xml:space="preserve"> </w:t>
      </w:r>
      <w:r w:rsidR="009F7659">
        <w:rPr>
          <w:rFonts w:asciiTheme="minorHAnsi" w:hAnsiTheme="minorHAnsi" w:cstheme="minorHAnsi"/>
          <w:szCs w:val="24"/>
        </w:rPr>
        <w:t>SEGITTUR</w:t>
      </w:r>
      <w:r>
        <w:rPr>
          <w:rFonts w:asciiTheme="minorHAnsi" w:hAnsiTheme="minorHAnsi" w:cstheme="minorHAnsi"/>
          <w:szCs w:val="24"/>
        </w:rPr>
        <w:t xml:space="preserve">, </w:t>
      </w:r>
      <w:r w:rsidR="00C91272">
        <w:rPr>
          <w:rFonts w:asciiTheme="minorHAnsi" w:hAnsiTheme="minorHAnsi" w:cstheme="minorHAnsi"/>
          <w:szCs w:val="24"/>
        </w:rPr>
        <w:t xml:space="preserve">que esta información se publica a través del enlace organigrama del apartado Quiénes somos, citando el artículo 6 de la LTAIBG. Efectivamente, a través de dicho enlace se localiza </w:t>
      </w:r>
      <w:r w:rsidR="00C91272" w:rsidRPr="00C91272">
        <w:rPr>
          <w:rFonts w:asciiTheme="minorHAnsi" w:hAnsiTheme="minorHAnsi" w:cstheme="minorHAnsi"/>
          <w:szCs w:val="24"/>
        </w:rPr>
        <w:t xml:space="preserve">el organigrama– que se corresponde con la obligación organigrama -, </w:t>
      </w:r>
      <w:r w:rsidR="00C91272">
        <w:rPr>
          <w:rFonts w:asciiTheme="minorHAnsi" w:hAnsiTheme="minorHAnsi" w:cstheme="minorHAnsi"/>
          <w:szCs w:val="24"/>
        </w:rPr>
        <w:t xml:space="preserve">la identificación  y el perfil y trayectoria profesional  de los máximos responsables de la sociedad – información que corresponde a ambas obligaciones -  </w:t>
      </w:r>
      <w:r w:rsidR="00C91272" w:rsidRPr="00C91272">
        <w:rPr>
          <w:rFonts w:asciiTheme="minorHAnsi" w:hAnsiTheme="minorHAnsi" w:cstheme="minorHAnsi"/>
          <w:szCs w:val="24"/>
        </w:rPr>
        <w:t xml:space="preserve">pero no una breve descripción de cómo se organiza la sociedad, incluyendo en dicha descripción tanto los órganos de </w:t>
      </w:r>
      <w:r w:rsidR="00C91272">
        <w:rPr>
          <w:rFonts w:asciiTheme="minorHAnsi" w:hAnsiTheme="minorHAnsi" w:cstheme="minorHAnsi"/>
          <w:szCs w:val="24"/>
        </w:rPr>
        <w:t xml:space="preserve">gobierno </w:t>
      </w:r>
      <w:r w:rsidR="00C91272" w:rsidRPr="00C91272">
        <w:rPr>
          <w:rFonts w:asciiTheme="minorHAnsi" w:hAnsiTheme="minorHAnsi" w:cstheme="minorHAnsi"/>
          <w:szCs w:val="24"/>
        </w:rPr>
        <w:t xml:space="preserve">como la estructura directiva de la sociedad. La descripción de la estructura organizativa, la identificación de los máximos responsables </w:t>
      </w:r>
      <w:r w:rsidR="00C91272">
        <w:rPr>
          <w:rFonts w:asciiTheme="minorHAnsi" w:hAnsiTheme="minorHAnsi" w:cstheme="minorHAnsi"/>
          <w:szCs w:val="24"/>
        </w:rPr>
        <w:t>y su perfil profesional</w:t>
      </w:r>
      <w:r w:rsidR="00C91272" w:rsidRPr="00C91272">
        <w:rPr>
          <w:rFonts w:asciiTheme="minorHAnsi" w:hAnsiTheme="minorHAnsi" w:cstheme="minorHAnsi"/>
          <w:szCs w:val="24"/>
        </w:rPr>
        <w:t xml:space="preserve">  y el organigrama son</w:t>
      </w:r>
      <w:r w:rsidR="00C91272">
        <w:rPr>
          <w:rFonts w:asciiTheme="minorHAnsi" w:hAnsiTheme="minorHAnsi" w:cstheme="minorHAnsi"/>
          <w:szCs w:val="24"/>
        </w:rPr>
        <w:t>, a juicio de este Consejo,</w:t>
      </w:r>
      <w:r w:rsidR="00C91272" w:rsidRPr="00C91272">
        <w:rPr>
          <w:rFonts w:asciiTheme="minorHAnsi" w:hAnsiTheme="minorHAnsi" w:cstheme="minorHAnsi"/>
          <w:szCs w:val="24"/>
        </w:rPr>
        <w:t xml:space="preserve"> </w:t>
      </w:r>
      <w:r w:rsidR="00C91272">
        <w:rPr>
          <w:rFonts w:asciiTheme="minorHAnsi" w:hAnsiTheme="minorHAnsi" w:cstheme="minorHAnsi"/>
          <w:szCs w:val="24"/>
        </w:rPr>
        <w:t>cuatro</w:t>
      </w:r>
      <w:r w:rsidR="00C91272" w:rsidRPr="00C91272">
        <w:rPr>
          <w:rFonts w:asciiTheme="minorHAnsi" w:hAnsiTheme="minorHAnsi" w:cstheme="minorHAnsi"/>
          <w:szCs w:val="24"/>
        </w:rPr>
        <w:t xml:space="preserve"> obligaciones diferentes, razón por la que la información relativa a cada una de dichas obligaciones debe publicarse de manera individualizada.</w:t>
      </w:r>
    </w:p>
    <w:p w:rsidR="00C91272" w:rsidRDefault="00C91272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43EA8" w:rsidRDefault="00C91272" w:rsidP="00043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Este criterio del CTBG se fundamenta en las competencias que el artículo 38 de la LTAIBG asigna a este consejo: el artículo 38.1. a) de la LTAIBG contempla entre las competencias y funciones del CTBG, la adopción de recomendaciones para el mejor cumplimiento de las obligaciones contenidas en la norma y el mismo artículo en su inciso 2 apartado a) atribuye a la Presidencia del Consejo, entre otras funciones, la adopción de criterios de interpretación uniforme de la LTAIBG.</w:t>
      </w:r>
    </w:p>
    <w:p w:rsidR="00C91272" w:rsidRDefault="00C91272" w:rsidP="00043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D1184" w:rsidRPr="00AD1184" w:rsidRDefault="00AD1184" w:rsidP="00AD1184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AD1184">
        <w:rPr>
          <w:rFonts w:asciiTheme="minorHAnsi" w:hAnsiTheme="minorHAnsi" w:cstheme="minorHAnsi"/>
          <w:b/>
          <w:szCs w:val="24"/>
        </w:rPr>
        <w:t>Respecto de que la falta de publicación de algunas informaciones obligatorias se debe a la inexistencia de actividad en ese ámbito concreto.</w:t>
      </w:r>
    </w:p>
    <w:p w:rsidR="00AD1184" w:rsidRPr="00AD1184" w:rsidRDefault="00AD1184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C91272" w:rsidRDefault="00AD1184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AD1184">
        <w:rPr>
          <w:rFonts w:asciiTheme="minorHAnsi" w:hAnsiTheme="minorHAnsi" w:cstheme="minorHAnsi"/>
          <w:szCs w:val="24"/>
        </w:rPr>
        <w:lastRenderedPageBreak/>
        <w:t xml:space="preserve">Como ha señalado este Consejo en el apartado conclusiones y recomendaciones del informe provisional de evaluación, la única manera de distinguir - por los ciudadanos y también por los evaluadores -,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publicación, es que se indique expresamente tal circunstancia. Por esta razón, este Consejo, recomendó </w:t>
      </w:r>
      <w:r>
        <w:rPr>
          <w:rFonts w:asciiTheme="minorHAnsi" w:hAnsiTheme="minorHAnsi" w:cstheme="minorHAnsi"/>
          <w:szCs w:val="24"/>
        </w:rPr>
        <w:t>a SEGITTUR</w:t>
      </w:r>
      <w:r w:rsidRPr="00AD1184">
        <w:rPr>
          <w:rFonts w:asciiTheme="minorHAnsi" w:hAnsiTheme="minorHAnsi" w:cstheme="minorHAnsi"/>
          <w:szCs w:val="24"/>
        </w:rPr>
        <w:t xml:space="preserve"> que en el apartado correspondiente a la obligación de publicidad activa para la que no ha existido actividad, se haga constar que la falta de publicación se debe a la falta de actividad en ese ámbito.</w:t>
      </w:r>
    </w:p>
    <w:p w:rsidR="00043EA8" w:rsidRDefault="00043EA8" w:rsidP="00043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6237D" w:rsidRDefault="00186B56" w:rsidP="00186B56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186B56">
        <w:rPr>
          <w:rFonts w:asciiTheme="minorHAnsi" w:hAnsiTheme="minorHAnsi" w:cstheme="minorHAnsi"/>
          <w:b/>
          <w:szCs w:val="24"/>
        </w:rPr>
        <w:t xml:space="preserve">Respecto de </w:t>
      </w:r>
      <w:r w:rsidR="00FA448C">
        <w:rPr>
          <w:rFonts w:asciiTheme="minorHAnsi" w:hAnsiTheme="minorHAnsi" w:cstheme="minorHAnsi"/>
          <w:b/>
          <w:szCs w:val="24"/>
        </w:rPr>
        <w:t xml:space="preserve">las observaciones relativas </w:t>
      </w:r>
      <w:r w:rsidR="00043EA8">
        <w:rPr>
          <w:rFonts w:asciiTheme="minorHAnsi" w:hAnsiTheme="minorHAnsi" w:cstheme="minorHAnsi"/>
          <w:b/>
          <w:szCs w:val="24"/>
        </w:rPr>
        <w:t xml:space="preserve">a la publicación de las </w:t>
      </w:r>
      <w:r w:rsidR="00AD1184">
        <w:rPr>
          <w:rFonts w:asciiTheme="minorHAnsi" w:hAnsiTheme="minorHAnsi" w:cstheme="minorHAnsi"/>
          <w:b/>
          <w:szCs w:val="24"/>
        </w:rPr>
        <w:t>retribuciones de altos cargos y máximos responsables.</w:t>
      </w:r>
    </w:p>
    <w:p w:rsidR="00043EA8" w:rsidRDefault="00043EA8" w:rsidP="00043EA8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D1184" w:rsidRPr="00AD1184" w:rsidRDefault="00AD1184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Señala SEGITTUR en su informe de observaciones, que las retribuciones de los miembros del equipo de dirección no se publican por no tener la condición de máximo responsable a tenor de lo dispuesto en el Real Decreto 451/2012, </w:t>
      </w:r>
      <w:r w:rsidRPr="00AD1184">
        <w:rPr>
          <w:rFonts w:asciiTheme="minorHAnsi" w:hAnsiTheme="minorHAnsi" w:cstheme="minorHAnsi"/>
          <w:szCs w:val="24"/>
        </w:rPr>
        <w:t>por el que se regula el régimen retributivo de los máximos responsables y directivos en el sector público y otras entidades.</w:t>
      </w:r>
    </w:p>
    <w:p w:rsidR="00AD1184" w:rsidRPr="00AD1184" w:rsidRDefault="00AD1184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D1184" w:rsidRPr="00AD1184" w:rsidRDefault="00AD1184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Pr="00AD1184">
        <w:rPr>
          <w:rFonts w:asciiTheme="minorHAnsi" w:hAnsiTheme="minorHAnsi" w:cstheme="minorHAnsi"/>
          <w:szCs w:val="24"/>
        </w:rPr>
        <w:t xml:space="preserve">na primera cuestión que plantea este Consejo, es la invocación del Real Decreto 451/2012 dado que su propósito es atribuir “un tratamiento uniforme al extender el régimen retributivo que prevé a todas las entidades comprendidas en su ámbito de aplicación”. Para ello clasifica las entidades integrantes del sector público en función de un conjunto de criterios y a partir de esta clasificación fija el nivel retributivo así como otras cuestiones de tipo organizativo. Igualmente define los conceptos de máximo responsable y directivo, que es a lo que se refiere </w:t>
      </w:r>
      <w:r w:rsidR="002958F1">
        <w:rPr>
          <w:rFonts w:asciiTheme="minorHAnsi" w:hAnsiTheme="minorHAnsi" w:cstheme="minorHAnsi"/>
          <w:szCs w:val="24"/>
        </w:rPr>
        <w:t>SEGITTUR</w:t>
      </w:r>
      <w:r w:rsidRPr="00AD1184">
        <w:rPr>
          <w:rFonts w:asciiTheme="minorHAnsi" w:hAnsiTheme="minorHAnsi" w:cstheme="minorHAnsi"/>
          <w:szCs w:val="24"/>
        </w:rPr>
        <w:t xml:space="preserve"> en sus observaciones. Sin embargo, a la vista  del objeto del Real Decreto, la fijación de niveles retributivos para los diferentes puestos directivos entre otras cuestiones, esta definición no tiene por qué ser extensible a otros ámbitos distintos de los que regula la norma. </w:t>
      </w:r>
      <w:r w:rsidR="002958F1">
        <w:rPr>
          <w:rFonts w:asciiTheme="minorHAnsi" w:hAnsiTheme="minorHAnsi" w:cstheme="minorHAnsi"/>
          <w:szCs w:val="24"/>
        </w:rPr>
        <w:t>De hecho, el artículo 3.1 citado textualmente por SEGITTUR en su informe de observaciones, se indica que “</w:t>
      </w:r>
      <w:r w:rsidR="00427826">
        <w:rPr>
          <w:rFonts w:asciiTheme="minorHAnsi" w:hAnsiTheme="minorHAnsi" w:cstheme="minorHAnsi"/>
          <w:szCs w:val="24"/>
        </w:rPr>
        <w:t>A</w:t>
      </w:r>
      <w:r w:rsidR="002958F1" w:rsidRPr="002958F1">
        <w:rPr>
          <w:rFonts w:asciiTheme="minorHAnsi" w:hAnsiTheme="minorHAnsi" w:cstheme="minorHAnsi"/>
          <w:i/>
          <w:szCs w:val="24"/>
        </w:rPr>
        <w:t xml:space="preserve"> los efectos de este Real Decreto, se entenderá por a) Máximo Responsable…..</w:t>
      </w:r>
      <w:r w:rsidR="002958F1">
        <w:rPr>
          <w:rFonts w:asciiTheme="minorHAnsi" w:hAnsiTheme="minorHAnsi" w:cstheme="minorHAnsi"/>
          <w:szCs w:val="24"/>
        </w:rPr>
        <w:t>”</w:t>
      </w:r>
    </w:p>
    <w:p w:rsidR="00AD1184" w:rsidRPr="00AD1184" w:rsidRDefault="00AD1184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D1184" w:rsidRDefault="002958F1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AD1184" w:rsidRPr="00AD1184">
        <w:rPr>
          <w:rFonts w:asciiTheme="minorHAnsi" w:hAnsiTheme="minorHAnsi" w:cstheme="minorHAnsi"/>
          <w:szCs w:val="24"/>
        </w:rPr>
        <w:t>esde este Consejo se ha venido interpretando que el concepto de máximo responsable engloba a todas aquellas personas que participan en el proceso de toma de decisiones que afectan al ejercicio de las funciones y competencias de la organización. Por lo tanto, no implica exclusivamente a aquellos cargos designados por Consejo de Ministro</w:t>
      </w:r>
      <w:r w:rsidR="00427826">
        <w:rPr>
          <w:rFonts w:asciiTheme="minorHAnsi" w:hAnsiTheme="minorHAnsi" w:cstheme="minorHAnsi"/>
          <w:szCs w:val="24"/>
        </w:rPr>
        <w:t>s</w:t>
      </w:r>
      <w:r w:rsidR="00AD1184" w:rsidRPr="00AD1184">
        <w:rPr>
          <w:rFonts w:asciiTheme="minorHAnsi" w:hAnsiTheme="minorHAnsi" w:cstheme="minorHAnsi"/>
          <w:szCs w:val="24"/>
        </w:rPr>
        <w:t xml:space="preserve"> o </w:t>
      </w:r>
      <w:r w:rsidR="00427826">
        <w:rPr>
          <w:rFonts w:asciiTheme="minorHAnsi" w:hAnsiTheme="minorHAnsi" w:cstheme="minorHAnsi"/>
          <w:szCs w:val="24"/>
        </w:rPr>
        <w:t>vinculados</w:t>
      </w:r>
      <w:r w:rsidR="00AD1184" w:rsidRPr="00AD1184">
        <w:rPr>
          <w:rFonts w:asciiTheme="minorHAnsi" w:hAnsiTheme="minorHAnsi" w:cstheme="minorHAnsi"/>
          <w:szCs w:val="24"/>
        </w:rPr>
        <w:t xml:space="preserve"> mediante contratos de Alta Dirección o que encajen en los supuestos que el Real Decreto 451/2012 incluye bajo el concepto de máximo responsable o directivo.</w:t>
      </w:r>
    </w:p>
    <w:p w:rsidR="002958F1" w:rsidRPr="00AD1184" w:rsidRDefault="002958F1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43EA8" w:rsidRPr="00043EA8" w:rsidRDefault="00AD1184" w:rsidP="00AD118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AD1184">
        <w:rPr>
          <w:rFonts w:asciiTheme="minorHAnsi" w:hAnsiTheme="minorHAnsi" w:cstheme="minorHAnsi"/>
          <w:szCs w:val="24"/>
        </w:rPr>
        <w:lastRenderedPageBreak/>
        <w:t>Es decir, a juicio del CTBG el concepto de máximo responsable incluye también a aquellos puestos de trabajo que integren el equipo directivo o el Comité de Dirección de la entidad, interpretación que se fundamenta en el artículo 38.2 a) de la LTAIBG que dota al CTBG, a través de su Presidente, de la capacidad de “adoptar criterios de interpretación uniforme de las obligaciones contenidas en esta Ley”.</w:t>
      </w:r>
    </w:p>
    <w:p w:rsidR="00C926FE" w:rsidRDefault="00C926FE" w:rsidP="0066237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C04C4" w:rsidRDefault="002958F1" w:rsidP="0066237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Por otra parte, señala SEGITTUR, que las retribuciones del Presidente se actualizarán cuando se apruebe el informe de auditoría y las cuentas anuales correspondientes al ejercicio 2022.  </w:t>
      </w:r>
      <w:r w:rsidR="0084680C" w:rsidRPr="0084680C">
        <w:rPr>
          <w:rFonts w:asciiTheme="minorHAnsi" w:hAnsiTheme="minorHAnsi" w:cstheme="minorHAnsi"/>
          <w:szCs w:val="24"/>
        </w:rPr>
        <w:t>El problema es que este criterio de publicación implica que la información se encuentre desactualizada</w:t>
      </w:r>
      <w:r w:rsidR="0084680C">
        <w:rPr>
          <w:rFonts w:asciiTheme="minorHAnsi" w:hAnsiTheme="minorHAnsi" w:cstheme="minorHAnsi"/>
          <w:szCs w:val="24"/>
        </w:rPr>
        <w:t xml:space="preserve"> – de hecho a fecha 11/07/2023 las retribuciones publicadas corresponden a 2021, presentan por lo tanto, un desfase de un año y siete meses - </w:t>
      </w:r>
      <w:r w:rsidR="0084680C" w:rsidRPr="0084680C">
        <w:rPr>
          <w:rFonts w:asciiTheme="minorHAnsi" w:hAnsiTheme="minorHAnsi" w:cstheme="minorHAnsi"/>
          <w:szCs w:val="24"/>
        </w:rPr>
        <w:t>. Por esta razón este Consejo recomienda que aquellas informaciones que son conocidas a inicio del año – por ejemplo las retribuciones de altos cargos y máximos responsables – o que se refieren a actividades que pueden producirse en cualquier momento del año – por ejemplo, las indemnizaciones al cese de altos cargos – o que se desarrollan de manera continua – por ejemplo, la información estadística sobre contratación o la ejecución presupuestaria – se publiquen con una periodicidad inferior a la anual, dado que además, se refieren a obligaciones individuales y diferentes de la publicación de las cuentas anuales.</w:t>
      </w:r>
    </w:p>
    <w:p w:rsidR="00427826" w:rsidRDefault="00427826" w:rsidP="0066237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4680C" w:rsidRPr="0084680C" w:rsidRDefault="0084680C" w:rsidP="0084680C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</w:t>
      </w:r>
      <w:r w:rsidRPr="00427826">
        <w:rPr>
          <w:rFonts w:asciiTheme="minorHAnsi" w:hAnsiTheme="minorHAnsi" w:cstheme="minorHAnsi"/>
          <w:b/>
          <w:szCs w:val="24"/>
        </w:rPr>
        <w:t>valora muy positivamente</w:t>
      </w:r>
      <w:r>
        <w:rPr>
          <w:rFonts w:asciiTheme="minorHAnsi" w:hAnsiTheme="minorHAnsi" w:cstheme="minorHAnsi"/>
          <w:szCs w:val="24"/>
        </w:rPr>
        <w:t xml:space="preserve"> la disposición de SEGITTUR a aplicar las recomendaciones derivadas de la evaluación, lo que sin duda, redundará en un notable incremento del Índice de Cumplimiento </w:t>
      </w:r>
      <w:r w:rsidR="00427826">
        <w:rPr>
          <w:rFonts w:asciiTheme="minorHAnsi" w:hAnsiTheme="minorHAnsi" w:cstheme="minorHAnsi"/>
          <w:szCs w:val="24"/>
        </w:rPr>
        <w:t>en 2024, año en el que se procederá a una revisión de las recomendaciones aplicadas y a una nueva evaluac</w:t>
      </w:r>
      <w:bookmarkStart w:id="0" w:name="_GoBack"/>
      <w:bookmarkEnd w:id="0"/>
      <w:r w:rsidR="00427826">
        <w:rPr>
          <w:rFonts w:asciiTheme="minorHAnsi" w:hAnsiTheme="minorHAnsi" w:cstheme="minorHAnsi"/>
          <w:szCs w:val="24"/>
        </w:rPr>
        <w:t>ión de cumplimiento.</w:t>
      </w:r>
    </w:p>
    <w:p w:rsidR="0084680C" w:rsidRPr="0084680C" w:rsidRDefault="0084680C" w:rsidP="0084680C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707C15" w:rsidRDefault="00707C15" w:rsidP="0084680C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C2306E" w:rsidRDefault="00C2306E" w:rsidP="009557B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</w:p>
    <w:p w:rsidR="00C2306E" w:rsidRDefault="00C2306E" w:rsidP="009557B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4680C">
        <w:rPr>
          <w:rFonts w:asciiTheme="minorHAnsi" w:hAnsiTheme="minorHAnsi" w:cstheme="minorHAnsi"/>
          <w:szCs w:val="24"/>
        </w:rPr>
        <w:t>julio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FC3816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0C" w:rsidRDefault="0084680C" w:rsidP="00344FE7">
      <w:pPr>
        <w:spacing w:after="0" w:line="240" w:lineRule="auto"/>
      </w:pPr>
      <w:r>
        <w:separator/>
      </w:r>
    </w:p>
  </w:endnote>
  <w:endnote w:type="continuationSeparator" w:id="0">
    <w:p w:rsidR="0084680C" w:rsidRDefault="0084680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4680C" w:rsidRPr="00C23F36" w:rsidRDefault="0084680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427826">
          <w:rPr>
            <w:noProof/>
            <w:sz w:val="20"/>
            <w:szCs w:val="20"/>
          </w:rPr>
          <w:t>3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0C" w:rsidRDefault="0084680C" w:rsidP="00344FE7">
      <w:pPr>
        <w:spacing w:after="0" w:line="240" w:lineRule="auto"/>
      </w:pPr>
      <w:r>
        <w:separator/>
      </w:r>
    </w:p>
  </w:footnote>
  <w:footnote w:type="continuationSeparator" w:id="0">
    <w:p w:rsidR="0084680C" w:rsidRDefault="0084680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0C" w:rsidRDefault="0084680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80C" w:rsidRDefault="0084680C">
    <w:pPr>
      <w:pStyle w:val="Encabezado"/>
    </w:pPr>
  </w:p>
  <w:p w:rsidR="0084680C" w:rsidRDefault="0084680C" w:rsidP="00344FE7">
    <w:pPr>
      <w:pStyle w:val="Encabezado"/>
    </w:pPr>
  </w:p>
  <w:p w:rsidR="0084680C" w:rsidRDefault="0084680C" w:rsidP="00344FE7">
    <w:pPr>
      <w:pStyle w:val="Encabezado"/>
    </w:pPr>
  </w:p>
  <w:p w:rsidR="0084680C" w:rsidRDefault="0084680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0C" w:rsidRDefault="0084680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11.25pt;height:11.25pt" o:bullet="t">
        <v:imagedata r:id="rId1" o:title="BD14529_"/>
      </v:shape>
    </w:pict>
  </w:numPicBullet>
  <w:numPicBullet w:numPicBulletId="1">
    <w:pict>
      <v:shape id="_x0000_i1273" type="#_x0000_t75" style="width:11.25pt;height:11.25pt" o:bullet="t">
        <v:imagedata r:id="rId2" o:title="BD14654_"/>
      </v:shape>
    </w:pict>
  </w:numPicBullet>
  <w:numPicBullet w:numPicBulletId="2">
    <w:pict>
      <v:shape id="_x0000_i1274" type="#_x0000_t75" style="width:9pt;height:9pt" o:bullet="t">
        <v:imagedata r:id="rId3" o:title="BD14533_"/>
      </v:shape>
    </w:pict>
  </w:numPicBullet>
  <w:abstractNum w:abstractNumId="0">
    <w:nsid w:val="036C688B"/>
    <w:multiLevelType w:val="hybridMultilevel"/>
    <w:tmpl w:val="E8D4A118"/>
    <w:lvl w:ilvl="0" w:tplc="B7C2270E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EC3ECE"/>
    <w:multiLevelType w:val="hybridMultilevel"/>
    <w:tmpl w:val="46187B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24C2E"/>
    <w:multiLevelType w:val="hybridMultilevel"/>
    <w:tmpl w:val="843A2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23F4C"/>
    <w:multiLevelType w:val="hybridMultilevel"/>
    <w:tmpl w:val="6C881162"/>
    <w:lvl w:ilvl="0" w:tplc="CEC84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3E35655"/>
    <w:multiLevelType w:val="hybridMultilevel"/>
    <w:tmpl w:val="622CAAAA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067871"/>
    <w:multiLevelType w:val="hybridMultilevel"/>
    <w:tmpl w:val="42BA3632"/>
    <w:lvl w:ilvl="0" w:tplc="B7C2270E">
      <w:start w:val="1"/>
      <w:numFmt w:val="bullet"/>
      <w:lvlText w:val=""/>
      <w:lvlPicBulletId w:val="2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95C77"/>
    <w:multiLevelType w:val="hybridMultilevel"/>
    <w:tmpl w:val="26D4F032"/>
    <w:lvl w:ilvl="0" w:tplc="EA9AB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0"/>
  </w:num>
  <w:num w:numId="18">
    <w:abstractNumId w:val="13"/>
  </w:num>
  <w:num w:numId="19">
    <w:abstractNumId w:val="2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03EA5"/>
    <w:rsid w:val="00006776"/>
    <w:rsid w:val="000234B9"/>
    <w:rsid w:val="00033E75"/>
    <w:rsid w:val="00034F48"/>
    <w:rsid w:val="00036A5D"/>
    <w:rsid w:val="000371F8"/>
    <w:rsid w:val="00043EA8"/>
    <w:rsid w:val="0005249D"/>
    <w:rsid w:val="000561DC"/>
    <w:rsid w:val="00070294"/>
    <w:rsid w:val="00074030"/>
    <w:rsid w:val="00076DBA"/>
    <w:rsid w:val="00094C4C"/>
    <w:rsid w:val="000D4422"/>
    <w:rsid w:val="001257F9"/>
    <w:rsid w:val="0013625B"/>
    <w:rsid w:val="0014196C"/>
    <w:rsid w:val="00151290"/>
    <w:rsid w:val="0016439B"/>
    <w:rsid w:val="001750A8"/>
    <w:rsid w:val="00175D6C"/>
    <w:rsid w:val="0018324C"/>
    <w:rsid w:val="00186B56"/>
    <w:rsid w:val="0019362B"/>
    <w:rsid w:val="00194E05"/>
    <w:rsid w:val="001B16D9"/>
    <w:rsid w:val="001B7352"/>
    <w:rsid w:val="001E13AE"/>
    <w:rsid w:val="001E1D71"/>
    <w:rsid w:val="001E44BC"/>
    <w:rsid w:val="002062C9"/>
    <w:rsid w:val="002114E3"/>
    <w:rsid w:val="00235A40"/>
    <w:rsid w:val="00251194"/>
    <w:rsid w:val="00292806"/>
    <w:rsid w:val="002958F1"/>
    <w:rsid w:val="002A4771"/>
    <w:rsid w:val="002A7933"/>
    <w:rsid w:val="002C000A"/>
    <w:rsid w:val="002F5D0B"/>
    <w:rsid w:val="00323DEE"/>
    <w:rsid w:val="003259B9"/>
    <w:rsid w:val="00334745"/>
    <w:rsid w:val="00344FE7"/>
    <w:rsid w:val="00351475"/>
    <w:rsid w:val="00355DEA"/>
    <w:rsid w:val="003656B1"/>
    <w:rsid w:val="00395742"/>
    <w:rsid w:val="003B5DE7"/>
    <w:rsid w:val="003C09C3"/>
    <w:rsid w:val="003D2C6C"/>
    <w:rsid w:val="003D52DF"/>
    <w:rsid w:val="003F0972"/>
    <w:rsid w:val="003F38BD"/>
    <w:rsid w:val="004108BB"/>
    <w:rsid w:val="004124E7"/>
    <w:rsid w:val="00427826"/>
    <w:rsid w:val="00435013"/>
    <w:rsid w:val="0045134F"/>
    <w:rsid w:val="00466973"/>
    <w:rsid w:val="00470F02"/>
    <w:rsid w:val="00476C7E"/>
    <w:rsid w:val="00486ED2"/>
    <w:rsid w:val="004B15B8"/>
    <w:rsid w:val="004D4EF1"/>
    <w:rsid w:val="00525FCA"/>
    <w:rsid w:val="0055202A"/>
    <w:rsid w:val="00565608"/>
    <w:rsid w:val="005726F1"/>
    <w:rsid w:val="005B1C12"/>
    <w:rsid w:val="005C0138"/>
    <w:rsid w:val="005F0570"/>
    <w:rsid w:val="005F4305"/>
    <w:rsid w:val="00614890"/>
    <w:rsid w:val="00620AB5"/>
    <w:rsid w:val="006262A2"/>
    <w:rsid w:val="00636FF6"/>
    <w:rsid w:val="006615ED"/>
    <w:rsid w:val="0066237D"/>
    <w:rsid w:val="006F17B5"/>
    <w:rsid w:val="006F5890"/>
    <w:rsid w:val="00700D70"/>
    <w:rsid w:val="00707C15"/>
    <w:rsid w:val="0071472F"/>
    <w:rsid w:val="00727A3D"/>
    <w:rsid w:val="007342F2"/>
    <w:rsid w:val="00745E83"/>
    <w:rsid w:val="007704A4"/>
    <w:rsid w:val="00772C2A"/>
    <w:rsid w:val="007759D6"/>
    <w:rsid w:val="00782FEF"/>
    <w:rsid w:val="007A662D"/>
    <w:rsid w:val="007B482F"/>
    <w:rsid w:val="007C00E5"/>
    <w:rsid w:val="007C0642"/>
    <w:rsid w:val="007D24E2"/>
    <w:rsid w:val="007D768B"/>
    <w:rsid w:val="008027DF"/>
    <w:rsid w:val="00815DA2"/>
    <w:rsid w:val="0084680C"/>
    <w:rsid w:val="00855ECA"/>
    <w:rsid w:val="0088562A"/>
    <w:rsid w:val="00887DB9"/>
    <w:rsid w:val="00895B20"/>
    <w:rsid w:val="0089717A"/>
    <w:rsid w:val="008B5F75"/>
    <w:rsid w:val="008B79BD"/>
    <w:rsid w:val="008E39FA"/>
    <w:rsid w:val="00901F1F"/>
    <w:rsid w:val="009029E0"/>
    <w:rsid w:val="00950524"/>
    <w:rsid w:val="009557B1"/>
    <w:rsid w:val="00990CFE"/>
    <w:rsid w:val="009B7ADA"/>
    <w:rsid w:val="009D2560"/>
    <w:rsid w:val="009D6677"/>
    <w:rsid w:val="009E084D"/>
    <w:rsid w:val="009E16B5"/>
    <w:rsid w:val="009E30AA"/>
    <w:rsid w:val="009F1491"/>
    <w:rsid w:val="009F7659"/>
    <w:rsid w:val="00A24192"/>
    <w:rsid w:val="00A26523"/>
    <w:rsid w:val="00A41DE8"/>
    <w:rsid w:val="00A603C7"/>
    <w:rsid w:val="00A62936"/>
    <w:rsid w:val="00A70779"/>
    <w:rsid w:val="00A76101"/>
    <w:rsid w:val="00AC04C4"/>
    <w:rsid w:val="00AD1184"/>
    <w:rsid w:val="00AD5B28"/>
    <w:rsid w:val="00AE1A4A"/>
    <w:rsid w:val="00AE5BF4"/>
    <w:rsid w:val="00B263E1"/>
    <w:rsid w:val="00B2797F"/>
    <w:rsid w:val="00B31F84"/>
    <w:rsid w:val="00B35A53"/>
    <w:rsid w:val="00B4112D"/>
    <w:rsid w:val="00B81EE6"/>
    <w:rsid w:val="00BC7A82"/>
    <w:rsid w:val="00BD3143"/>
    <w:rsid w:val="00BE33B9"/>
    <w:rsid w:val="00C01613"/>
    <w:rsid w:val="00C0201F"/>
    <w:rsid w:val="00C04331"/>
    <w:rsid w:val="00C119CE"/>
    <w:rsid w:val="00C13C51"/>
    <w:rsid w:val="00C2306E"/>
    <w:rsid w:val="00C2379F"/>
    <w:rsid w:val="00C23F36"/>
    <w:rsid w:val="00C25FA5"/>
    <w:rsid w:val="00C305B6"/>
    <w:rsid w:val="00C3135F"/>
    <w:rsid w:val="00C63231"/>
    <w:rsid w:val="00C736B9"/>
    <w:rsid w:val="00C82AB2"/>
    <w:rsid w:val="00C87BC3"/>
    <w:rsid w:val="00C91171"/>
    <w:rsid w:val="00C91272"/>
    <w:rsid w:val="00C926FE"/>
    <w:rsid w:val="00CB4447"/>
    <w:rsid w:val="00CD334A"/>
    <w:rsid w:val="00CE0D15"/>
    <w:rsid w:val="00CF0704"/>
    <w:rsid w:val="00D23111"/>
    <w:rsid w:val="00D445A4"/>
    <w:rsid w:val="00D44E9D"/>
    <w:rsid w:val="00D55DED"/>
    <w:rsid w:val="00D72EF9"/>
    <w:rsid w:val="00D775DA"/>
    <w:rsid w:val="00D847B0"/>
    <w:rsid w:val="00D97887"/>
    <w:rsid w:val="00DA126F"/>
    <w:rsid w:val="00DB21EC"/>
    <w:rsid w:val="00DB2CB4"/>
    <w:rsid w:val="00DB2CCC"/>
    <w:rsid w:val="00DD07B5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E1E1D"/>
    <w:rsid w:val="00EF5F68"/>
    <w:rsid w:val="00F01784"/>
    <w:rsid w:val="00F17B00"/>
    <w:rsid w:val="00F34F89"/>
    <w:rsid w:val="00F43F74"/>
    <w:rsid w:val="00F47B8C"/>
    <w:rsid w:val="00F5121D"/>
    <w:rsid w:val="00F777C2"/>
    <w:rsid w:val="00FA448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">
    <w:name w:val="Lista clara1"/>
    <w:basedOn w:val="Tablanormal"/>
    <w:next w:val="Listaclara"/>
    <w:uiPriority w:val="61"/>
    <w:rsid w:val="00802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">
    <w:name w:val="Lista clara1"/>
    <w:basedOn w:val="Tablanormal"/>
    <w:next w:val="Listaclara"/>
    <w:uiPriority w:val="61"/>
    <w:rsid w:val="008027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CBAE-44AC-4FB6-8C3A-23B3C455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2023-07-11T07:48:00Z</dcterms:created>
  <dcterms:modified xsi:type="dcterms:W3CDTF">2023-07-11T08:55:00Z</dcterms:modified>
</cp:coreProperties>
</file>