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1E6B46" w:rsidRDefault="001E6B4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1E6B46" w:rsidRPr="00006957" w:rsidRDefault="001E6B4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0717CD" w:rsidRDefault="000717C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0717CD" w:rsidRPr="00006957" w:rsidRDefault="000717C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6B46" w:rsidRDefault="001E6B4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0717CD" w:rsidRDefault="000717C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A8607D" w:rsidP="001E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Autoridad Portuaria de </w:t>
            </w:r>
            <w:r w:rsidR="001E6B46">
              <w:rPr>
                <w:sz w:val="24"/>
                <w:szCs w:val="24"/>
              </w:rPr>
              <w:t>Santander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1E6B46" w:rsidP="005C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D3B41">
              <w:rPr>
                <w:sz w:val="24"/>
                <w:szCs w:val="24"/>
              </w:rPr>
              <w:t>/</w:t>
            </w:r>
            <w:r w:rsidR="00340559">
              <w:rPr>
                <w:sz w:val="24"/>
                <w:szCs w:val="24"/>
              </w:rPr>
              <w:t>0</w:t>
            </w:r>
            <w:r w:rsidR="005C21D3">
              <w:rPr>
                <w:sz w:val="24"/>
                <w:szCs w:val="24"/>
              </w:rPr>
              <w:t>6</w:t>
            </w:r>
            <w:r w:rsidR="00BD3B41">
              <w:rPr>
                <w:sz w:val="24"/>
                <w:szCs w:val="24"/>
              </w:rPr>
              <w:t>/202</w:t>
            </w:r>
            <w:r w:rsidR="005C21D3">
              <w:rPr>
                <w:sz w:val="24"/>
                <w:szCs w:val="24"/>
              </w:rPr>
              <w:t>3</w:t>
            </w:r>
          </w:p>
        </w:tc>
      </w:tr>
    </w:tbl>
    <w:p w:rsidR="00BA266E" w:rsidRDefault="00BA266E"/>
    <w:p w:rsidR="00561402" w:rsidRPr="0012783F" w:rsidRDefault="001E6B46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1E6B46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AP de Santander no ha remitido información sobre la actividad generada por las solicitudes de acceso a información pública de la entidad en 2023.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1E6B46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</w:t>
          </w:r>
          <w:r w:rsidR="009B46D2">
            <w:rPr>
              <w:b/>
              <w:color w:val="00642D"/>
              <w:sz w:val="30"/>
              <w:szCs w:val="30"/>
            </w:rPr>
            <w:t>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5252B" w:rsidRDefault="0075252B" w:rsidP="0075252B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A5143C" w:rsidRDefault="00A5143C" w:rsidP="00A5143C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II.1</w:t>
      </w:r>
      <w:r>
        <w:rPr>
          <w:rStyle w:val="Ttulo2Car"/>
          <w:color w:val="00642D"/>
          <w:lang w:bidi="es-ES"/>
        </w:rPr>
        <w:t xml:space="preserve"> </w:t>
      </w:r>
      <w:r w:rsidRPr="00B812AB">
        <w:rPr>
          <w:rStyle w:val="Ttulo2Car"/>
          <w:color w:val="00642D"/>
          <w:lang w:bidi="es-ES"/>
        </w:rPr>
        <w:t xml:space="preserve">Solicitudes gestionadas en </w:t>
      </w:r>
      <w:r>
        <w:rPr>
          <w:rStyle w:val="Ttulo2Car"/>
          <w:color w:val="00642D"/>
          <w:lang w:bidi="es-ES"/>
        </w:rPr>
        <w:t>2022</w:t>
      </w:r>
    </w:p>
    <w:p w:rsidR="00A5143C" w:rsidRDefault="00A5143C" w:rsidP="00A5143C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E6B46" w:rsidRDefault="001E6B46" w:rsidP="001E6B46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AP de Santander no ha remitido información sobre la actividad generada por las solicitudes de acceso a información pública de la entidad en 2023.</w:t>
      </w:r>
    </w:p>
    <w:p w:rsidR="001E6B46" w:rsidRDefault="001E6B46" w:rsidP="001E6B46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AP de Santander no publica  las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 la LTAIBG, tal y como establece el artículo 14.3 de la norma, que obliga a la publicación de estas resoluciones previa disociación de los datos de carácter personal. </w:t>
      </w:r>
    </w:p>
    <w:p w:rsidR="00A5143C" w:rsidRDefault="00A5143C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A5143C" w:rsidRDefault="00A5143C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A5143C" w:rsidRDefault="00A5143C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A266E" w:rsidRDefault="00BA266E" w:rsidP="00B812AB"/>
    <w:p w:rsidR="00B812AB" w:rsidRPr="00E34195" w:rsidRDefault="001E6B46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1E6B46" w:rsidRDefault="001E6B46" w:rsidP="001E6B46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1E6B46" w:rsidRDefault="001E6B46" w:rsidP="001E6B46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web de la AP de Santander carece de un acceso específico para la presentación de las solicitudes de acceso a información pública. En consecuencia, no se informa sobre el derecho de los ciudadanos a solicitar información pública de la sociedad, al amparo de la LTAIBG y tampoco se  informa sobre los medios habilitados para la presentación de solicitudes, ni sobre los requisitos exigidos para la presentación de estas solicitudes</w:t>
      </w:r>
      <w:r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812AB" w:rsidRDefault="00B812AB" w:rsidP="00B812AB"/>
    <w:p w:rsidR="00B40246" w:rsidRPr="00E34195" w:rsidRDefault="001E6B4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BE71C4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861D04">
        <w:rPr>
          <w:color w:val="auto"/>
          <w:lang w:bidi="es-ES"/>
        </w:rPr>
        <w:t>0</w:t>
      </w:r>
      <w:r w:rsidR="001E6B46">
        <w:rPr>
          <w:color w:val="auto"/>
          <w:lang w:bidi="es-ES"/>
        </w:rPr>
        <w:t>8</w:t>
      </w:r>
      <w:r w:rsidR="000B2A81">
        <w:rPr>
          <w:color w:val="auto"/>
          <w:lang w:bidi="es-ES"/>
        </w:rPr>
        <w:t>/0</w:t>
      </w:r>
      <w:r w:rsidR="006C1EA4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9B46D2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861D04">
        <w:rPr>
          <w:color w:val="auto"/>
          <w:lang w:bidi="es-ES"/>
        </w:rPr>
        <w:t>del</w:t>
      </w:r>
      <w:r w:rsidR="009B46D2">
        <w:rPr>
          <w:color w:val="auto"/>
          <w:lang w:bidi="es-ES"/>
        </w:rPr>
        <w:t xml:space="preserve"> </w:t>
      </w:r>
      <w:r w:rsidR="001E6B46">
        <w:rPr>
          <w:color w:val="auto"/>
          <w:lang w:bidi="es-ES"/>
        </w:rPr>
        <w:t>Portal de Transparencia de la Administración General del Estado</w:t>
      </w:r>
      <w:r w:rsidR="00861D04">
        <w:rPr>
          <w:color w:val="auto"/>
          <w:lang w:bidi="es-ES"/>
        </w:rPr>
        <w:t>, una solicitud de acceso a información pública de la entidad</w:t>
      </w:r>
      <w:r>
        <w:rPr>
          <w:color w:val="auto"/>
          <w:lang w:bidi="es-ES"/>
        </w:rPr>
        <w:t xml:space="preserve">. </w:t>
      </w:r>
      <w:r w:rsidR="009B46D2">
        <w:rPr>
          <w:color w:val="auto"/>
          <w:lang w:bidi="es-ES"/>
        </w:rPr>
        <w:t xml:space="preserve">Con la misma fecha </w:t>
      </w:r>
      <w:r w:rsidR="000B2A81">
        <w:rPr>
          <w:color w:val="auto"/>
          <w:lang w:bidi="es-ES"/>
        </w:rPr>
        <w:t>se emite un acuse de recibo</w:t>
      </w:r>
      <w:r w:rsidR="00AC715D"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9B46D2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027B94" w:rsidRPr="00DE6A97" w:rsidRDefault="00027B94" w:rsidP="00027B94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DE6A97">
        <w:rPr>
          <w:color w:val="auto"/>
          <w:lang w:bidi="es-ES"/>
        </w:rPr>
        <w:t xml:space="preserve">Se dicta resolución expresa con fecha </w:t>
      </w:r>
      <w:r>
        <w:rPr>
          <w:color w:val="auto"/>
          <w:lang w:bidi="es-ES"/>
        </w:rPr>
        <w:t>24</w:t>
      </w:r>
      <w:r w:rsidRPr="00DE6A97">
        <w:rPr>
          <w:color w:val="auto"/>
          <w:lang w:bidi="es-ES"/>
        </w:rPr>
        <w:t xml:space="preserve">/05/2023. </w:t>
      </w:r>
    </w:p>
    <w:p w:rsidR="00027B94" w:rsidRPr="00DE6A97" w:rsidRDefault="00027B94" w:rsidP="00027B94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DE6A97">
        <w:rPr>
          <w:color w:val="auto"/>
          <w:lang w:bidi="es-ES"/>
        </w:rPr>
        <w:t xml:space="preserve">La resolución está firmada por </w:t>
      </w:r>
      <w:r>
        <w:rPr>
          <w:color w:val="auto"/>
          <w:lang w:bidi="es-ES"/>
        </w:rPr>
        <w:t>el Presidente de la AP.</w:t>
      </w:r>
    </w:p>
    <w:p w:rsidR="00027B94" w:rsidRPr="00DE6A97" w:rsidRDefault="00027B94" w:rsidP="00027B94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DE6A97">
        <w:rPr>
          <w:color w:val="auto"/>
          <w:lang w:bidi="es-ES"/>
        </w:rPr>
        <w:t>La resolución está completa, es clara y está estructurada. Se informa de los posibles recursos que el solicitante puede interponer en caso de disconformidad con la información recibida</w:t>
      </w:r>
      <w:r>
        <w:rPr>
          <w:color w:val="auto"/>
          <w:lang w:bidi="es-ES"/>
        </w:rPr>
        <w:t>, pero no del plazo para su interposición</w:t>
      </w:r>
      <w:r w:rsidRPr="00DE6A97">
        <w:rPr>
          <w:color w:val="auto"/>
          <w:lang w:bidi="es-ES"/>
        </w:rPr>
        <w:t>.</w:t>
      </w:r>
    </w:p>
    <w:p w:rsidR="00027B94" w:rsidRPr="00DE6A97" w:rsidRDefault="00027B94" w:rsidP="00027B94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DE6A97">
        <w:rPr>
          <w:color w:val="auto"/>
          <w:lang w:bidi="es-ES"/>
        </w:rPr>
        <w:t xml:space="preserve">La información se proporciona en </w:t>
      </w:r>
      <w:r>
        <w:rPr>
          <w:color w:val="auto"/>
          <w:lang w:bidi="es-ES"/>
        </w:rPr>
        <w:t>el momento de la notificación pero no en el formato solicitado</w:t>
      </w:r>
      <w:r w:rsidRPr="00DE6A97">
        <w:rPr>
          <w:color w:val="auto"/>
          <w:lang w:bidi="es-ES"/>
        </w:rPr>
        <w:t xml:space="preserve">. 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027B94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A66275" w:rsidRDefault="00A66275" w:rsidP="00A66275">
      <w:pPr>
        <w:pStyle w:val="Cuerpodelboletn"/>
        <w:spacing w:before="120" w:after="120" w:line="276" w:lineRule="auto"/>
        <w:ind w:left="425"/>
      </w:pPr>
      <w:r>
        <w:rPr>
          <w:color w:val="auto"/>
        </w:rPr>
        <w:t xml:space="preserve">El CTBG ha recibido un total de </w:t>
      </w:r>
      <w:r w:rsidR="00276EC3">
        <w:rPr>
          <w:color w:val="auto"/>
        </w:rPr>
        <w:t>31</w:t>
      </w:r>
      <w:r>
        <w:rPr>
          <w:color w:val="auto"/>
        </w:rPr>
        <w:t xml:space="preserve"> reclamaciones contra resoluciones de </w:t>
      </w:r>
      <w:r w:rsidR="00861D04">
        <w:rPr>
          <w:color w:val="auto"/>
        </w:rPr>
        <w:t xml:space="preserve">la </w:t>
      </w:r>
      <w:r w:rsidR="000717CD">
        <w:rPr>
          <w:color w:val="auto"/>
        </w:rPr>
        <w:t xml:space="preserve">AP de </w:t>
      </w:r>
      <w:r w:rsidR="00276EC3">
        <w:rPr>
          <w:color w:val="auto"/>
        </w:rPr>
        <w:t>Santander</w:t>
      </w:r>
      <w:r>
        <w:rPr>
          <w:color w:val="auto"/>
        </w:rPr>
        <w:t xml:space="preserve"> en materia de acceso a la información pública. De ellas, </w:t>
      </w:r>
      <w:r w:rsidR="00276EC3">
        <w:rPr>
          <w:color w:val="auto"/>
        </w:rPr>
        <w:t>10</w:t>
      </w:r>
      <w:r w:rsidR="00861D04">
        <w:rPr>
          <w:color w:val="auto"/>
        </w:rPr>
        <w:t xml:space="preserve"> fue</w:t>
      </w:r>
      <w:r w:rsidR="000717CD">
        <w:rPr>
          <w:color w:val="auto"/>
        </w:rPr>
        <w:t xml:space="preserve">ron </w:t>
      </w:r>
      <w:r w:rsidR="00861D04">
        <w:rPr>
          <w:color w:val="auto"/>
        </w:rPr>
        <w:t xml:space="preserve"> </w:t>
      </w:r>
      <w:r w:rsidR="000717CD">
        <w:rPr>
          <w:color w:val="auto"/>
        </w:rPr>
        <w:t>des</w:t>
      </w:r>
      <w:r w:rsidR="00861D04">
        <w:rPr>
          <w:color w:val="auto"/>
        </w:rPr>
        <w:t>estimada</w:t>
      </w:r>
      <w:r w:rsidR="000717CD">
        <w:rPr>
          <w:color w:val="auto"/>
        </w:rPr>
        <w:t>s</w:t>
      </w:r>
      <w:r w:rsidR="00276EC3">
        <w:rPr>
          <w:color w:val="auto"/>
        </w:rPr>
        <w:t>,</w:t>
      </w:r>
      <w:r w:rsidRPr="004A133A">
        <w:t xml:space="preserve"> </w:t>
      </w:r>
      <w:r w:rsidR="00276EC3">
        <w:t>18</w:t>
      </w:r>
      <w:r w:rsidR="000717CD">
        <w:t xml:space="preserve"> estimada</w:t>
      </w:r>
      <w:r w:rsidR="00276EC3">
        <w:t>s – en 9 ocasiones la AP dio acceso a la información antes de finalizar el procedimiento de reclamación y en otras dos, la estimación fue parcial – y tres reclamaciones fueron inadmitidas</w:t>
      </w:r>
      <w:r>
        <w:t xml:space="preserve">. </w:t>
      </w:r>
    </w:p>
    <w:p w:rsidR="00BE71C4" w:rsidRDefault="00BE71C4" w:rsidP="00BE71C4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La </w:t>
      </w:r>
      <w:r w:rsidR="000717CD">
        <w:rPr>
          <w:color w:val="auto"/>
        </w:rPr>
        <w:t xml:space="preserve">AP de </w:t>
      </w:r>
      <w:r w:rsidR="00276EC3">
        <w:rPr>
          <w:color w:val="auto"/>
        </w:rPr>
        <w:t>Santander</w:t>
      </w:r>
      <w:r w:rsidR="000717CD">
        <w:rPr>
          <w:color w:val="auto"/>
        </w:rPr>
        <w:t xml:space="preserve"> no presentó</w:t>
      </w:r>
      <w:r>
        <w:rPr>
          <w:color w:val="auto"/>
        </w:rPr>
        <w:t xml:space="preserve"> recurso contencioso-administrativo contra </w:t>
      </w:r>
      <w:r w:rsidR="000717CD">
        <w:rPr>
          <w:color w:val="auto"/>
        </w:rPr>
        <w:t>la reclamación estimada</w:t>
      </w:r>
      <w:r>
        <w:rPr>
          <w:color w:val="auto"/>
        </w:rPr>
        <w:t xml:space="preserve">. </w:t>
      </w:r>
    </w:p>
    <w:p w:rsidR="00BE71C4" w:rsidRDefault="00BE71C4" w:rsidP="00BE71C4">
      <w:pPr>
        <w:pStyle w:val="Cuerpodelboletn"/>
        <w:spacing w:before="120" w:after="120" w:line="276" w:lineRule="auto"/>
        <w:ind w:left="425"/>
        <w:rPr>
          <w:color w:val="auto"/>
        </w:rPr>
      </w:pPr>
    </w:p>
    <w:tbl>
      <w:tblPr>
        <w:tblStyle w:val="Tablaconcuadrcula3"/>
        <w:tblW w:w="0" w:type="auto"/>
        <w:tblInd w:w="959" w:type="dxa"/>
        <w:tblLook w:val="04A0" w:firstRow="1" w:lastRow="0" w:firstColumn="1" w:lastColumn="0" w:noHBand="0" w:noVBand="1"/>
      </w:tblPr>
      <w:tblGrid>
        <w:gridCol w:w="1132"/>
        <w:gridCol w:w="4013"/>
        <w:gridCol w:w="1756"/>
        <w:gridCol w:w="1427"/>
      </w:tblGrid>
      <w:tr w:rsidR="00BE71C4" w:rsidRPr="00871B3A" w:rsidTr="00BE71C4">
        <w:tc>
          <w:tcPr>
            <w:tcW w:w="1132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007635"/>
            <w:textDirection w:val="btLr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 la entidad recurridas ante el CTBG</w:t>
            </w:r>
          </w:p>
        </w:tc>
        <w:tc>
          <w:tcPr>
            <w:tcW w:w="1427" w:type="dxa"/>
            <w:vAlign w:val="center"/>
          </w:tcPr>
          <w:p w:rsidR="00BE71C4" w:rsidRPr="00871B3A" w:rsidRDefault="000717CD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276EC3">
              <w:rPr>
                <w:rFonts w:ascii="Calibri" w:hAnsi="Calibri" w:cs="Calibri"/>
              </w:rPr>
              <w:t>1</w:t>
            </w:r>
          </w:p>
        </w:tc>
      </w:tr>
      <w:tr w:rsidR="00BE71C4" w:rsidRPr="00871B3A" w:rsidTr="00BE71C4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</w:t>
            </w:r>
          </w:p>
        </w:tc>
        <w:tc>
          <w:tcPr>
            <w:tcW w:w="1427" w:type="dxa"/>
            <w:vAlign w:val="center"/>
          </w:tcPr>
          <w:p w:rsidR="00BE71C4" w:rsidRPr="00871B3A" w:rsidRDefault="00276EC3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BE71C4" w:rsidRPr="00871B3A" w:rsidTr="00BE71C4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BE71C4" w:rsidRPr="00871B3A" w:rsidRDefault="00276EC3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35,7</w:t>
            </w:r>
          </w:p>
        </w:tc>
      </w:tr>
      <w:tr w:rsidR="00BE71C4" w:rsidRPr="00871B3A" w:rsidTr="00BE71C4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los reclamantes</w:t>
            </w: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</w:t>
            </w:r>
          </w:p>
        </w:tc>
        <w:tc>
          <w:tcPr>
            <w:tcW w:w="1427" w:type="dxa"/>
            <w:vAlign w:val="center"/>
          </w:tcPr>
          <w:p w:rsidR="00BE71C4" w:rsidRPr="00871B3A" w:rsidRDefault="000717CD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276EC3">
              <w:rPr>
                <w:rFonts w:ascii="Calibri" w:hAnsi="Calibri" w:cs="Calibri"/>
              </w:rPr>
              <w:t>8</w:t>
            </w:r>
          </w:p>
        </w:tc>
      </w:tr>
      <w:tr w:rsidR="00BE71C4" w:rsidRPr="00871B3A" w:rsidTr="00BE71C4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BE71C4" w:rsidRPr="00871B3A" w:rsidRDefault="00276EC3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  <w:r w:rsidR="000717CD">
              <w:rPr>
                <w:rFonts w:ascii="Calibri" w:hAnsi="Calibri" w:cs="Calibri"/>
              </w:rPr>
              <w:t>,3</w:t>
            </w:r>
          </w:p>
        </w:tc>
      </w:tr>
      <w:tr w:rsidR="00BE71C4" w:rsidRPr="00871B3A" w:rsidTr="00BE71C4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427" w:type="dxa"/>
            <w:vAlign w:val="center"/>
          </w:tcPr>
          <w:p w:rsidR="00BE71C4" w:rsidRPr="00871B3A" w:rsidRDefault="000717CD" w:rsidP="00BE71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E71C4" w:rsidRPr="00871B3A" w:rsidTr="00BE71C4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Tasa de litigiosidad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</w:p>
        </w:tc>
      </w:tr>
      <w:tr w:rsidR="00BE71C4" w:rsidRPr="00871B3A" w:rsidTr="00BE71C4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Sentencias firmes favorables al CTBG</w:t>
            </w: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</w:p>
        </w:tc>
      </w:tr>
      <w:tr w:rsidR="00BE71C4" w:rsidRPr="00871B3A" w:rsidTr="00BE71C4">
        <w:trPr>
          <w:trHeight w:val="113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  <w:vAlign w:val="center"/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</w:p>
        </w:tc>
      </w:tr>
      <w:tr w:rsidR="00BE71C4" w:rsidRPr="00871B3A" w:rsidTr="00BE71C4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Sentencias firmes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</w:p>
        </w:tc>
      </w:tr>
      <w:tr w:rsidR="00BE71C4" w:rsidRPr="00871B3A" w:rsidTr="00BE71C4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BE71C4" w:rsidRPr="00871B3A" w:rsidRDefault="00BE71C4" w:rsidP="00BE71C4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BE71C4" w:rsidRPr="00871B3A" w:rsidRDefault="00BE71C4" w:rsidP="00BE71C4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BE71C4" w:rsidRPr="00871B3A" w:rsidRDefault="00BE71C4" w:rsidP="00BE71C4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680E20" w:rsidRPr="004A133A" w:rsidRDefault="00680E20" w:rsidP="00A66275">
      <w:pPr>
        <w:pStyle w:val="Cuerpodelboletn"/>
        <w:spacing w:before="120" w:after="120" w:line="276" w:lineRule="auto"/>
        <w:ind w:left="425"/>
      </w:pPr>
    </w:p>
    <w:p w:rsidR="001F251B" w:rsidRPr="00256215" w:rsidRDefault="001E6B46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0717CD" w:rsidRDefault="00276EC3" w:rsidP="00276EC3">
      <w:pPr>
        <w:ind w:left="426"/>
        <w:jc w:val="both"/>
      </w:pPr>
      <w:r>
        <w:t>No caben buenas prácticas que reseñar, dado que no se ha habilitado un espacio específico para la presentación de solicitudes de información.</w:t>
      </w:r>
    </w:p>
    <w:p w:rsidR="00276EC3" w:rsidRDefault="00276EC3" w:rsidP="00276EC3">
      <w:pPr>
        <w:ind w:left="426"/>
        <w:jc w:val="both"/>
      </w:pPr>
    </w:p>
    <w:p w:rsidR="00256215" w:rsidRDefault="001E6B46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D0521" w:rsidRPr="00DD0521" w:rsidRDefault="000717CD" w:rsidP="00DD0521">
      <w:pPr>
        <w:ind w:left="644"/>
        <w:contextualSpacing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La AP de </w:t>
      </w:r>
      <w:r w:rsidR="00276EC3">
        <w:rPr>
          <w:rFonts w:eastAsia="Times New Roman" w:cs="Times New Roman"/>
          <w:bCs/>
        </w:rPr>
        <w:t xml:space="preserve">Santander </w:t>
      </w:r>
      <w:r>
        <w:rPr>
          <w:rFonts w:eastAsia="Times New Roman" w:cs="Times New Roman"/>
          <w:bCs/>
        </w:rPr>
        <w:t xml:space="preserve"> </w:t>
      </w:r>
      <w:r w:rsidR="00276EC3">
        <w:rPr>
          <w:rFonts w:eastAsia="Times New Roman" w:cs="Times New Roman"/>
          <w:bCs/>
        </w:rPr>
        <w:t>no ha remitido información sobre la actividad generada por las solicitudes de acceso a información pública de la entidad.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861D04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="000717CD">
        <w:rPr>
          <w:bCs/>
        </w:rPr>
        <w:t xml:space="preserve">AP de </w:t>
      </w:r>
      <w:r w:rsidR="00276EC3">
        <w:rPr>
          <w:bCs/>
        </w:rPr>
        <w:t>Santander</w:t>
      </w:r>
      <w:r w:rsidR="00F33EF2" w:rsidRPr="00F33EF2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76EC3" w:rsidRDefault="00276EC3" w:rsidP="00276EC3">
      <w:pPr>
        <w:pStyle w:val="Prrafodelista"/>
        <w:ind w:left="644"/>
        <w:jc w:val="both"/>
      </w:pPr>
      <w:r>
        <w:t>La AP</w:t>
      </w:r>
      <w:r>
        <w:t xml:space="preserve"> de Sevilla</w:t>
      </w:r>
      <w:r>
        <w:t xml:space="preserve"> 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276EC3" w:rsidRDefault="00276EC3" w:rsidP="00276EC3">
      <w:pPr>
        <w:pStyle w:val="Prrafodelista"/>
        <w:ind w:left="644"/>
        <w:jc w:val="both"/>
      </w:pPr>
    </w:p>
    <w:p w:rsidR="00276EC3" w:rsidRPr="008D4B85" w:rsidRDefault="00276EC3" w:rsidP="00276EC3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>
        <w:t>la AP de Santander</w:t>
      </w:r>
      <w:r w:rsidRPr="008D4B85">
        <w:t xml:space="preserve">. </w:t>
      </w:r>
    </w:p>
    <w:p w:rsidR="00276EC3" w:rsidRPr="008D4B85" w:rsidRDefault="00276EC3" w:rsidP="00276EC3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276EC3" w:rsidRPr="008D4B85" w:rsidRDefault="00276EC3" w:rsidP="00276EC3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>
        <w:t xml:space="preserve"> </w:t>
      </w:r>
      <w:r w:rsidRPr="008D4B85">
        <w:t>14 de la LTAIBG.</w:t>
      </w:r>
    </w:p>
    <w:p w:rsidR="0038546E" w:rsidRDefault="0038546E" w:rsidP="00E51768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027B94" w:rsidRPr="00393F8C" w:rsidRDefault="00027B94" w:rsidP="00027B94">
      <w:pPr>
        <w:pStyle w:val="Prrafodelista"/>
        <w:ind w:left="426"/>
        <w:jc w:val="both"/>
      </w:pPr>
      <w:r w:rsidRPr="00393F8C">
        <w:t xml:space="preserve">La gestión de la solicitud de acceso presentada se ha ajustado al procedimiento establecido por la LTAIBG. La resolución </w:t>
      </w:r>
      <w:r>
        <w:t>dictada</w:t>
      </w:r>
      <w:r w:rsidRPr="00393F8C">
        <w:t xml:space="preserve"> </w:t>
      </w:r>
      <w:r>
        <w:t xml:space="preserve">por </w:t>
      </w:r>
      <w:r>
        <w:rPr>
          <w:lang w:bidi="es-ES"/>
        </w:rPr>
        <w:t>el Presidente,</w:t>
      </w:r>
      <w:r w:rsidRPr="00393F8C">
        <w:t xml:space="preserve"> está motivada y correctamente estructurada, es clara y comprensible e incluye pie de recurso</w:t>
      </w:r>
      <w:r>
        <w:t xml:space="preserve"> y se informa de los plazos para la presentación de los recursos, tanto en vía judicial como administrativa.</w:t>
      </w:r>
    </w:p>
    <w:p w:rsidR="00027B94" w:rsidRPr="00393F8C" w:rsidRDefault="00027B94" w:rsidP="00027B94">
      <w:pPr>
        <w:tabs>
          <w:tab w:val="left" w:pos="426"/>
        </w:tabs>
        <w:ind w:left="426"/>
        <w:contextualSpacing/>
        <w:jc w:val="both"/>
      </w:pPr>
      <w:r w:rsidRPr="00393F8C">
        <w:t>La información se proporciona en el momento de la notificación</w:t>
      </w:r>
      <w:r>
        <w:t>, pero no</w:t>
      </w:r>
      <w:r w:rsidRPr="00393F8C">
        <w:t xml:space="preserve"> en el formato solicitado</w:t>
      </w:r>
      <w:r>
        <w:t>, lo que es coherente con el hecho de que no había habido actividad en el ámbito material al que se refería la solicitud de información presentada.</w:t>
      </w:r>
    </w:p>
    <w:p w:rsidR="00027B94" w:rsidRDefault="00027B94" w:rsidP="008D4B85">
      <w:pPr>
        <w:pStyle w:val="Prrafodelista"/>
        <w:ind w:left="426"/>
        <w:jc w:val="both"/>
      </w:pPr>
    </w:p>
    <w:p w:rsidR="00027B94" w:rsidRDefault="00027B94" w:rsidP="00027B94">
      <w:pPr>
        <w:pStyle w:val="Prrafodelista"/>
        <w:ind w:left="7506" w:firstLine="282"/>
        <w:jc w:val="both"/>
      </w:pPr>
      <w:bookmarkStart w:id="0" w:name="_GoBack"/>
      <w:bookmarkEnd w:id="0"/>
    </w:p>
    <w:p w:rsidR="00B40246" w:rsidRDefault="008D4B85" w:rsidP="00027B94">
      <w:pPr>
        <w:pStyle w:val="Prrafodelista"/>
        <w:ind w:left="7506" w:firstLine="282"/>
        <w:jc w:val="both"/>
      </w:pPr>
      <w:r>
        <w:t xml:space="preserve">Madrid, </w:t>
      </w:r>
      <w:r w:rsidR="00BE71C4">
        <w:t>junio</w:t>
      </w:r>
      <w:r>
        <w:t xml:space="preserve"> de 202</w:t>
      </w:r>
      <w:r w:rsidR="00BE71C4">
        <w:t>3</w:t>
      </w: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46" w:rsidRDefault="001E6B46" w:rsidP="00932008">
      <w:pPr>
        <w:spacing w:after="0" w:line="240" w:lineRule="auto"/>
      </w:pPr>
      <w:r>
        <w:separator/>
      </w:r>
    </w:p>
  </w:endnote>
  <w:endnote w:type="continuationSeparator" w:id="0">
    <w:p w:rsidR="001E6B46" w:rsidRDefault="001E6B4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E6B46" w:rsidRPr="00C533E7" w:rsidRDefault="001E6B46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276EC3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1E6B46" w:rsidRDefault="001E6B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46" w:rsidRDefault="001E6B46" w:rsidP="00932008">
      <w:pPr>
        <w:spacing w:after="0" w:line="240" w:lineRule="auto"/>
      </w:pPr>
      <w:r>
        <w:separator/>
      </w:r>
    </w:p>
  </w:footnote>
  <w:footnote w:type="continuationSeparator" w:id="0">
    <w:p w:rsidR="001E6B46" w:rsidRDefault="001E6B46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3" type="#_x0000_t75" style="width:9pt;height:9pt" o:bullet="t">
        <v:imagedata r:id="rId1" o:title="BD14533_"/>
      </v:shape>
    </w:pict>
  </w:numPicBullet>
  <w:numPicBullet w:numPicBulletId="1">
    <w:pict>
      <v:shape id="_x0000_i1274" type="#_x0000_t75" style="width:11.25pt;height:11.25pt" o:bullet="t">
        <v:imagedata r:id="rId2" o:title="BD14654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1919A2"/>
    <w:multiLevelType w:val="hybridMultilevel"/>
    <w:tmpl w:val="6F6C210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27B94"/>
    <w:rsid w:val="00032FA6"/>
    <w:rsid w:val="00046805"/>
    <w:rsid w:val="00055B15"/>
    <w:rsid w:val="000717CD"/>
    <w:rsid w:val="000965B3"/>
    <w:rsid w:val="000A1C07"/>
    <w:rsid w:val="000B0A0D"/>
    <w:rsid w:val="000B2A81"/>
    <w:rsid w:val="000C6CFF"/>
    <w:rsid w:val="00102733"/>
    <w:rsid w:val="0011031F"/>
    <w:rsid w:val="001252EE"/>
    <w:rsid w:val="0012783F"/>
    <w:rsid w:val="001561A4"/>
    <w:rsid w:val="00176A94"/>
    <w:rsid w:val="00194000"/>
    <w:rsid w:val="0019606E"/>
    <w:rsid w:val="001B3D6A"/>
    <w:rsid w:val="001C238B"/>
    <w:rsid w:val="001E1C29"/>
    <w:rsid w:val="001E6B46"/>
    <w:rsid w:val="001F251B"/>
    <w:rsid w:val="001F25E4"/>
    <w:rsid w:val="0022254E"/>
    <w:rsid w:val="00241D7A"/>
    <w:rsid w:val="00255A7E"/>
    <w:rsid w:val="00256215"/>
    <w:rsid w:val="00260A34"/>
    <w:rsid w:val="0026281C"/>
    <w:rsid w:val="00276EC3"/>
    <w:rsid w:val="002A154B"/>
    <w:rsid w:val="002C3B63"/>
    <w:rsid w:val="002E0A33"/>
    <w:rsid w:val="003145AD"/>
    <w:rsid w:val="00334115"/>
    <w:rsid w:val="00340559"/>
    <w:rsid w:val="0038546E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C21D3"/>
    <w:rsid w:val="005E37C8"/>
    <w:rsid w:val="00610D8A"/>
    <w:rsid w:val="00626819"/>
    <w:rsid w:val="0063118A"/>
    <w:rsid w:val="00654162"/>
    <w:rsid w:val="00680E20"/>
    <w:rsid w:val="006A2766"/>
    <w:rsid w:val="006A2E9A"/>
    <w:rsid w:val="006C1EA4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61D04"/>
    <w:rsid w:val="008B50E2"/>
    <w:rsid w:val="008C1E1E"/>
    <w:rsid w:val="008D4B85"/>
    <w:rsid w:val="008F787D"/>
    <w:rsid w:val="00904E47"/>
    <w:rsid w:val="00923092"/>
    <w:rsid w:val="009239D9"/>
    <w:rsid w:val="00930638"/>
    <w:rsid w:val="00932008"/>
    <w:rsid w:val="009539BF"/>
    <w:rsid w:val="009609E9"/>
    <w:rsid w:val="0096522C"/>
    <w:rsid w:val="00983919"/>
    <w:rsid w:val="009B46D2"/>
    <w:rsid w:val="009F4D42"/>
    <w:rsid w:val="00A41DD5"/>
    <w:rsid w:val="00A5143C"/>
    <w:rsid w:val="00A544D3"/>
    <w:rsid w:val="00A66275"/>
    <w:rsid w:val="00A8003E"/>
    <w:rsid w:val="00A8607D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3B41"/>
    <w:rsid w:val="00BD41F9"/>
    <w:rsid w:val="00BD4582"/>
    <w:rsid w:val="00BE6A46"/>
    <w:rsid w:val="00BE71C4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0E07"/>
    <w:rsid w:val="00D74E79"/>
    <w:rsid w:val="00D84B7B"/>
    <w:rsid w:val="00D93A14"/>
    <w:rsid w:val="00D96F84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3088D"/>
    <w:rsid w:val="00E34195"/>
    <w:rsid w:val="00E40544"/>
    <w:rsid w:val="00E4702F"/>
    <w:rsid w:val="00E47613"/>
    <w:rsid w:val="00E51768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B1561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E71C4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E71C4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82798"/>
    <w:rsid w:val="002A5B0E"/>
    <w:rsid w:val="002C1748"/>
    <w:rsid w:val="002C7AFA"/>
    <w:rsid w:val="00385F72"/>
    <w:rsid w:val="003D088C"/>
    <w:rsid w:val="00543A52"/>
    <w:rsid w:val="00546DCA"/>
    <w:rsid w:val="006D7969"/>
    <w:rsid w:val="0087096B"/>
    <w:rsid w:val="009B5C1C"/>
    <w:rsid w:val="00A80EAD"/>
    <w:rsid w:val="00AA2EBD"/>
    <w:rsid w:val="00AB1850"/>
    <w:rsid w:val="00AD1518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D876E-262C-4B1E-B914-F54ABAB1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73</TotalTime>
  <Pages>4</Pages>
  <Words>934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8</cp:revision>
  <cp:lastPrinted>2007-10-26T10:03:00Z</cp:lastPrinted>
  <dcterms:created xsi:type="dcterms:W3CDTF">2023-06-16T08:35:00Z</dcterms:created>
  <dcterms:modified xsi:type="dcterms:W3CDTF">2023-06-28T07:20:00Z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