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BE71C4" w:rsidRDefault="00BE71C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BE71C4" w:rsidRPr="00006957" w:rsidRDefault="00BE71C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BE71C4" w:rsidRDefault="00BE71C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BE71C4" w:rsidRPr="00006957" w:rsidRDefault="00BE71C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71C4" w:rsidRDefault="00BE71C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E71C4" w:rsidRDefault="00BE71C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C21D3" w:rsidP="005C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Agencia EFE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C21D3" w:rsidP="005C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3B41">
              <w:rPr>
                <w:sz w:val="24"/>
                <w:szCs w:val="24"/>
              </w:rPr>
              <w:t>9/</w:t>
            </w:r>
            <w:r w:rsidR="003405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BD3B41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BA266E" w:rsidRDefault="00BA266E"/>
    <w:p w:rsidR="00561402" w:rsidRPr="0012783F" w:rsidRDefault="0023046E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DD052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D0521">
        <w:rPr>
          <w:bCs/>
          <w:color w:val="auto"/>
          <w:szCs w:val="22"/>
        </w:rPr>
        <w:t xml:space="preserve">No se ha </w:t>
      </w:r>
      <w:r>
        <w:rPr>
          <w:bCs/>
          <w:color w:val="auto"/>
          <w:szCs w:val="22"/>
        </w:rPr>
        <w:t>remitido información</w:t>
      </w:r>
      <w:r w:rsidR="0075252B" w:rsidRPr="00DD0521">
        <w:rPr>
          <w:bCs/>
          <w:color w:val="auto"/>
          <w:szCs w:val="22"/>
        </w:rPr>
        <w:t>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23046E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</w:t>
          </w:r>
          <w:r w:rsidR="009B46D2">
            <w:rPr>
              <w:b/>
              <w:color w:val="00642D"/>
              <w:sz w:val="30"/>
              <w:szCs w:val="30"/>
            </w:rPr>
            <w:t>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DD0521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DD0521">
        <w:rPr>
          <w:bCs/>
        </w:rPr>
        <w:t xml:space="preserve">No se ha </w:t>
      </w:r>
      <w:r>
        <w:rPr>
          <w:bCs/>
        </w:rPr>
        <w:t>remitido información</w:t>
      </w:r>
      <w:r w:rsidRPr="00DD0521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</w:t>
      </w:r>
      <w:r w:rsidR="005C21D3">
        <w:rPr>
          <w:rStyle w:val="Ttulo2Car"/>
          <w:b w:val="0"/>
          <w:color w:val="auto"/>
          <w:sz w:val="22"/>
          <w:szCs w:val="22"/>
          <w:lang w:bidi="es-ES"/>
        </w:rPr>
        <w:t>Agencia EFE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23046E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861D04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9B46D2">
        <w:rPr>
          <w:rStyle w:val="Ttulo2Car"/>
          <w:b w:val="0"/>
          <w:color w:val="auto"/>
          <w:sz w:val="22"/>
          <w:szCs w:val="22"/>
          <w:lang w:bidi="es-ES"/>
        </w:rPr>
        <w:t>Agencia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9B46D2">
        <w:rPr>
          <w:rStyle w:val="Ttulo2Car"/>
          <w:b w:val="0"/>
          <w:color w:val="auto"/>
          <w:sz w:val="22"/>
          <w:szCs w:val="22"/>
          <w:lang w:bidi="es-ES"/>
        </w:rPr>
        <w:t>Portal de Transparencia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9B46D2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este espacio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>sobre el derecho de los ciudadanos a solicitar información pública de la entidad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y se proporciona un enlace al Portal de Transparencia de la AGE para la presentación de las solicitudes de acceso. También se proporcionan instrucciones para la identificación de la UIT ministerial a la que deben dirigirse las solicitudes de acceso.</w:t>
      </w:r>
    </w:p>
    <w:p w:rsidR="00B40246" w:rsidRPr="00E34195" w:rsidRDefault="0023046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BE71C4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861D04">
        <w:rPr>
          <w:color w:val="auto"/>
          <w:lang w:bidi="es-ES"/>
        </w:rPr>
        <w:t>0</w:t>
      </w:r>
      <w:r w:rsidR="009B46D2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/0</w:t>
      </w:r>
      <w:r w:rsidR="00EE60CE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9B46D2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861D04">
        <w:rPr>
          <w:color w:val="auto"/>
          <w:lang w:bidi="es-ES"/>
        </w:rPr>
        <w:t>del</w:t>
      </w:r>
      <w:r w:rsidR="009B46D2">
        <w:rPr>
          <w:color w:val="auto"/>
          <w:lang w:bidi="es-ES"/>
        </w:rPr>
        <w:t xml:space="preserve"> Portal de Transparencia de la AGE</w:t>
      </w:r>
      <w:r w:rsidR="00861D04">
        <w:rPr>
          <w:color w:val="auto"/>
          <w:lang w:bidi="es-ES"/>
        </w:rPr>
        <w:t>, una solicitud de acceso a información pública de la entidad</w:t>
      </w:r>
      <w:r>
        <w:rPr>
          <w:color w:val="auto"/>
          <w:lang w:bidi="es-ES"/>
        </w:rPr>
        <w:t xml:space="preserve">. </w:t>
      </w:r>
      <w:r w:rsidR="009B46D2">
        <w:rPr>
          <w:color w:val="auto"/>
          <w:lang w:bidi="es-ES"/>
        </w:rPr>
        <w:t xml:space="preserve">Con la misma fecha </w:t>
      </w:r>
      <w:r w:rsidR="000B2A81">
        <w:rPr>
          <w:color w:val="auto"/>
          <w:lang w:bidi="es-ES"/>
        </w:rPr>
        <w:t>se emite un acuse de recibo</w:t>
      </w:r>
      <w:r w:rsidR="00AC715D"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9B46D2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046805" w:rsidRDefault="00861D04" w:rsidP="00861D0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</w:t>
      </w:r>
      <w:r w:rsidR="00A66275"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883B35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A66275" w:rsidRDefault="00A66275" w:rsidP="00A66275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ha recibido un total de </w:t>
      </w:r>
      <w:r w:rsidR="00680E20">
        <w:rPr>
          <w:color w:val="auto"/>
        </w:rPr>
        <w:t>ocho</w:t>
      </w:r>
      <w:r>
        <w:rPr>
          <w:color w:val="auto"/>
        </w:rPr>
        <w:t xml:space="preserve"> reclamaciones contra resoluciones de </w:t>
      </w:r>
      <w:r w:rsidR="00861D04">
        <w:rPr>
          <w:color w:val="auto"/>
        </w:rPr>
        <w:t xml:space="preserve">la </w:t>
      </w:r>
      <w:r w:rsidR="00680E20">
        <w:rPr>
          <w:color w:val="auto"/>
        </w:rPr>
        <w:t>Agencia EFE</w:t>
      </w:r>
      <w:r>
        <w:rPr>
          <w:color w:val="auto"/>
        </w:rPr>
        <w:t xml:space="preserve"> en materia de acceso a la información pública. De ellas, </w:t>
      </w:r>
      <w:r w:rsidR="00680E20">
        <w:rPr>
          <w:color w:val="auto"/>
        </w:rPr>
        <w:t>dos</w:t>
      </w:r>
      <w:r w:rsidR="00861D04">
        <w:rPr>
          <w:color w:val="auto"/>
        </w:rPr>
        <w:t xml:space="preserve"> fue</w:t>
      </w:r>
      <w:r w:rsidR="00E23C8C">
        <w:rPr>
          <w:color w:val="auto"/>
        </w:rPr>
        <w:t>ron</w:t>
      </w:r>
      <w:r w:rsidR="00861D04">
        <w:rPr>
          <w:color w:val="auto"/>
        </w:rPr>
        <w:t xml:space="preserve"> estimada</w:t>
      </w:r>
      <w:r w:rsidR="00E23C8C">
        <w:rPr>
          <w:color w:val="auto"/>
        </w:rPr>
        <w:t>s</w:t>
      </w:r>
      <w:r w:rsidRPr="004A133A">
        <w:t xml:space="preserve"> –</w:t>
      </w:r>
      <w:r w:rsidR="00861D04">
        <w:t xml:space="preserve"> </w:t>
      </w:r>
      <w:r w:rsidR="00680E20">
        <w:t>una de ellas de manera parcial</w:t>
      </w:r>
      <w:r w:rsidRPr="004A133A">
        <w:t xml:space="preserve"> -</w:t>
      </w:r>
      <w:r>
        <w:t xml:space="preserve">, </w:t>
      </w:r>
      <w:r w:rsidR="00680E20">
        <w:t xml:space="preserve">cinco fueros </w:t>
      </w:r>
      <w:r w:rsidR="00BE71C4">
        <w:t>desestimados</w:t>
      </w:r>
      <w:r w:rsidR="00680E20">
        <w:t xml:space="preserve"> y una inadmitida</w:t>
      </w:r>
      <w:r>
        <w:t xml:space="preserve">. </w:t>
      </w:r>
    </w:p>
    <w:p w:rsidR="00BE71C4" w:rsidRDefault="00BE71C4" w:rsidP="00BE71C4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La Agencia EFE presentó recurso contencioso-administrativo contra las dos resoluciones favorables a los reclamantes, lo que sitúa la tasa de litigiosidad en el 100%. Las sentencias dictadas, que han adquirido firmeza, fueron favorables al CTBG. </w:t>
      </w:r>
    </w:p>
    <w:p w:rsidR="00BE71C4" w:rsidRDefault="00BE71C4" w:rsidP="00BE71C4">
      <w:pPr>
        <w:pStyle w:val="Cuerpodelboletn"/>
        <w:spacing w:before="120" w:after="120" w:line="276" w:lineRule="auto"/>
        <w:ind w:left="425"/>
        <w:rPr>
          <w:color w:val="auto"/>
        </w:rPr>
      </w:pPr>
    </w:p>
    <w:tbl>
      <w:tblPr>
        <w:tblStyle w:val="Tablaconcuadrcula3"/>
        <w:tblW w:w="0" w:type="auto"/>
        <w:tblInd w:w="959" w:type="dxa"/>
        <w:tblLook w:val="04A0" w:firstRow="1" w:lastRow="0" w:firstColumn="1" w:lastColumn="0" w:noHBand="0" w:noVBand="1"/>
      </w:tblPr>
      <w:tblGrid>
        <w:gridCol w:w="1132"/>
        <w:gridCol w:w="4013"/>
        <w:gridCol w:w="1756"/>
        <w:gridCol w:w="1427"/>
      </w:tblGrid>
      <w:tr w:rsidR="00BE71C4" w:rsidRPr="00871B3A" w:rsidTr="00BE71C4">
        <w:tc>
          <w:tcPr>
            <w:tcW w:w="1132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007635"/>
            <w:textDirection w:val="btLr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 la entidad recurridas ante el CTBG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BE71C4" w:rsidRPr="00871B3A" w:rsidTr="00BE71C4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BE71C4" w:rsidRPr="00871B3A" w:rsidTr="00BE71C4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71,4</w:t>
            </w:r>
          </w:p>
        </w:tc>
      </w:tr>
      <w:tr w:rsidR="00BE71C4" w:rsidRPr="00871B3A" w:rsidTr="00BE71C4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E71C4" w:rsidRPr="00871B3A" w:rsidTr="00BE71C4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</w:t>
            </w:r>
          </w:p>
        </w:tc>
      </w:tr>
      <w:tr w:rsidR="00BE71C4" w:rsidRPr="00871B3A" w:rsidTr="00BE71C4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E71C4" w:rsidRPr="00871B3A" w:rsidTr="00BE71C4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Tasa de litigiosidad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BE71C4" w:rsidRPr="00871B3A" w:rsidTr="00BE71C4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al CTBG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E71C4" w:rsidRPr="00871B3A" w:rsidTr="00BE71C4">
        <w:trPr>
          <w:trHeight w:val="113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  <w:vAlign w:val="center"/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BE71C4" w:rsidRPr="00871B3A" w:rsidTr="00BE71C4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E71C4" w:rsidRPr="00871B3A" w:rsidTr="00BE71C4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680E20" w:rsidRPr="004A133A" w:rsidRDefault="00680E20" w:rsidP="00A66275">
      <w:pPr>
        <w:pStyle w:val="Cuerpodelboletn"/>
        <w:spacing w:before="120" w:after="120" w:line="276" w:lineRule="auto"/>
        <w:ind w:left="425"/>
      </w:pPr>
    </w:p>
    <w:p w:rsidR="001F251B" w:rsidRPr="00256215" w:rsidRDefault="0023046E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BE71C4" w:rsidP="008B50E2">
      <w:pPr>
        <w:ind w:left="426"/>
        <w:jc w:val="both"/>
      </w:pPr>
      <w:r>
        <w:t>La Agencia EFE presenta un conjunto de buenas prácticas que podrían ser aplicadas por otras organizaciones:</w:t>
      </w:r>
      <w:r w:rsidR="0063118A">
        <w:t xml:space="preserve"> </w:t>
      </w:r>
    </w:p>
    <w:p w:rsidR="00BE71C4" w:rsidRDefault="00BE71C4" w:rsidP="00BE71C4">
      <w:pPr>
        <w:pStyle w:val="Prrafodelista"/>
        <w:numPr>
          <w:ilvl w:val="0"/>
          <w:numId w:val="10"/>
        </w:numPr>
        <w:jc w:val="both"/>
      </w:pPr>
      <w:r>
        <w:t>La habilitación de un espacio específico para la presentación de las solicitudes de acceso a información pública de la entidad.</w:t>
      </w:r>
    </w:p>
    <w:p w:rsidR="00E51768" w:rsidRDefault="00E51768" w:rsidP="00BE71C4">
      <w:pPr>
        <w:pStyle w:val="Prrafodelista"/>
        <w:numPr>
          <w:ilvl w:val="0"/>
          <w:numId w:val="10"/>
        </w:numPr>
        <w:jc w:val="both"/>
      </w:pPr>
      <w:r>
        <w:t>Informar sobre el derecho de los ciudadanos a solicitar información pública.</w:t>
      </w:r>
    </w:p>
    <w:p w:rsidR="00BE71C4" w:rsidRDefault="00E51768" w:rsidP="00BE71C4">
      <w:pPr>
        <w:pStyle w:val="Prrafodelista"/>
        <w:numPr>
          <w:ilvl w:val="0"/>
          <w:numId w:val="10"/>
        </w:numPr>
        <w:jc w:val="both"/>
      </w:pPr>
      <w:r>
        <w:t>La incorporación de instrucciones  para la presentación de</w:t>
      </w:r>
      <w:r w:rsidR="00E23C8C">
        <w:t xml:space="preserve"> </w:t>
      </w:r>
      <w:r>
        <w:t>las solicitudes a través del Portal de Transparencia de la AGE.</w:t>
      </w:r>
    </w:p>
    <w:p w:rsidR="0063118A" w:rsidRDefault="0063118A" w:rsidP="0063118A">
      <w:pPr>
        <w:ind w:left="426"/>
      </w:pPr>
    </w:p>
    <w:p w:rsidR="00256215" w:rsidRDefault="0023046E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 xml:space="preserve">Como se ha indicado la </w:t>
      </w:r>
      <w:r w:rsidR="00E51768">
        <w:rPr>
          <w:rFonts w:eastAsia="Times New Roman" w:cs="Times New Roman"/>
          <w:bCs/>
        </w:rPr>
        <w:t>Agencia EFE</w:t>
      </w:r>
      <w:r w:rsidRPr="00DD0521">
        <w:rPr>
          <w:rFonts w:eastAsia="Times New Roman" w:cs="Times New Roman"/>
          <w:bCs/>
        </w:rPr>
        <w:t xml:space="preserve"> no ha remitido información sobre la actividad generada por la gestión de las solicitudes de acceso a información pública en 202</w:t>
      </w:r>
      <w:r w:rsidR="00E51768">
        <w:rPr>
          <w:rFonts w:eastAsia="Times New Roman" w:cs="Times New Roman"/>
          <w:bCs/>
        </w:rPr>
        <w:t>2</w:t>
      </w:r>
      <w:r w:rsidRPr="00DD0521">
        <w:rPr>
          <w:rFonts w:eastAsia="Times New Roman" w:cs="Times New Roman"/>
          <w:bCs/>
        </w:rPr>
        <w:t>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861D04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E51768">
        <w:rPr>
          <w:bCs/>
        </w:rPr>
        <w:t>Agencia EFE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890B67" w:rsidRDefault="00890B67" w:rsidP="00890B6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problema que lleva a este CTBG a plantear esta recomendación, es que el Portal, publica las resoluciones denegatorias por aplicación de los límites del artículo 14 para el conjunto de Ministerios, y no permite la búsqueda por organismo o entidad dependiente o vinculada, lo que implica que la búsqueda de registros en el </w:t>
      </w:r>
      <w:proofErr w:type="spellStart"/>
      <w:r>
        <w:rPr>
          <w:bCs/>
        </w:rPr>
        <w:t>excel</w:t>
      </w:r>
      <w:proofErr w:type="spellEnd"/>
      <w:r>
        <w:rPr>
          <w:bCs/>
        </w:rPr>
        <w:t xml:space="preserve"> que se proporciona deba efectuarse por el Ministerio de adscripción de la entidad, información de la que no siempre dispone la ciudadanía. </w:t>
      </w:r>
    </w:p>
    <w:p w:rsidR="00890B67" w:rsidRDefault="00890B67" w:rsidP="00890B6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E51768" w:rsidRDefault="00E51768" w:rsidP="00E51768">
      <w:pPr>
        <w:pStyle w:val="Prrafodelista"/>
        <w:ind w:left="644"/>
        <w:jc w:val="both"/>
      </w:pPr>
      <w:r>
        <w:t xml:space="preserve">La Agencia EFE dispone de un espacio en su web institucional que facilita el ejercicio del derecho de acceso a la información. Se informa sobre la posibilidad de que los ciudadanos efectúen solicitudes de acceso a información pública dirigidas a la entidad y también sobre los medios de presentación de solicitudes. </w:t>
      </w:r>
    </w:p>
    <w:p w:rsidR="00E51768" w:rsidRDefault="00E51768" w:rsidP="00E51768">
      <w:pPr>
        <w:pStyle w:val="Prrafodelista"/>
        <w:ind w:left="644"/>
        <w:jc w:val="both"/>
      </w:pPr>
    </w:p>
    <w:p w:rsidR="00E51768" w:rsidRDefault="00E51768" w:rsidP="00E51768">
      <w:pPr>
        <w:pStyle w:val="Prrafodelista"/>
        <w:ind w:left="644"/>
        <w:jc w:val="both"/>
      </w:pPr>
      <w:r>
        <w:t>Como canal de presentación, se alude expresamente al Portal de Transparencia de la AGE</w:t>
      </w:r>
    </w:p>
    <w:p w:rsidR="00E51768" w:rsidRDefault="00E51768" w:rsidP="00E51768">
      <w:pPr>
        <w:pStyle w:val="Prrafodelista"/>
        <w:ind w:left="644"/>
        <w:jc w:val="both"/>
      </w:pPr>
    </w:p>
    <w:p w:rsidR="00E51768" w:rsidRDefault="00E51768" w:rsidP="00E51768">
      <w:pPr>
        <w:pStyle w:val="Prrafodelista"/>
        <w:ind w:left="644"/>
        <w:jc w:val="both"/>
      </w:pPr>
      <w:r w:rsidRPr="009D7822">
        <w:t>No se informa sobre los medios de contacto establecidos por la Ley 39/2015 a través de los cuales éstos pueden relacionarse con las administraciones públicas</w:t>
      </w:r>
      <w:r>
        <w:t>.</w:t>
      </w:r>
    </w:p>
    <w:p w:rsidR="00E51768" w:rsidRDefault="00E51768" w:rsidP="00E51768">
      <w:pPr>
        <w:pStyle w:val="Prrafodelista"/>
        <w:ind w:left="644"/>
        <w:jc w:val="both"/>
      </w:pPr>
    </w:p>
    <w:p w:rsidR="00F900E1" w:rsidRDefault="00E51768" w:rsidP="00E51768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bookmarkStart w:id="0" w:name="_GoBack"/>
      <w:bookmarkEnd w:id="0"/>
      <w:r w:rsidRPr="009D7822">
        <w:t xml:space="preserve">La Ley 39/2015, fija los medios a través de los cuales los ciudadanos pueden relacionarse con las administraciones y el derecho de éstos a relacionarse por el medio que consideren oportuno y a modificar en el transcurso del </w:t>
      </w:r>
      <w:r>
        <w:t>procedimiento el medio elegido, por lo que sería conveniente que se informase a los ciudadanos sobre esta cuestión.</w:t>
      </w:r>
    </w:p>
    <w:p w:rsidR="00E51768" w:rsidRDefault="00E51768" w:rsidP="00E51768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D4B85" w:rsidRPr="008D4B85" w:rsidRDefault="008D4B85" w:rsidP="008D4B85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>
        <w:t xml:space="preserve">la </w:t>
      </w:r>
      <w:r w:rsidR="00BE71C4">
        <w:t>Agencia EFE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8D4B85" w:rsidRPr="008D4B85" w:rsidRDefault="008D4B85" w:rsidP="008D4B85">
      <w:pPr>
        <w:ind w:left="644"/>
        <w:contextualSpacing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 xml:space="preserve">Madrid, </w:t>
      </w:r>
      <w:r w:rsidR="00BE71C4">
        <w:t>junio</w:t>
      </w:r>
      <w:r>
        <w:t xml:space="preserve"> de 202</w:t>
      </w:r>
      <w:r w:rsidR="00BE71C4">
        <w:t>3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C4" w:rsidRDefault="00BE71C4" w:rsidP="00932008">
      <w:pPr>
        <w:spacing w:after="0" w:line="240" w:lineRule="auto"/>
      </w:pPr>
      <w:r>
        <w:separator/>
      </w:r>
    </w:p>
  </w:endnote>
  <w:endnote w:type="continuationSeparator" w:id="0">
    <w:p w:rsidR="00BE71C4" w:rsidRDefault="00BE71C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E71C4" w:rsidRPr="00C533E7" w:rsidRDefault="00BE71C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23046E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BE71C4" w:rsidRDefault="00BE71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C4" w:rsidRDefault="00BE71C4" w:rsidP="00932008">
      <w:pPr>
        <w:spacing w:after="0" w:line="240" w:lineRule="auto"/>
      </w:pPr>
      <w:r>
        <w:separator/>
      </w:r>
    </w:p>
  </w:footnote>
  <w:footnote w:type="continuationSeparator" w:id="0">
    <w:p w:rsidR="00BE71C4" w:rsidRDefault="00BE71C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01" type="#_x0000_t75" style="width:9pt;height:9pt" o:bullet="t">
        <v:imagedata r:id="rId1" o:title="BD14533_"/>
      </v:shape>
    </w:pict>
  </w:numPicBullet>
  <w:numPicBullet w:numPicBulletId="1">
    <w:pict>
      <v:shape id="_x0000_i2202" type="#_x0000_t75" style="width:11.25pt;height:11.25pt" o:bullet="t">
        <v:imagedata r:id="rId2" o:title="BD14654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1919A2"/>
    <w:multiLevelType w:val="hybridMultilevel"/>
    <w:tmpl w:val="6F6C210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2254E"/>
    <w:rsid w:val="0023046E"/>
    <w:rsid w:val="00241D7A"/>
    <w:rsid w:val="00255A7E"/>
    <w:rsid w:val="00256215"/>
    <w:rsid w:val="00260A34"/>
    <w:rsid w:val="0026281C"/>
    <w:rsid w:val="002A154B"/>
    <w:rsid w:val="002C3B63"/>
    <w:rsid w:val="002E0A3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C21D3"/>
    <w:rsid w:val="005E37C8"/>
    <w:rsid w:val="00610D8A"/>
    <w:rsid w:val="00626819"/>
    <w:rsid w:val="0063118A"/>
    <w:rsid w:val="00654162"/>
    <w:rsid w:val="00680E20"/>
    <w:rsid w:val="006A2766"/>
    <w:rsid w:val="006A2E9A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83B35"/>
    <w:rsid w:val="00890B67"/>
    <w:rsid w:val="008B50E2"/>
    <w:rsid w:val="008C1E1E"/>
    <w:rsid w:val="008D4B85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B46D2"/>
    <w:rsid w:val="009F4D42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E71C4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23C8C"/>
    <w:rsid w:val="00E3088D"/>
    <w:rsid w:val="00E34195"/>
    <w:rsid w:val="00E4702F"/>
    <w:rsid w:val="00E47613"/>
    <w:rsid w:val="00E51768"/>
    <w:rsid w:val="00E569FD"/>
    <w:rsid w:val="00EE5BDF"/>
    <w:rsid w:val="00EE60CE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9B5C1C"/>
    <w:rsid w:val="00A80EAD"/>
    <w:rsid w:val="00AA2EB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5E7DB-A493-43D9-B5B0-4678EC75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46</TotalTime>
  <Pages>4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2007-10-26T10:03:00Z</cp:lastPrinted>
  <dcterms:created xsi:type="dcterms:W3CDTF">2023-06-09T09:24:00Z</dcterms:created>
  <dcterms:modified xsi:type="dcterms:W3CDTF">2023-07-04T07:25:00Z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