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BE5206" w:rsidRDefault="00BE520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BE5206" w:rsidRPr="00006957" w:rsidRDefault="00BE520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745CB3" w:rsidRDefault="00745CB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745CB3" w:rsidRPr="00006957" w:rsidRDefault="00745CB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5206" w:rsidRDefault="00BE520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745CB3" w:rsidRDefault="00745CB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771C6C" w:rsidP="00AC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Instituto Iberoamericano de </w:t>
            </w:r>
            <w:r w:rsidR="00354BA1">
              <w:rPr>
                <w:sz w:val="24"/>
                <w:szCs w:val="24"/>
              </w:rPr>
              <w:t xml:space="preserve">Mercados de </w:t>
            </w:r>
            <w:r>
              <w:rPr>
                <w:sz w:val="24"/>
                <w:szCs w:val="24"/>
              </w:rPr>
              <w:t>Valores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771C6C" w:rsidP="00546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158DA">
              <w:rPr>
                <w:sz w:val="24"/>
                <w:szCs w:val="24"/>
              </w:rPr>
              <w:t>/05/2023</w:t>
            </w:r>
          </w:p>
        </w:tc>
      </w:tr>
    </w:tbl>
    <w:p w:rsidR="00BA266E" w:rsidRDefault="00BA266E"/>
    <w:p w:rsidR="00561402" w:rsidRPr="0012783F" w:rsidRDefault="002B2C87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CF15A6" w:rsidRDefault="006E3659" w:rsidP="00CF15A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gestión de las solicitudes de acceso a la información pública de la Fundación, se realiza por la Secretaría General, que cuenta con una persona que compatibiliza esta actividad con otras tareas.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2B2C87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9158DA">
            <w:rPr>
              <w:b/>
              <w:color w:val="00642D"/>
              <w:sz w:val="30"/>
              <w:szCs w:val="30"/>
            </w:rPr>
            <w:t>Actividad generada en 2022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E3659" w:rsidRDefault="00354BA1" w:rsidP="009158DA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Según</w:t>
      </w:r>
      <w:r w:rsidR="006E3659">
        <w:rPr>
          <w:bCs/>
          <w:color w:val="auto"/>
          <w:szCs w:val="22"/>
        </w:rPr>
        <w:t xml:space="preserve"> informa el Instituto Iberoamericano </w:t>
      </w:r>
      <w:r>
        <w:rPr>
          <w:bCs/>
          <w:color w:val="auto"/>
          <w:szCs w:val="22"/>
        </w:rPr>
        <w:t>de Mercados de Valores, en 2022 no recibió ninguna solicitud de acceso a información pública de la Fundación.</w:t>
      </w:r>
    </w:p>
    <w:p w:rsidR="006E3659" w:rsidRDefault="006E3659" w:rsidP="009158DA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0D2B4E" w:rsidRDefault="006E3659" w:rsidP="009158DA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bCs/>
          <w:color w:val="auto"/>
          <w:szCs w:val="22"/>
        </w:rPr>
        <w:t xml:space="preserve">En el Portal de Transparencia </w:t>
      </w:r>
      <w:r w:rsidR="00771C6C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 xml:space="preserve">se informa </w:t>
      </w:r>
      <w:r w:rsidR="000D2B4E" w:rsidRPr="00C25AF5">
        <w:rPr>
          <w:rStyle w:val="Ttulo2Car"/>
          <w:b w:val="0"/>
          <w:color w:val="auto"/>
          <w:sz w:val="22"/>
          <w:szCs w:val="22"/>
          <w:lang w:bidi="es-ES"/>
        </w:rPr>
        <w:t>sobre la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inexistencia de </w:t>
      </w:r>
      <w:r w:rsidR="000D2B4E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denegadas por aplicación de los límites del artículo 14 de la LTAIBG, tal y como establece el artículo 14.3 de la norma, que obliga a la publicación de estas resoluciones previa disociación de los datos de carácter personal. </w:t>
      </w:r>
    </w:p>
    <w:p w:rsidR="00354BA1" w:rsidRDefault="00354BA1" w:rsidP="009158DA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auto"/>
          <w:sz w:val="22"/>
          <w:szCs w:val="22"/>
          <w:lang w:bidi="es-ES"/>
        </w:rPr>
      </w:pPr>
    </w:p>
    <w:p w:rsidR="00354BA1" w:rsidRPr="009079EA" w:rsidRDefault="00354BA1" w:rsidP="009158DA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auto"/>
          <w:sz w:val="22"/>
          <w:szCs w:val="22"/>
          <w:lang w:bidi="es-ES"/>
        </w:rPr>
      </w:pPr>
    </w:p>
    <w:p w:rsidR="000D2B4E" w:rsidRDefault="000D2B4E" w:rsidP="00CF15A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E34195" w:rsidRDefault="002B2C87" w:rsidP="00CF15A6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4735D" w:rsidRDefault="00771C6C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Instituto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dispone de un apartado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>en su 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354BA1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solicitudes </w:t>
      </w:r>
      <w:r w:rsidR="009158DA">
        <w:rPr>
          <w:rStyle w:val="Ttulo2Car"/>
          <w:b w:val="0"/>
          <w:color w:val="auto"/>
          <w:sz w:val="22"/>
          <w:szCs w:val="22"/>
          <w:lang w:bidi="es-ES"/>
        </w:rPr>
        <w:t xml:space="preserve">de acceso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a información pública</w:t>
      </w:r>
      <w:r w:rsidR="00354BA1">
        <w:rPr>
          <w:rStyle w:val="Ttulo2Car"/>
          <w:b w:val="0"/>
          <w:color w:val="auto"/>
          <w:sz w:val="22"/>
          <w:szCs w:val="22"/>
          <w:lang w:bidi="es-ES"/>
        </w:rPr>
        <w:t xml:space="preserve"> de la entidad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64735D">
        <w:rPr>
          <w:rStyle w:val="Ttulo2Car"/>
          <w:b w:val="0"/>
          <w:color w:val="auto"/>
          <w:sz w:val="22"/>
          <w:szCs w:val="22"/>
          <w:lang w:bidi="es-ES"/>
        </w:rPr>
        <w:t xml:space="preserve">En dicho espacio </w:t>
      </w:r>
      <w:r w:rsidR="000D2B4E">
        <w:rPr>
          <w:rStyle w:val="Ttulo2Car"/>
          <w:b w:val="0"/>
          <w:color w:val="auto"/>
          <w:sz w:val="22"/>
          <w:szCs w:val="22"/>
          <w:lang w:bidi="es-ES"/>
        </w:rPr>
        <w:t xml:space="preserve">se </w:t>
      </w:r>
      <w:r w:rsidR="0064735D">
        <w:rPr>
          <w:rStyle w:val="Ttulo2Car"/>
          <w:b w:val="0"/>
          <w:color w:val="auto"/>
          <w:sz w:val="22"/>
          <w:szCs w:val="22"/>
          <w:lang w:bidi="es-ES"/>
        </w:rPr>
        <w:t>informa sobre el derecho de los ciudadanos a solicitar información pública</w:t>
      </w:r>
      <w:r w:rsidR="00745CB3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34803" w:rsidRDefault="000D2B4E" w:rsidP="00045D0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Como canal de presentación de las solicitudes se ha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habilitado el correo </w:t>
      </w:r>
      <w:r w:rsidR="009158DA">
        <w:rPr>
          <w:rStyle w:val="Ttulo2Car"/>
          <w:b w:val="0"/>
          <w:color w:val="auto"/>
          <w:sz w:val="22"/>
          <w:szCs w:val="22"/>
          <w:lang w:bidi="es-ES"/>
        </w:rPr>
        <w:t>electrónico</w:t>
      </w:r>
      <w:r>
        <w:rPr>
          <w:rStyle w:val="Ttulo2Car"/>
          <w:b w:val="0"/>
          <w:color w:val="auto"/>
          <w:sz w:val="22"/>
          <w:szCs w:val="22"/>
          <w:lang w:bidi="es-ES"/>
        </w:rPr>
        <w:t>. Existe un formulario que debe cumplimentarse para la remisión de las solicitudes. Como requisitos para la presentación de las mismas se exige</w:t>
      </w:r>
      <w:r w:rsidR="009158DA">
        <w:rPr>
          <w:rStyle w:val="Ttulo2Car"/>
          <w:b w:val="0"/>
          <w:color w:val="auto"/>
          <w:sz w:val="22"/>
          <w:szCs w:val="22"/>
          <w:lang w:bidi="es-ES"/>
        </w:rPr>
        <w:t>n nombre y apellidos, DNI</w:t>
      </w:r>
      <w:r w:rsidR="00771C6C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9158DA">
        <w:rPr>
          <w:rStyle w:val="Ttulo2Car"/>
          <w:b w:val="0"/>
          <w:color w:val="auto"/>
          <w:sz w:val="22"/>
          <w:szCs w:val="22"/>
          <w:lang w:bidi="es-ES"/>
        </w:rPr>
        <w:t xml:space="preserve"> dirección de </w:t>
      </w:r>
      <w:r w:rsidR="00771C6C">
        <w:rPr>
          <w:rStyle w:val="Ttulo2Car"/>
          <w:b w:val="0"/>
          <w:color w:val="auto"/>
          <w:sz w:val="22"/>
          <w:szCs w:val="22"/>
          <w:lang w:bidi="es-ES"/>
        </w:rPr>
        <w:t>correo electrónico y motivo de la solicitud</w:t>
      </w:r>
      <w:r w:rsidR="009158DA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6E3659">
        <w:rPr>
          <w:rStyle w:val="Ttulo2Car"/>
          <w:b w:val="0"/>
          <w:color w:val="auto"/>
          <w:sz w:val="22"/>
          <w:szCs w:val="22"/>
          <w:lang w:bidi="es-ES"/>
        </w:rPr>
        <w:t>No s</w:t>
      </w:r>
      <w:r w:rsidR="00045D05">
        <w:rPr>
          <w:rStyle w:val="Ttulo2Car"/>
          <w:b w:val="0"/>
          <w:color w:val="auto"/>
          <w:sz w:val="22"/>
          <w:szCs w:val="22"/>
          <w:lang w:bidi="es-ES"/>
        </w:rPr>
        <w:t>e informa sobre el procedimiento</w:t>
      </w:r>
      <w:r w:rsidR="00073641">
        <w:rPr>
          <w:rStyle w:val="Ttulo2Car"/>
          <w:b w:val="0"/>
          <w:color w:val="auto"/>
          <w:sz w:val="22"/>
          <w:szCs w:val="22"/>
          <w:lang w:bidi="es-ES"/>
        </w:rPr>
        <w:t xml:space="preserve"> de gestión de las solicitudes</w:t>
      </w:r>
      <w:r w:rsidR="00045D05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B40246" w:rsidRPr="00E34195" w:rsidRDefault="002B2C87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771C6C">
        <w:rPr>
          <w:color w:val="auto"/>
          <w:lang w:bidi="es-ES"/>
        </w:rPr>
        <w:t>05</w:t>
      </w:r>
      <w:r w:rsidR="0047117E">
        <w:rPr>
          <w:color w:val="auto"/>
          <w:lang w:bidi="es-ES"/>
        </w:rPr>
        <w:t>/</w:t>
      </w:r>
      <w:r w:rsidR="000B2A81">
        <w:rPr>
          <w:color w:val="auto"/>
          <w:lang w:bidi="es-ES"/>
        </w:rPr>
        <w:t>0</w:t>
      </w:r>
      <w:r w:rsidR="009158DA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9158DA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</w:t>
      </w:r>
      <w:r w:rsidR="00073641">
        <w:rPr>
          <w:color w:val="auto"/>
          <w:lang w:bidi="es-ES"/>
        </w:rPr>
        <w:t>,</w:t>
      </w:r>
      <w:r>
        <w:rPr>
          <w:color w:val="auto"/>
          <w:lang w:bidi="es-ES"/>
        </w:rPr>
        <w:t xml:space="preserve"> </w:t>
      </w:r>
      <w:r w:rsidR="009158DA">
        <w:rPr>
          <w:color w:val="auto"/>
          <w:lang w:bidi="es-ES"/>
        </w:rPr>
        <w:t>por medio de correo electrónico</w:t>
      </w:r>
      <w:r w:rsidR="00073641">
        <w:rPr>
          <w:color w:val="auto"/>
          <w:lang w:bidi="es-ES"/>
        </w:rPr>
        <w:t>, una</w:t>
      </w:r>
      <w:r w:rsidR="0064735D">
        <w:rPr>
          <w:color w:val="auto"/>
          <w:lang w:bidi="es-ES"/>
        </w:rPr>
        <w:t xml:space="preserve"> solicitud de </w:t>
      </w:r>
      <w:r w:rsidR="00354BA1">
        <w:rPr>
          <w:color w:val="auto"/>
          <w:lang w:bidi="es-ES"/>
        </w:rPr>
        <w:t xml:space="preserve">acceso a </w:t>
      </w:r>
      <w:r w:rsidR="0064735D">
        <w:rPr>
          <w:color w:val="auto"/>
          <w:lang w:bidi="es-ES"/>
        </w:rPr>
        <w:t>información pública</w:t>
      </w:r>
      <w:r>
        <w:rPr>
          <w:color w:val="auto"/>
          <w:lang w:bidi="es-ES"/>
        </w:rPr>
        <w:t>.</w:t>
      </w:r>
      <w:r w:rsidR="00073641">
        <w:rPr>
          <w:color w:val="auto"/>
          <w:lang w:bidi="es-ES"/>
        </w:rPr>
        <w:t xml:space="preserve">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C2468" w:rsidRDefault="0064735D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  <w:r w:rsidR="00F34803">
        <w:rPr>
          <w:color w:val="auto"/>
          <w:lang w:bidi="es-ES"/>
        </w:rPr>
        <w:t>.</w:t>
      </w:r>
      <w:r w:rsidR="00AC2468">
        <w:rPr>
          <w:color w:val="auto"/>
          <w:lang w:bidi="es-ES"/>
        </w:rPr>
        <w:t xml:space="preserve"> ´</w:t>
      </w:r>
    </w:p>
    <w:p w:rsidR="0061742A" w:rsidRDefault="0061742A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Default="0064735D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771C6C">
        <w:rPr>
          <w:color w:val="auto"/>
          <w:lang w:bidi="es-ES"/>
        </w:rPr>
        <w:t>08</w:t>
      </w:r>
      <w:r w:rsidR="0061742A">
        <w:rPr>
          <w:color w:val="auto"/>
          <w:lang w:bidi="es-ES"/>
        </w:rPr>
        <w:t>/05/2023</w:t>
      </w:r>
      <w:r>
        <w:rPr>
          <w:color w:val="auto"/>
          <w:lang w:bidi="es-ES"/>
        </w:rPr>
        <w:t xml:space="preserve"> se remite un correo electrónico </w:t>
      </w:r>
      <w:r w:rsidR="00073641">
        <w:rPr>
          <w:color w:val="auto"/>
          <w:lang w:bidi="es-ES"/>
        </w:rPr>
        <w:t xml:space="preserve">mediante el que </w:t>
      </w:r>
      <w:r w:rsidR="006E3659">
        <w:rPr>
          <w:color w:val="auto"/>
          <w:lang w:bidi="es-ES"/>
        </w:rPr>
        <w:t>se da contestación a la solicitud de información presentada.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CF15A6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5A2A22">
            <w:rPr>
              <w:b/>
              <w:color w:val="00642D"/>
              <w:sz w:val="30"/>
              <w:szCs w:val="30"/>
            </w:rPr>
            <w:t>en el periodo 2015-202</w:t>
          </w:r>
          <w:r w:rsidR="002B2C87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4A133A" w:rsidRDefault="00745CB3" w:rsidP="008F5F99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</w:t>
      </w:r>
      <w:r w:rsidR="00F34803">
        <w:rPr>
          <w:color w:val="auto"/>
        </w:rPr>
        <w:t>l CTBG</w:t>
      </w:r>
      <w:r w:rsidR="008F5F99">
        <w:rPr>
          <w:color w:val="auto"/>
        </w:rPr>
        <w:t xml:space="preserve"> no </w:t>
      </w:r>
      <w:r w:rsidR="00F34803"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 w:rsidR="00F34803">
        <w:rPr>
          <w:color w:val="auto"/>
        </w:rPr>
        <w:t xml:space="preserve"> resoluciones </w:t>
      </w:r>
      <w:r>
        <w:rPr>
          <w:color w:val="auto"/>
        </w:rPr>
        <w:t>del Instituto Iberoamericano de</w:t>
      </w:r>
      <w:r w:rsidR="00354BA1">
        <w:rPr>
          <w:color w:val="auto"/>
        </w:rPr>
        <w:t xml:space="preserve"> Mercados de</w:t>
      </w:r>
      <w:r>
        <w:rPr>
          <w:color w:val="auto"/>
        </w:rPr>
        <w:t xml:space="preserve"> Valores </w:t>
      </w:r>
      <w:r w:rsidR="00F34803">
        <w:rPr>
          <w:color w:val="auto"/>
        </w:rPr>
        <w:t xml:space="preserve">en materia de acceso a la información pública. </w:t>
      </w:r>
    </w:p>
    <w:p w:rsidR="00BA3664" w:rsidRPr="004A133A" w:rsidRDefault="00BA3664" w:rsidP="008F5F99">
      <w:pPr>
        <w:pStyle w:val="Cuerpodelboletn"/>
        <w:spacing w:before="120" w:after="120" w:line="276" w:lineRule="auto"/>
        <w:ind w:left="425"/>
      </w:pPr>
    </w:p>
    <w:p w:rsidR="001F251B" w:rsidRPr="00256215" w:rsidRDefault="002B2C87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CF15A6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5A2A22" w:rsidRDefault="00745CB3" w:rsidP="009C7EDB">
      <w:pPr>
        <w:ind w:left="426"/>
        <w:jc w:val="both"/>
      </w:pPr>
      <w:r>
        <w:t xml:space="preserve">El Instituto Iberoamericano de </w:t>
      </w:r>
      <w:r w:rsidR="00354BA1">
        <w:t>Merca</w:t>
      </w:r>
      <w:bookmarkStart w:id="0" w:name="_GoBack"/>
      <w:bookmarkEnd w:id="0"/>
      <w:r w:rsidR="00354BA1">
        <w:t xml:space="preserve">dos de </w:t>
      </w:r>
      <w:r>
        <w:t>Valores</w:t>
      </w:r>
      <w:r w:rsidR="005A2A22">
        <w:t xml:space="preserve"> presenta un conjunto de buenas prácticas en materia de derecho de acceso que podrían ser aplicadas por otras organizaciones públicas:</w:t>
      </w:r>
    </w:p>
    <w:p w:rsidR="009C7EDB" w:rsidRDefault="00745CB3" w:rsidP="00745CB3">
      <w:pPr>
        <w:pStyle w:val="Prrafodelista"/>
        <w:numPr>
          <w:ilvl w:val="0"/>
          <w:numId w:val="11"/>
        </w:numPr>
        <w:ind w:left="1416"/>
        <w:jc w:val="both"/>
      </w:pPr>
      <w:r w:rsidRPr="00745CB3">
        <w:lastRenderedPageBreak/>
        <w:t>Habilitación de un espacio para la presentación de solicitudes de información pública de la entidad. En este espacio se informa sobre los canales de presentación de las solicitudes</w:t>
      </w:r>
      <w:r w:rsidR="009C7EDB" w:rsidRPr="009C7EDB">
        <w:t>.</w:t>
      </w:r>
    </w:p>
    <w:p w:rsidR="00745CB3" w:rsidRPr="009C7EDB" w:rsidRDefault="00745CB3" w:rsidP="00745CB3">
      <w:pPr>
        <w:pStyle w:val="Prrafodelista"/>
        <w:numPr>
          <w:ilvl w:val="0"/>
          <w:numId w:val="11"/>
        </w:numPr>
        <w:ind w:left="1416"/>
        <w:jc w:val="both"/>
      </w:pPr>
      <w:r>
        <w:rPr>
          <w:rStyle w:val="Ttulo2Car"/>
          <w:b w:val="0"/>
          <w:color w:val="auto"/>
          <w:sz w:val="22"/>
          <w:szCs w:val="22"/>
          <w:lang w:bidi="es-ES"/>
        </w:rPr>
        <w:t>Enlace con la guía ciudadana de derecho de acceso.</w:t>
      </w:r>
    </w:p>
    <w:p w:rsidR="000C2945" w:rsidRDefault="000C2945" w:rsidP="00745CB3">
      <w:pPr>
        <w:pStyle w:val="Prrafodelista"/>
        <w:ind w:left="1068"/>
      </w:pPr>
    </w:p>
    <w:p w:rsidR="00256215" w:rsidRDefault="002B2C87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9125A4" w:rsidRPr="00DD0521" w:rsidRDefault="00354BA1" w:rsidP="009125A4">
      <w:pPr>
        <w:ind w:left="644"/>
        <w:contextualSpacing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Como se ha indicado, la Fundación no </w:t>
      </w:r>
      <w:r w:rsidR="00745CB3">
        <w:rPr>
          <w:rFonts w:eastAsia="Times New Roman" w:cs="Times New Roman"/>
          <w:bCs/>
        </w:rPr>
        <w:t xml:space="preserve">ha </w:t>
      </w:r>
      <w:r>
        <w:rPr>
          <w:rFonts w:eastAsia="Times New Roman" w:cs="Times New Roman"/>
          <w:bCs/>
        </w:rPr>
        <w:t>recibido solicitudes de acceso a la información pública</w:t>
      </w:r>
      <w:r w:rsidR="00745CB3">
        <w:rPr>
          <w:rFonts w:eastAsia="Times New Roman" w:cs="Times New Roman"/>
          <w:bCs/>
        </w:rPr>
        <w:t xml:space="preserve"> en 2022</w:t>
      </w:r>
      <w:r>
        <w:rPr>
          <w:rFonts w:eastAsia="Times New Roman" w:cs="Times New Roman"/>
          <w:bCs/>
        </w:rPr>
        <w:t>.</w:t>
      </w:r>
      <w:r w:rsidR="00745CB3">
        <w:rPr>
          <w:rFonts w:eastAsia="Times New Roman" w:cs="Times New Roman"/>
          <w:bCs/>
        </w:rPr>
        <w:t xml:space="preserve">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 xml:space="preserve">Una cuestión adicional es que </w:t>
      </w:r>
      <w:r w:rsidR="00745CB3">
        <w:rPr>
          <w:bCs/>
        </w:rPr>
        <w:t>se hace mención explícita a que no existen</w:t>
      </w:r>
      <w:r w:rsidRPr="00D74E79">
        <w:rPr>
          <w:bCs/>
        </w:rPr>
        <w:t xml:space="preserve"> </w:t>
      </w:r>
      <w:r w:rsidR="00745CB3">
        <w:rPr>
          <w:bCs/>
        </w:rPr>
        <w:t>resoluciones que denieguen</w:t>
      </w:r>
      <w:r w:rsidRPr="00D74E79">
        <w:rPr>
          <w:bCs/>
        </w:rPr>
        <w:t xml:space="preserve">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354BA1" w:rsidP="00F34803">
      <w:pPr>
        <w:pStyle w:val="Prrafodelista"/>
        <w:ind w:left="644"/>
        <w:jc w:val="both"/>
      </w:pPr>
      <w:r>
        <w:t xml:space="preserve">La Fundación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A2EEE">
        <w:t>web</w:t>
      </w:r>
      <w:r w:rsidR="00D74E79">
        <w:t xml:space="preserve"> que </w:t>
      </w:r>
      <w:r w:rsidR="007B1EF0">
        <w:t>facilit</w:t>
      </w:r>
      <w:r w:rsidR="005A2A22">
        <w:t>a</w:t>
      </w:r>
      <w:r w:rsidR="007B1EF0">
        <w:t xml:space="preserve"> </w:t>
      </w:r>
      <w:r w:rsidR="00FD3C84">
        <w:t>información para la presentación de las solicitudes de información.</w:t>
      </w:r>
      <w:r w:rsidR="00F34803">
        <w:t xml:space="preserve"> </w:t>
      </w:r>
    </w:p>
    <w:p w:rsidR="007B1EF0" w:rsidRDefault="007B1EF0" w:rsidP="00F34803">
      <w:pPr>
        <w:pStyle w:val="Prrafodelista"/>
        <w:ind w:left="644"/>
        <w:jc w:val="both"/>
      </w:pPr>
    </w:p>
    <w:p w:rsidR="00BE5206" w:rsidRDefault="00354BA1" w:rsidP="00FD3C84">
      <w:pPr>
        <w:pStyle w:val="Prrafodelista"/>
        <w:ind w:left="644"/>
        <w:jc w:val="both"/>
      </w:pPr>
      <w:r>
        <w:t xml:space="preserve">Como canal habilitado </w:t>
      </w:r>
      <w:r w:rsidR="00BE5206">
        <w:t>pa</w:t>
      </w:r>
      <w:r>
        <w:t>ra l</w:t>
      </w:r>
      <w:r w:rsidR="00FD3C84">
        <w:t xml:space="preserve">a presentación de solicitudes de acceso </w:t>
      </w:r>
      <w:r w:rsidR="00BE5206">
        <w:t>sólo se señala expresamente el</w:t>
      </w:r>
      <w:r w:rsidR="00FD3C84">
        <w:t xml:space="preserve"> correo </w:t>
      </w:r>
      <w:r w:rsidR="00C1071C">
        <w:t>electrónico</w:t>
      </w:r>
      <w:r w:rsidR="00FD3C84">
        <w:t xml:space="preserve">. </w:t>
      </w:r>
    </w:p>
    <w:p w:rsidR="00BE5206" w:rsidRDefault="00BE5206" w:rsidP="00FD3C84">
      <w:pPr>
        <w:pStyle w:val="Prrafodelista"/>
        <w:ind w:left="644"/>
        <w:jc w:val="both"/>
      </w:pPr>
    </w:p>
    <w:p w:rsidR="00BE5206" w:rsidRDefault="00BE5206" w:rsidP="00BE520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 w:rsidRPr="009D7822">
        <w:t xml:space="preserve">La Ley 39/2015, fija los medios a través de los cuales los ciudadanos pueden relacionarse con las administraciones y el derecho de éstos a relacionarse por el medio que consideren oportuno y a modificar en el transcurso del </w:t>
      </w:r>
      <w:r>
        <w:t xml:space="preserve">procedimiento el medio elegido, por lo que sería conveniente que se informase a los ciudadanos sobre esta cuestión. </w:t>
      </w:r>
    </w:p>
    <w:p w:rsidR="00BE5206" w:rsidRPr="009D7822" w:rsidRDefault="00BE5206" w:rsidP="00BE5206">
      <w:pPr>
        <w:ind w:left="644"/>
        <w:contextualSpacing/>
        <w:jc w:val="both"/>
      </w:pPr>
    </w:p>
    <w:p w:rsidR="00A22A6E" w:rsidRDefault="00BE5206" w:rsidP="00FD3C84">
      <w:pPr>
        <w:pStyle w:val="Prrafodelista"/>
        <w:ind w:left="644"/>
        <w:jc w:val="both"/>
      </w:pPr>
      <w:r>
        <w:t xml:space="preserve">Por otra parte, se informa sobre los requisitos establecidos para la presentación de las solicitudes, entre los que se encuentra, con carácter obligatorio, la motivación de la solicitud. </w:t>
      </w:r>
    </w:p>
    <w:p w:rsidR="00FD3C84" w:rsidRDefault="00FD3C84" w:rsidP="00F34803">
      <w:pPr>
        <w:pStyle w:val="Prrafodelista"/>
        <w:ind w:left="644"/>
        <w:jc w:val="both"/>
      </w:pPr>
    </w:p>
    <w:p w:rsidR="00BE5206" w:rsidRDefault="00BE5206" w:rsidP="00BE5206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Este Consejo, recuerda que e</w:t>
      </w:r>
      <w:r w:rsidRPr="00BE5206">
        <w:t xml:space="preserve">l artículo 17.3 </w:t>
      </w:r>
      <w:r>
        <w:t xml:space="preserve">de la Ley 19/2013, </w:t>
      </w:r>
      <w:r w:rsidRPr="00BE5206">
        <w:t>establece que "</w:t>
      </w:r>
      <w:r w:rsidRPr="00BE5206">
        <w:rPr>
          <w:i/>
        </w:rPr>
        <w:t>El solicitante no está obligado a motivar su solicitud de acceso a la información. Sin embargo, podrá exponer los motivos por los que solicita la información y que podrán ser tenidos en cuenta cuando se dicte la resolución. No obstante, la ausencia de motivación no será por si sola causa de rechazo de la solicitud</w:t>
      </w:r>
      <w:r w:rsidRPr="00BE5206">
        <w:t>".</w:t>
      </w:r>
      <w:r>
        <w:t xml:space="preserve"> </w:t>
      </w:r>
    </w:p>
    <w:p w:rsidR="00BE5206" w:rsidRDefault="00BE5206" w:rsidP="00BE5206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</w:p>
    <w:p w:rsidR="00BE5206" w:rsidRDefault="00BE5206" w:rsidP="00BE5206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Por esta razón, el Instituto Iberoamericano de Mercados de Valores, debería eliminar en el formulario que proporciona, el requisito de que se motive la solicitud de información.</w:t>
      </w: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lastRenderedPageBreak/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A01F79" w:rsidRDefault="00A01F79" w:rsidP="00A01F79">
      <w:pPr>
        <w:tabs>
          <w:tab w:val="left" w:pos="426"/>
        </w:tabs>
        <w:ind w:left="426"/>
        <w:contextualSpacing/>
        <w:jc w:val="both"/>
      </w:pPr>
      <w:r w:rsidRPr="00F73C23">
        <w:t xml:space="preserve">La gestión de la solicitud de acceso presentada </w:t>
      </w:r>
      <w:r>
        <w:t xml:space="preserve">no </w:t>
      </w:r>
      <w:r w:rsidRPr="00F73C23">
        <w:t xml:space="preserve">se ha ajustado al procedimiento establecido por la LTAIBG. </w:t>
      </w:r>
      <w:r w:rsidR="00C1071C">
        <w:t xml:space="preserve">Se </w:t>
      </w:r>
      <w:r w:rsidR="00745CB3">
        <w:t xml:space="preserve">remite un correo electrónico en cuyo cuerpo se </w:t>
      </w:r>
      <w:r w:rsidR="00BE5206">
        <w:t xml:space="preserve">proporciona la información </w:t>
      </w:r>
      <w:r w:rsidRPr="00A27A38">
        <w:t xml:space="preserve"> </w:t>
      </w:r>
      <w:r w:rsidR="00BE5206">
        <w:t>solicitada.</w:t>
      </w:r>
      <w:r w:rsidRPr="00A27A38">
        <w:t xml:space="preserve">     </w:t>
      </w:r>
    </w:p>
    <w:p w:rsidR="00A01F79" w:rsidRDefault="00A01F79" w:rsidP="00A01F79">
      <w:pPr>
        <w:tabs>
          <w:tab w:val="left" w:pos="426"/>
        </w:tabs>
        <w:ind w:left="426"/>
        <w:contextualSpacing/>
        <w:jc w:val="both"/>
      </w:pPr>
    </w:p>
    <w:p w:rsidR="00BE5206" w:rsidRDefault="00BE5206" w:rsidP="00BE520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>Aunque el volumen de la información solicitada sea pequeño, el Instituto Iberoamericano de Mercados de Valores debe ajustarse al procedimiento establecido por las Leyes 19/2013 y 39/2015: debe</w:t>
      </w:r>
      <w:r w:rsidR="00B97E68">
        <w:t xml:space="preserve"> dictar una resolución expresa, incluyendo </w:t>
      </w:r>
      <w:r>
        <w:t>los recursos que contra la misma procedan, órgano administrativo o judicial ante el que presentarlos y el plazo para interponerlos.</w:t>
      </w:r>
    </w:p>
    <w:p w:rsidR="00A01F79" w:rsidRDefault="00A01F79" w:rsidP="00A01F79">
      <w:pPr>
        <w:tabs>
          <w:tab w:val="left" w:pos="426"/>
        </w:tabs>
        <w:ind w:left="426"/>
        <w:contextualSpacing/>
        <w:jc w:val="both"/>
      </w:pPr>
    </w:p>
    <w:p w:rsidR="00A01F79" w:rsidRPr="00F73C23" w:rsidRDefault="00A01F79" w:rsidP="00A01F79">
      <w:pPr>
        <w:tabs>
          <w:tab w:val="left" w:pos="426"/>
        </w:tabs>
        <w:ind w:left="426"/>
        <w:contextualSpacing/>
        <w:jc w:val="both"/>
      </w:pPr>
    </w:p>
    <w:p w:rsidR="00B40246" w:rsidRDefault="00B40246" w:rsidP="00A01F79">
      <w:pPr>
        <w:tabs>
          <w:tab w:val="left" w:pos="426"/>
        </w:tabs>
        <w:ind w:left="426"/>
        <w:contextualSpacing/>
        <w:jc w:val="both"/>
      </w:pPr>
    </w:p>
    <w:p w:rsidR="00A01F79" w:rsidRDefault="00A01F79" w:rsidP="00A01F79">
      <w:pPr>
        <w:tabs>
          <w:tab w:val="left" w:pos="426"/>
        </w:tabs>
        <w:ind w:left="426"/>
        <w:contextualSpacing/>
        <w:jc w:val="both"/>
      </w:pPr>
      <w:r>
        <w:t xml:space="preserve">Madrid, </w:t>
      </w:r>
      <w:r w:rsidR="00C1071C">
        <w:t>mayo de 2023</w:t>
      </w:r>
    </w:p>
    <w:sectPr w:rsidR="00A01F79" w:rsidSect="00DF63E7">
      <w:headerReference w:type="default" r:id="rId12"/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06" w:rsidRDefault="00BE5206" w:rsidP="00932008">
      <w:pPr>
        <w:spacing w:after="0" w:line="240" w:lineRule="auto"/>
      </w:pPr>
      <w:r>
        <w:separator/>
      </w:r>
    </w:p>
  </w:endnote>
  <w:endnote w:type="continuationSeparator" w:id="0">
    <w:p w:rsidR="00BE5206" w:rsidRDefault="00BE520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E5206" w:rsidRPr="00C533E7" w:rsidRDefault="00BE5206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2B2C87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BE5206" w:rsidRDefault="00BE5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06" w:rsidRDefault="00BE5206" w:rsidP="00932008">
      <w:pPr>
        <w:spacing w:after="0" w:line="240" w:lineRule="auto"/>
      </w:pPr>
      <w:r>
        <w:separator/>
      </w:r>
    </w:p>
  </w:footnote>
  <w:footnote w:type="continuationSeparator" w:id="0">
    <w:p w:rsidR="00BE5206" w:rsidRDefault="00BE5206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06" w:rsidRDefault="00BE5206">
    <w:pPr>
      <w:pStyle w:val="Encabezado"/>
    </w:pPr>
  </w:p>
  <w:p w:rsidR="00BE5206" w:rsidRDefault="00BE52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9pt;height:9pt" o:bullet="t">
        <v:imagedata r:id="rId1" o:title="BD14533_"/>
      </v:shape>
    </w:pict>
  </w:numPicBullet>
  <w:numPicBullet w:numPicBulletId="1">
    <w:pict>
      <v:shape id="_x0000_i1341" type="#_x0000_t75" style="width:11.25pt;height:11.25pt" o:bullet="t">
        <v:imagedata r:id="rId2" o:title="BD14654_"/>
      </v:shape>
    </w:pict>
  </w:numPicBullet>
  <w:numPicBullet w:numPicBulletId="2">
    <w:pict>
      <v:shape id="_x0000_i1342" type="#_x0000_t75" style="width:9pt;height:9pt" o:bullet="t">
        <v:imagedata r:id="rId3" o:title="BD14532_"/>
      </v:shape>
    </w:pict>
  </w:numPicBullet>
  <w:numPicBullet w:numPicBulletId="3">
    <w:pict>
      <v:shape id="_x0000_i1343" type="#_x0000_t75" style="width:9pt;height:9pt" o:bullet="t">
        <v:imagedata r:id="rId4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D35649"/>
    <w:multiLevelType w:val="hybridMultilevel"/>
    <w:tmpl w:val="04081C08"/>
    <w:lvl w:ilvl="0" w:tplc="FA7C346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A5255"/>
    <w:multiLevelType w:val="hybridMultilevel"/>
    <w:tmpl w:val="83D4FF1C"/>
    <w:lvl w:ilvl="0" w:tplc="33280C98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D05"/>
    <w:rsid w:val="00046805"/>
    <w:rsid w:val="00055B15"/>
    <w:rsid w:val="00073641"/>
    <w:rsid w:val="000965B3"/>
    <w:rsid w:val="000A1C07"/>
    <w:rsid w:val="000B0A0D"/>
    <w:rsid w:val="000B2A81"/>
    <w:rsid w:val="000C2945"/>
    <w:rsid w:val="000C6CFF"/>
    <w:rsid w:val="000D2B4E"/>
    <w:rsid w:val="000D5405"/>
    <w:rsid w:val="00102733"/>
    <w:rsid w:val="001252EE"/>
    <w:rsid w:val="0012783F"/>
    <w:rsid w:val="001561A4"/>
    <w:rsid w:val="00176A94"/>
    <w:rsid w:val="00194000"/>
    <w:rsid w:val="00197662"/>
    <w:rsid w:val="001B3D6A"/>
    <w:rsid w:val="001C238B"/>
    <w:rsid w:val="001E1C29"/>
    <w:rsid w:val="001F251B"/>
    <w:rsid w:val="001F25E4"/>
    <w:rsid w:val="00241D7A"/>
    <w:rsid w:val="00256215"/>
    <w:rsid w:val="0026281C"/>
    <w:rsid w:val="002A154B"/>
    <w:rsid w:val="002B2C87"/>
    <w:rsid w:val="002E0A33"/>
    <w:rsid w:val="003145AD"/>
    <w:rsid w:val="00334115"/>
    <w:rsid w:val="00340559"/>
    <w:rsid w:val="00354BA1"/>
    <w:rsid w:val="003B5288"/>
    <w:rsid w:val="003F271E"/>
    <w:rsid w:val="003F572A"/>
    <w:rsid w:val="00404F60"/>
    <w:rsid w:val="00470E08"/>
    <w:rsid w:val="0047117E"/>
    <w:rsid w:val="004A123A"/>
    <w:rsid w:val="004A133A"/>
    <w:rsid w:val="004A706B"/>
    <w:rsid w:val="004B4DC3"/>
    <w:rsid w:val="004D6E73"/>
    <w:rsid w:val="004F2655"/>
    <w:rsid w:val="00531D64"/>
    <w:rsid w:val="005446A8"/>
    <w:rsid w:val="0054642F"/>
    <w:rsid w:val="00561402"/>
    <w:rsid w:val="0057532F"/>
    <w:rsid w:val="00595AAF"/>
    <w:rsid w:val="005A0354"/>
    <w:rsid w:val="005A2A22"/>
    <w:rsid w:val="005B1F0E"/>
    <w:rsid w:val="005B3C15"/>
    <w:rsid w:val="005E37C8"/>
    <w:rsid w:val="0061742A"/>
    <w:rsid w:val="00626819"/>
    <w:rsid w:val="0064017D"/>
    <w:rsid w:val="0064735D"/>
    <w:rsid w:val="00654162"/>
    <w:rsid w:val="006A2766"/>
    <w:rsid w:val="006A2E9A"/>
    <w:rsid w:val="006A2EEE"/>
    <w:rsid w:val="006E3659"/>
    <w:rsid w:val="00706E04"/>
    <w:rsid w:val="00707CFE"/>
    <w:rsid w:val="00710031"/>
    <w:rsid w:val="00727BA2"/>
    <w:rsid w:val="00743756"/>
    <w:rsid w:val="00745CB3"/>
    <w:rsid w:val="00756117"/>
    <w:rsid w:val="00771C6C"/>
    <w:rsid w:val="007B0F99"/>
    <w:rsid w:val="007B1EF0"/>
    <w:rsid w:val="007C57AB"/>
    <w:rsid w:val="007D6B40"/>
    <w:rsid w:val="00815659"/>
    <w:rsid w:val="008207D9"/>
    <w:rsid w:val="00833900"/>
    <w:rsid w:val="00844FA9"/>
    <w:rsid w:val="008C1E1E"/>
    <w:rsid w:val="008F5F99"/>
    <w:rsid w:val="00902979"/>
    <w:rsid w:val="00904E47"/>
    <w:rsid w:val="009125A4"/>
    <w:rsid w:val="0091341F"/>
    <w:rsid w:val="009158DA"/>
    <w:rsid w:val="00923092"/>
    <w:rsid w:val="009239D9"/>
    <w:rsid w:val="00930638"/>
    <w:rsid w:val="00932008"/>
    <w:rsid w:val="009609E9"/>
    <w:rsid w:val="00983919"/>
    <w:rsid w:val="009B321F"/>
    <w:rsid w:val="009C7EDB"/>
    <w:rsid w:val="009E7A2F"/>
    <w:rsid w:val="00A01F79"/>
    <w:rsid w:val="00A22A6E"/>
    <w:rsid w:val="00A27A38"/>
    <w:rsid w:val="00A41DD5"/>
    <w:rsid w:val="00A544D3"/>
    <w:rsid w:val="00A8003E"/>
    <w:rsid w:val="00A915A2"/>
    <w:rsid w:val="00AC2468"/>
    <w:rsid w:val="00AC715D"/>
    <w:rsid w:val="00AD1DBF"/>
    <w:rsid w:val="00AE1CBE"/>
    <w:rsid w:val="00AE4769"/>
    <w:rsid w:val="00AE788F"/>
    <w:rsid w:val="00B06497"/>
    <w:rsid w:val="00B378E2"/>
    <w:rsid w:val="00B40246"/>
    <w:rsid w:val="00B5583D"/>
    <w:rsid w:val="00B812AB"/>
    <w:rsid w:val="00B841AE"/>
    <w:rsid w:val="00B84669"/>
    <w:rsid w:val="00B97E68"/>
    <w:rsid w:val="00BA266E"/>
    <w:rsid w:val="00BA3664"/>
    <w:rsid w:val="00BB6799"/>
    <w:rsid w:val="00BD4582"/>
    <w:rsid w:val="00BE5206"/>
    <w:rsid w:val="00BE6A46"/>
    <w:rsid w:val="00BF5EDE"/>
    <w:rsid w:val="00C1071C"/>
    <w:rsid w:val="00C25AF5"/>
    <w:rsid w:val="00C33A23"/>
    <w:rsid w:val="00C34BB5"/>
    <w:rsid w:val="00C4479B"/>
    <w:rsid w:val="00C533E7"/>
    <w:rsid w:val="00C5744D"/>
    <w:rsid w:val="00C627FB"/>
    <w:rsid w:val="00C80893"/>
    <w:rsid w:val="00CB5511"/>
    <w:rsid w:val="00CB7518"/>
    <w:rsid w:val="00CC2049"/>
    <w:rsid w:val="00CC587B"/>
    <w:rsid w:val="00CC610D"/>
    <w:rsid w:val="00CD0605"/>
    <w:rsid w:val="00CF15A6"/>
    <w:rsid w:val="00D41FBA"/>
    <w:rsid w:val="00D445A7"/>
    <w:rsid w:val="00D447A6"/>
    <w:rsid w:val="00D52E43"/>
    <w:rsid w:val="00D74E79"/>
    <w:rsid w:val="00D84B7B"/>
    <w:rsid w:val="00D864B1"/>
    <w:rsid w:val="00D96F84"/>
    <w:rsid w:val="00DC0848"/>
    <w:rsid w:val="00DD3E02"/>
    <w:rsid w:val="00DE0EA7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A202A"/>
    <w:rsid w:val="00EE439D"/>
    <w:rsid w:val="00EE5BDF"/>
    <w:rsid w:val="00F14DA4"/>
    <w:rsid w:val="00F34803"/>
    <w:rsid w:val="00F47C3B"/>
    <w:rsid w:val="00F50AE2"/>
    <w:rsid w:val="00F71D7D"/>
    <w:rsid w:val="00F7263F"/>
    <w:rsid w:val="00F95C49"/>
    <w:rsid w:val="00FD3C84"/>
    <w:rsid w:val="00FD5B21"/>
    <w:rsid w:val="00FE0FC5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C3FF0"/>
    <w:rsid w:val="0013771E"/>
    <w:rsid w:val="002A5B0E"/>
    <w:rsid w:val="002C1748"/>
    <w:rsid w:val="002C7AFA"/>
    <w:rsid w:val="00301B3E"/>
    <w:rsid w:val="00322015"/>
    <w:rsid w:val="003D088C"/>
    <w:rsid w:val="00543A52"/>
    <w:rsid w:val="00546DCA"/>
    <w:rsid w:val="006B0F5A"/>
    <w:rsid w:val="006C7EC8"/>
    <w:rsid w:val="007545E1"/>
    <w:rsid w:val="0087096B"/>
    <w:rsid w:val="00A80EAD"/>
    <w:rsid w:val="00AB1850"/>
    <w:rsid w:val="00C26568"/>
    <w:rsid w:val="00C60DC9"/>
    <w:rsid w:val="00D1659C"/>
    <w:rsid w:val="00D35513"/>
    <w:rsid w:val="00E147F2"/>
    <w:rsid w:val="00E16D50"/>
    <w:rsid w:val="00E30568"/>
    <w:rsid w:val="00E5085E"/>
    <w:rsid w:val="00F471A3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  <w:style w:type="paragraph" w:customStyle="1" w:styleId="C433F9BF10DF4AF4A2E013BC86287DE0">
    <w:name w:val="C433F9BF10DF4AF4A2E013BC86287DE0"/>
    <w:rsid w:val="00301B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  <w:style w:type="paragraph" w:customStyle="1" w:styleId="C433F9BF10DF4AF4A2E013BC86287DE0">
    <w:name w:val="C433F9BF10DF4AF4A2E013BC86287DE0"/>
    <w:rsid w:val="00301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9626B-6C88-4AE4-867F-A4971ED6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55</TotalTime>
  <Pages>4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2023-05-16T11:55:00Z</dcterms:created>
  <dcterms:modified xsi:type="dcterms:W3CDTF">2023-06-28T10:56:00Z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