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3B13D9" w:rsidRDefault="003B13D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3B13D9" w:rsidRPr="00006957" w:rsidRDefault="003B13D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3B13D9" w:rsidRDefault="003B13D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3B13D9" w:rsidRPr="00006957" w:rsidRDefault="003B13D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13D9" w:rsidRDefault="003B13D9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3B13D9" w:rsidRDefault="003B13D9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3B13D9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LOGIRAIL</w:t>
            </w:r>
            <w:r w:rsidR="00D922C4" w:rsidRPr="00D922C4">
              <w:rPr>
                <w:sz w:val="24"/>
                <w:szCs w:val="24"/>
              </w:rPr>
              <w:t xml:space="preserve"> SME SA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3B13D9" w:rsidP="007F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07/07/2023</w:t>
            </w:r>
          </w:p>
        </w:tc>
      </w:tr>
    </w:tbl>
    <w:p w:rsidR="00BA266E" w:rsidRDefault="00BA266E"/>
    <w:p w:rsidR="00561402" w:rsidRPr="0012783F" w:rsidRDefault="00AE3BDC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3B13D9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LOGIRAIL no ha remitido información sobre la actividad generada por las solicitudes de acceso a información pública de la sociedad en 2022.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AE3BDC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34803" w:rsidRPr="009079EA" w:rsidRDefault="003B13D9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LOGIRAIL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 no publica 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 xml:space="preserve"> las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812AB" w:rsidRPr="00E34195" w:rsidRDefault="00AE3BDC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Default="003B13D9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LOGIRAIL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en su </w:t>
      </w:r>
      <w:r w:rsidR="00EE350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con un apartado específico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de acceso a información pública de la entidad. En consecuencia,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>se informa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de los ciudadanos a solicitar información pública del </w:t>
      </w:r>
      <w:r w:rsidR="00DA5100">
        <w:rPr>
          <w:rStyle w:val="Ttulo2Car"/>
          <w:b w:val="0"/>
          <w:color w:val="auto"/>
          <w:sz w:val="22"/>
          <w:szCs w:val="22"/>
          <w:lang w:bidi="es-ES"/>
        </w:rPr>
        <w:t>organismo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, al amparo de la LTAIBG y tampoco se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, ni sobre los requisitos exigidos para la presentación de estas solicitudes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AE3BDC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5C4D89">
        <w:rPr>
          <w:color w:val="auto"/>
          <w:lang w:bidi="es-ES"/>
        </w:rPr>
        <w:t xml:space="preserve">Con fecha </w:t>
      </w:r>
      <w:r w:rsidR="008839AB">
        <w:rPr>
          <w:color w:val="auto"/>
          <w:lang w:bidi="es-ES"/>
        </w:rPr>
        <w:t>1</w:t>
      </w:r>
      <w:r w:rsidR="003B13D9">
        <w:rPr>
          <w:color w:val="auto"/>
          <w:lang w:bidi="es-ES"/>
        </w:rPr>
        <w:t>2</w:t>
      </w:r>
      <w:r w:rsidR="00FC2FB9">
        <w:rPr>
          <w:color w:val="auto"/>
          <w:lang w:bidi="es-ES"/>
        </w:rPr>
        <w:t>/0</w:t>
      </w:r>
      <w:r w:rsidR="00E57E17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839AB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E57E17">
        <w:rPr>
          <w:color w:val="auto"/>
          <w:lang w:bidi="es-ES"/>
        </w:rPr>
        <w:t xml:space="preserve">del </w:t>
      </w:r>
      <w:r w:rsidR="00EE3509">
        <w:rPr>
          <w:color w:val="auto"/>
          <w:lang w:bidi="es-ES"/>
        </w:rPr>
        <w:t>Portal de Transparencia de la Administración General del Estado</w:t>
      </w:r>
      <w:r w:rsidR="00E57E17">
        <w:rPr>
          <w:color w:val="auto"/>
          <w:lang w:bidi="es-ES"/>
        </w:rPr>
        <w:t xml:space="preserve"> una solicitud de acceso a información pública de la entidad</w:t>
      </w:r>
      <w:r>
        <w:rPr>
          <w:color w:val="auto"/>
          <w:lang w:bidi="es-ES"/>
        </w:rPr>
        <w:t xml:space="preserve">. </w:t>
      </w:r>
      <w:r w:rsidR="00EE3509">
        <w:rPr>
          <w:color w:val="auto"/>
          <w:lang w:bidi="es-ES"/>
        </w:rPr>
        <w:t>En la misma fecha se emite un acuse de recibo de la presentación de la solicitud.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3B13D9" w:rsidRPr="00FC285F" w:rsidRDefault="00E57E17" w:rsidP="003B13D9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3B13D9">
        <w:rPr>
          <w:color w:val="auto"/>
          <w:lang w:bidi="es-ES"/>
        </w:rPr>
        <w:t>No</w:t>
      </w:r>
      <w:r w:rsidR="00B108F0" w:rsidRPr="003B13D9">
        <w:rPr>
          <w:color w:val="auto"/>
          <w:lang w:bidi="es-ES"/>
        </w:rPr>
        <w:t xml:space="preserve"> se</w:t>
      </w:r>
      <w:r w:rsidR="00F34803" w:rsidRPr="003B13D9">
        <w:rPr>
          <w:color w:val="auto"/>
          <w:lang w:bidi="es-ES"/>
        </w:rPr>
        <w:t xml:space="preserve"> </w:t>
      </w:r>
      <w:r w:rsidR="00904E47" w:rsidRPr="003B13D9">
        <w:rPr>
          <w:color w:val="auto"/>
          <w:lang w:bidi="es-ES"/>
        </w:rPr>
        <w:t xml:space="preserve">comunica el </w:t>
      </w:r>
      <w:r w:rsidR="00F34803" w:rsidRPr="003B13D9">
        <w:rPr>
          <w:color w:val="auto"/>
          <w:lang w:bidi="es-ES"/>
        </w:rPr>
        <w:t>inicio de la tramitación de la solicitud.</w:t>
      </w:r>
      <w:r w:rsidR="00F34803">
        <w:rPr>
          <w:color w:val="auto"/>
          <w:lang w:bidi="es-ES"/>
        </w:rPr>
        <w:t xml:space="preserve"> </w:t>
      </w:r>
      <w:r w:rsidR="003B13D9" w:rsidRPr="00FC285F">
        <w:rPr>
          <w:color w:val="auto"/>
          <w:lang w:bidi="es-ES"/>
        </w:rPr>
        <w:t xml:space="preserve">Con fecha </w:t>
      </w:r>
      <w:r w:rsidR="003B13D9">
        <w:rPr>
          <w:color w:val="auto"/>
          <w:lang w:bidi="es-ES"/>
        </w:rPr>
        <w:t>1</w:t>
      </w:r>
      <w:r w:rsidR="003B13D9" w:rsidRPr="00FC285F">
        <w:rPr>
          <w:color w:val="auto"/>
          <w:lang w:bidi="es-ES"/>
        </w:rPr>
        <w:t xml:space="preserve">9/05/2023 se comunica por parte de la UIT del Ministerio de Transportes, Movilidad y Agenda Urbana, que dicho Ministerio no es competente para resolver la solicitud de información y que en consecuencia, se traslada la solicitud a </w:t>
      </w:r>
      <w:r w:rsidR="003B13D9">
        <w:rPr>
          <w:color w:val="auto"/>
          <w:lang w:bidi="es-ES"/>
        </w:rPr>
        <w:t>LOGIRAIL</w:t>
      </w:r>
      <w:r w:rsidR="003B13D9" w:rsidRPr="00FC285F">
        <w:rPr>
          <w:color w:val="auto"/>
          <w:lang w:bidi="es-ES"/>
        </w:rPr>
        <w:t>.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3B13D9" w:rsidRPr="00AF65F3" w:rsidRDefault="003B13D9" w:rsidP="003B13D9">
      <w:pPr>
        <w:ind w:left="426"/>
        <w:rPr>
          <w:szCs w:val="24"/>
          <w:lang w:bidi="es-ES"/>
        </w:rPr>
      </w:pPr>
      <w:r w:rsidRPr="00AF65F3">
        <w:rPr>
          <w:szCs w:val="24"/>
          <w:lang w:bidi="es-ES"/>
        </w:rPr>
        <w:t xml:space="preserve">No consta que se haya dado respuesta a la solicitud. Por tanto, hay que entender que ésta ha sido denegada por silencio administrativo al haber transcurrido </w:t>
      </w:r>
      <w:r>
        <w:rPr>
          <w:szCs w:val="24"/>
          <w:lang w:bidi="es-ES"/>
        </w:rPr>
        <w:t>más de un mes desde el traslado de la solicitud.</w:t>
      </w:r>
    </w:p>
    <w:p w:rsidR="003A260E" w:rsidRDefault="003A260E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DF6C30" w:rsidRDefault="005D006A" w:rsidP="00DF6C30">
      <w:pPr>
        <w:pStyle w:val="Cuerpodelboletn"/>
        <w:spacing w:before="120" w:after="120" w:line="276" w:lineRule="auto"/>
        <w:ind w:left="425"/>
      </w:pPr>
      <w:r>
        <w:t xml:space="preserve">El Consejo de Transparencia y Buen Gobierno no ha recibido reclamaciones contra resoluciones de </w:t>
      </w:r>
      <w:r w:rsidR="003B13D9">
        <w:t>LOGIRAIL</w:t>
      </w:r>
      <w:r>
        <w:t>.</w:t>
      </w:r>
    </w:p>
    <w:p w:rsidR="003B13D9" w:rsidRPr="004A133A" w:rsidRDefault="003B13D9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AE3BDC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5D006A" w:rsidP="0063118A">
      <w:pPr>
        <w:ind w:left="426"/>
      </w:pPr>
      <w:r>
        <w:t xml:space="preserve">Dado que </w:t>
      </w:r>
      <w:r w:rsidR="003B13D9">
        <w:t>LOGIRAIL</w:t>
      </w:r>
      <w:r>
        <w:t xml:space="preserve"> </w:t>
      </w:r>
      <w:r w:rsidR="00236AF5">
        <w:t>carece</w:t>
      </w:r>
      <w:r>
        <w:t xml:space="preserve"> de un especio específico para la presentación de las solicitudes de acceso a información pública no caben buenas prácticas que señalar.</w:t>
      </w:r>
    </w:p>
    <w:p w:rsidR="003B13D9" w:rsidRDefault="003B13D9" w:rsidP="0063118A">
      <w:pPr>
        <w:ind w:left="426"/>
      </w:pPr>
    </w:p>
    <w:p w:rsidR="00256215" w:rsidRDefault="00AE3BDC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3B13D9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Como se ha señalado, LOGIRAIL no ha enviado información </w:t>
      </w:r>
      <w:proofErr w:type="spellStart"/>
      <w:r>
        <w:rPr>
          <w:bCs/>
        </w:rPr>
        <w:t>sobrte</w:t>
      </w:r>
      <w:proofErr w:type="spellEnd"/>
      <w:r>
        <w:rPr>
          <w:bCs/>
        </w:rPr>
        <w:t xml:space="preserve"> la actividad derivada de las solicitudes de información recibidas por la sociedad.</w:t>
      </w:r>
    </w:p>
    <w:p w:rsidR="003B13D9" w:rsidRDefault="003B13D9" w:rsidP="00F34803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3B13D9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LOGIRAIL </w:t>
      </w:r>
      <w:r w:rsidR="005D006A">
        <w:rPr>
          <w:bCs/>
        </w:rPr>
        <w:t xml:space="preserve">debería publicar en su </w:t>
      </w:r>
      <w:r w:rsidR="00236AF5">
        <w:rPr>
          <w:bCs/>
        </w:rPr>
        <w:t>web institucional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5D006A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D006A" w:rsidRPr="008648E8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F34803" w:rsidP="005D006A">
      <w:pPr>
        <w:pStyle w:val="Prrafodelista"/>
        <w:ind w:left="644"/>
      </w:pPr>
      <w:r>
        <w:t xml:space="preserve">Como se ha indicado, </w:t>
      </w:r>
      <w:r w:rsidR="003B13D9">
        <w:rPr>
          <w:bCs/>
        </w:rPr>
        <w:t xml:space="preserve">LOGIRAIL </w:t>
      </w:r>
      <w:r w:rsidR="005D006A">
        <w:t xml:space="preserve">no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5D006A" w:rsidRDefault="005D006A" w:rsidP="005D006A">
      <w:pPr>
        <w:pStyle w:val="Prrafodelista"/>
        <w:ind w:left="644"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 w:rsidR="003B13D9">
        <w:rPr>
          <w:bCs/>
        </w:rPr>
        <w:t>LOGIRAIL</w:t>
      </w:r>
      <w:r w:rsidRPr="008D4B85">
        <w:t xml:space="preserve">. </w:t>
      </w: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DA5100">
        <w:t xml:space="preserve"> </w:t>
      </w:r>
      <w:r w:rsidRPr="008D4B85">
        <w:t>14 de la LTAIBG.</w:t>
      </w:r>
    </w:p>
    <w:p w:rsidR="00F900E1" w:rsidRDefault="00F900E1" w:rsidP="005D006A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3B13D9" w:rsidRPr="008D4B85" w:rsidRDefault="003B13D9" w:rsidP="003B13D9">
      <w:pPr>
        <w:spacing w:before="120" w:after="120"/>
        <w:ind w:left="709"/>
        <w:jc w:val="both"/>
      </w:pPr>
      <w:r w:rsidRPr="008D4B85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3B13D9" w:rsidRPr="008D4B85" w:rsidRDefault="003B13D9" w:rsidP="003B13D9">
      <w:pPr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contextualSpacing/>
        <w:jc w:val="both"/>
      </w:pPr>
      <w:r w:rsidRPr="008D4B85">
        <w:t xml:space="preserve">Aunque se contemple la posibilidad de desestimación de solicitudes de información por silencio administrativo, </w:t>
      </w:r>
      <w:r w:rsidR="00AE3BDC">
        <w:t>LOGIRAIL</w:t>
      </w:r>
      <w:r w:rsidRPr="008D4B85">
        <w:t xml:space="preserve"> </w:t>
      </w:r>
      <w:r>
        <w:t>debe</w:t>
      </w:r>
      <w:r w:rsidRPr="008D4B85">
        <w:t xml:space="preserve"> ajustarse al procedimiento establecido por las Leyes 19/2013 y 39/2015: debe dictar resolución expresa dando respuesta a las solicitudes de información que reciba, incluyendo en la resolución los recursos que contra la misma procedan, órgano administrativo o judicial ante el que presentarlos y el plazo para interponerlos.</w:t>
      </w:r>
      <w:bookmarkStart w:id="0" w:name="_GoBack"/>
      <w:bookmarkEnd w:id="0"/>
    </w:p>
    <w:p w:rsidR="003B13D9" w:rsidRDefault="003B13D9" w:rsidP="003B13D9">
      <w:pPr>
        <w:ind w:left="644"/>
        <w:contextualSpacing/>
        <w:jc w:val="both"/>
      </w:pPr>
    </w:p>
    <w:p w:rsidR="00B40246" w:rsidRDefault="003B13D9" w:rsidP="003B13D9">
      <w:pPr>
        <w:pStyle w:val="Prrafodelista"/>
        <w:ind w:left="426"/>
        <w:jc w:val="both"/>
      </w:pPr>
      <w:r>
        <w:t xml:space="preserve">                                                                                           </w:t>
      </w:r>
      <w:r w:rsidR="000C1BA8">
        <w:t>Madrid, julio de2023</w:t>
      </w: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D9" w:rsidRDefault="003B13D9" w:rsidP="00932008">
      <w:pPr>
        <w:spacing w:after="0" w:line="240" w:lineRule="auto"/>
      </w:pPr>
      <w:r>
        <w:separator/>
      </w:r>
    </w:p>
  </w:endnote>
  <w:endnote w:type="continuationSeparator" w:id="0">
    <w:p w:rsidR="003B13D9" w:rsidRDefault="003B13D9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B13D9" w:rsidRPr="00C533E7" w:rsidRDefault="003B13D9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AE3BDC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3B13D9" w:rsidRDefault="003B13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D9" w:rsidRDefault="003B13D9" w:rsidP="00932008">
      <w:pPr>
        <w:spacing w:after="0" w:line="240" w:lineRule="auto"/>
      </w:pPr>
      <w:r>
        <w:separator/>
      </w:r>
    </w:p>
  </w:footnote>
  <w:footnote w:type="continuationSeparator" w:id="0">
    <w:p w:rsidR="003B13D9" w:rsidRDefault="003B13D9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A1C07"/>
    <w:rsid w:val="000B0A0D"/>
    <w:rsid w:val="000B2A81"/>
    <w:rsid w:val="000C1BA8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36AF5"/>
    <w:rsid w:val="00241D7A"/>
    <w:rsid w:val="00255A7E"/>
    <w:rsid w:val="00256215"/>
    <w:rsid w:val="002615D8"/>
    <w:rsid w:val="0026281C"/>
    <w:rsid w:val="002A154B"/>
    <w:rsid w:val="002A479C"/>
    <w:rsid w:val="002E0A33"/>
    <w:rsid w:val="003145AD"/>
    <w:rsid w:val="00334115"/>
    <w:rsid w:val="00340559"/>
    <w:rsid w:val="00341F8F"/>
    <w:rsid w:val="0038280F"/>
    <w:rsid w:val="003A260E"/>
    <w:rsid w:val="003B13D9"/>
    <w:rsid w:val="003B5288"/>
    <w:rsid w:val="003F271E"/>
    <w:rsid w:val="003F572A"/>
    <w:rsid w:val="00411640"/>
    <w:rsid w:val="00447511"/>
    <w:rsid w:val="004537FB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86832"/>
    <w:rsid w:val="007932E6"/>
    <w:rsid w:val="007B0F99"/>
    <w:rsid w:val="007B1EF0"/>
    <w:rsid w:val="007C57AB"/>
    <w:rsid w:val="007C5F74"/>
    <w:rsid w:val="007D6B40"/>
    <w:rsid w:val="007F4BBB"/>
    <w:rsid w:val="00815659"/>
    <w:rsid w:val="008207D9"/>
    <w:rsid w:val="00832D4F"/>
    <w:rsid w:val="00833900"/>
    <w:rsid w:val="00844FA9"/>
    <w:rsid w:val="008839AB"/>
    <w:rsid w:val="008C1E1E"/>
    <w:rsid w:val="00904E47"/>
    <w:rsid w:val="00923092"/>
    <w:rsid w:val="009239D9"/>
    <w:rsid w:val="00930638"/>
    <w:rsid w:val="00932008"/>
    <w:rsid w:val="009609E9"/>
    <w:rsid w:val="0096522C"/>
    <w:rsid w:val="00983919"/>
    <w:rsid w:val="009913A5"/>
    <w:rsid w:val="00A41DD5"/>
    <w:rsid w:val="00A544D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3BDC"/>
    <w:rsid w:val="00AE788F"/>
    <w:rsid w:val="00AF6C5C"/>
    <w:rsid w:val="00B108F0"/>
    <w:rsid w:val="00B31C4E"/>
    <w:rsid w:val="00B378E2"/>
    <w:rsid w:val="00B40246"/>
    <w:rsid w:val="00B5583D"/>
    <w:rsid w:val="00B812AB"/>
    <w:rsid w:val="00B841AE"/>
    <w:rsid w:val="00B84669"/>
    <w:rsid w:val="00BA266E"/>
    <w:rsid w:val="00BB63C9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22C4"/>
    <w:rsid w:val="00D93A14"/>
    <w:rsid w:val="00D96F84"/>
    <w:rsid w:val="00DA4FE5"/>
    <w:rsid w:val="00DA5100"/>
    <w:rsid w:val="00DB76AF"/>
    <w:rsid w:val="00DC0848"/>
    <w:rsid w:val="00DD3E02"/>
    <w:rsid w:val="00DE4AA9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D3EAD"/>
    <w:rsid w:val="00EE3509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A5B0E"/>
    <w:rsid w:val="002A69E7"/>
    <w:rsid w:val="002C1748"/>
    <w:rsid w:val="002C7AFA"/>
    <w:rsid w:val="003D088C"/>
    <w:rsid w:val="004437AC"/>
    <w:rsid w:val="00543A52"/>
    <w:rsid w:val="00546DCA"/>
    <w:rsid w:val="00602B9C"/>
    <w:rsid w:val="006D7969"/>
    <w:rsid w:val="0087096B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E844E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909A3-77D6-4E5B-82F7-63D0A48A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7</TotalTime>
  <Pages>3</Pages>
  <Words>808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2023-05-25T11:17:00Z</dcterms:created>
  <dcterms:modified xsi:type="dcterms:W3CDTF">2023-07-10T09:18:00Z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