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8A2648" w:rsidRDefault="008A264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A2648" w:rsidRPr="00006957" w:rsidRDefault="008A264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AF6C5C" w:rsidRDefault="00AF6C5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AF6C5C" w:rsidRPr="00006957" w:rsidRDefault="00AF6C5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2648" w:rsidRDefault="008A264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F6C5C" w:rsidRDefault="00AF6C5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B4423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Mutualidad General Judicial (MUGEJU)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B4423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13/06/2023</w:t>
            </w:r>
          </w:p>
        </w:tc>
      </w:tr>
    </w:tbl>
    <w:p w:rsidR="00BA266E" w:rsidRDefault="00BA266E"/>
    <w:p w:rsidR="00561402" w:rsidRPr="0012783F" w:rsidRDefault="001B4423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1B4423">
        <w:rPr>
          <w:bCs/>
          <w:color w:val="auto"/>
          <w:szCs w:val="22"/>
        </w:rPr>
        <w:t xml:space="preserve">La gestión de las solicitudes de acceso se efectúa por la </w:t>
      </w:r>
      <w:r w:rsidR="00577A83" w:rsidRPr="001B4423">
        <w:rPr>
          <w:bCs/>
          <w:color w:val="auto"/>
          <w:szCs w:val="22"/>
        </w:rPr>
        <w:t>Secretaría General</w:t>
      </w:r>
      <w:r w:rsidRPr="001B4423">
        <w:rPr>
          <w:bCs/>
          <w:color w:val="auto"/>
          <w:szCs w:val="22"/>
        </w:rPr>
        <w:t xml:space="preserve">, que cuenta con </w:t>
      </w:r>
      <w:r w:rsidR="001B4423">
        <w:rPr>
          <w:bCs/>
          <w:color w:val="auto"/>
          <w:szCs w:val="22"/>
        </w:rPr>
        <w:t>una</w:t>
      </w:r>
      <w:r w:rsidRPr="001B4423">
        <w:rPr>
          <w:bCs/>
          <w:color w:val="auto"/>
          <w:szCs w:val="22"/>
        </w:rPr>
        <w:t xml:space="preserve"> persona para abordar esta actividad</w:t>
      </w:r>
      <w:r w:rsidR="001B4423">
        <w:rPr>
          <w:bCs/>
          <w:color w:val="auto"/>
          <w:szCs w:val="22"/>
        </w:rPr>
        <w:t xml:space="preserve">, que compatibiliza con otras tareas. </w:t>
      </w:r>
      <w:r w:rsidRPr="001B4423">
        <w:rPr>
          <w:bCs/>
          <w:color w:val="auto"/>
          <w:szCs w:val="22"/>
        </w:rPr>
        <w:t xml:space="preserve"> </w:t>
      </w:r>
    </w:p>
    <w:p w:rsidR="001B4423" w:rsidRPr="00BA266E" w:rsidRDefault="001B4423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B4423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34803" w:rsidRDefault="00F34803" w:rsidP="00F34803">
      <w:pPr>
        <w:ind w:left="426"/>
        <w:jc w:val="both"/>
      </w:pPr>
      <w:r w:rsidRPr="001B4423">
        <w:t>En 202</w:t>
      </w:r>
      <w:r w:rsidR="001B4423">
        <w:t>2</w:t>
      </w:r>
      <w:r w:rsidRPr="001B4423">
        <w:t xml:space="preserve"> </w:t>
      </w:r>
      <w:r w:rsidR="001B4423">
        <w:t>MUGEJU</w:t>
      </w:r>
      <w:r w:rsidRPr="001B4423">
        <w:t xml:space="preserve"> recibió </w:t>
      </w:r>
      <w:r w:rsidR="001B4423">
        <w:t>5</w:t>
      </w:r>
      <w:r w:rsidRPr="001B4423">
        <w:t xml:space="preserve"> solicitudes de información</w:t>
      </w:r>
      <w:r w:rsidR="001B4423">
        <w:t xml:space="preserve">, de las que 4 fueron tramitadas a lo largo del año y una quedó pendiente, dado que, como informa MUGEJU, había tenido entrada el día 21 de diciembre. </w:t>
      </w:r>
      <w:r w:rsidR="00654162" w:rsidRPr="001B4423">
        <w:t xml:space="preserve"> </w:t>
      </w:r>
      <w:r w:rsidR="008A2648">
        <w:t>Las cuatro solicitudes tramitadas en el año fueron admitidas y en todos los casos se concedió el acceso a la información. MUGEJU no informa de si este acceso fue total o parcial.</w:t>
      </w:r>
    </w:p>
    <w:p w:rsidR="00BA266E" w:rsidRDefault="00BA266E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1B4423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8A2648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MUGEJU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EE350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</w:t>
      </w:r>
      <w:r w:rsidR="00DA5100">
        <w:rPr>
          <w:rStyle w:val="Ttulo2Car"/>
          <w:b w:val="0"/>
          <w:color w:val="auto"/>
          <w:sz w:val="22"/>
          <w:szCs w:val="22"/>
          <w:lang w:bidi="es-ES"/>
        </w:rPr>
        <w:t>organismo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1B442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Pr="008A2648" w:rsidRDefault="008A2648" w:rsidP="00046805">
      <w:pPr>
        <w:pStyle w:val="Cuerpodelboletn"/>
        <w:spacing w:before="120" w:after="120" w:line="312" w:lineRule="auto"/>
        <w:ind w:left="360"/>
      </w:pPr>
      <w:r w:rsidRPr="008A2648">
        <w:t>Por error imputable a este Consejo, no se present</w:t>
      </w:r>
      <w:r>
        <w:t>ó</w:t>
      </w:r>
      <w:r w:rsidRPr="008A2648">
        <w:t xml:space="preserve"> una solicitud de acceso </w:t>
      </w:r>
      <w:r>
        <w:t>a información pública de la entidad, lo que impide efectuar una valoración de la gestión de las solicitudes de acceso.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DF6C30" w:rsidRPr="004A133A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8A2648">
        <w:t>MUGEJU</w:t>
      </w:r>
      <w:r>
        <w:t>.</w:t>
      </w:r>
    </w:p>
    <w:p w:rsidR="001F251B" w:rsidRPr="00256215" w:rsidRDefault="001B4423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8A2648">
        <w:t>MUGEJU</w:t>
      </w:r>
      <w:r>
        <w:t xml:space="preserve"> </w:t>
      </w:r>
      <w:r w:rsidR="00236AF5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256215" w:rsidRDefault="001B4423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5D006A" w:rsidRDefault="008A2648" w:rsidP="00F34803">
      <w:pPr>
        <w:pStyle w:val="Prrafodelista"/>
        <w:ind w:left="644"/>
        <w:jc w:val="both"/>
        <w:rPr>
          <w:bCs/>
          <w:highlight w:val="yellow"/>
        </w:rPr>
      </w:pPr>
      <w:r>
        <w:rPr>
          <w:bCs/>
        </w:rPr>
        <w:t xml:space="preserve">MUGEJU tramitó el 80% </w:t>
      </w:r>
      <w:r w:rsidR="00D74E79" w:rsidRPr="008A2648">
        <w:rPr>
          <w:bCs/>
        </w:rPr>
        <w:t>de las solicitudes recib</w:t>
      </w:r>
      <w:r>
        <w:rPr>
          <w:bCs/>
        </w:rPr>
        <w:t>idas en 2022</w:t>
      </w:r>
      <w:r w:rsidR="00D74E79" w:rsidRPr="008A2648">
        <w:rPr>
          <w:bCs/>
        </w:rPr>
        <w:t xml:space="preserve"> y</w:t>
      </w:r>
      <w:r w:rsidR="00F34803" w:rsidRPr="008A2648">
        <w:rPr>
          <w:bCs/>
        </w:rPr>
        <w:t xml:space="preserve"> admit</w:t>
      </w:r>
      <w:r>
        <w:rPr>
          <w:bCs/>
        </w:rPr>
        <w:t>ió la totalidad de las solicitudes tramitadas</w:t>
      </w:r>
    </w:p>
    <w:p w:rsidR="00BB63C9" w:rsidRPr="005D006A" w:rsidRDefault="00BB63C9" w:rsidP="00F34803">
      <w:pPr>
        <w:pStyle w:val="Prrafodelista"/>
        <w:ind w:left="644"/>
        <w:jc w:val="both"/>
        <w:rPr>
          <w:bCs/>
          <w:highlight w:val="yellow"/>
        </w:rPr>
      </w:pPr>
    </w:p>
    <w:p w:rsidR="00BB63C9" w:rsidRPr="005358B1" w:rsidRDefault="00BB63C9" w:rsidP="008A2648">
      <w:pPr>
        <w:pStyle w:val="Prrafodelista"/>
        <w:ind w:left="709"/>
        <w:jc w:val="both"/>
        <w:rPr>
          <w:bCs/>
        </w:rPr>
      </w:pPr>
      <w:r w:rsidRPr="008A2648">
        <w:rPr>
          <w:bCs/>
        </w:rPr>
        <w:t xml:space="preserve">Por lo que respecta a las resoluciones, se emite resolución expresa para la totalidad de las solicitudes admitidas, concediendo el acceso total a la información solicitada en el </w:t>
      </w:r>
      <w:r w:rsidR="008A2648">
        <w:rPr>
          <w:bCs/>
        </w:rPr>
        <w:t>100</w:t>
      </w:r>
      <w:r w:rsidRPr="008A2648">
        <w:rPr>
          <w:bCs/>
        </w:rPr>
        <w:t xml:space="preserve">% de los casos.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8A2648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MUGEJU</w:t>
      </w:r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8A2648" w:rsidRDefault="008A2648" w:rsidP="00F34803">
      <w:pPr>
        <w:pStyle w:val="Prrafodelista"/>
        <w:ind w:left="644"/>
      </w:pPr>
    </w:p>
    <w:p w:rsidR="008A2648" w:rsidRDefault="008A2648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5D006A" w:rsidP="008A2648">
      <w:pPr>
        <w:pStyle w:val="Prrafodelista"/>
        <w:ind w:left="644"/>
        <w:jc w:val="both"/>
      </w:pPr>
      <w:proofErr w:type="gramStart"/>
      <w:r>
        <w:t>no</w:t>
      </w:r>
      <w:proofErr w:type="gramEnd"/>
      <w:r>
        <w:t xml:space="preserve">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8A2648">
        <w:t>MUGEJU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DA5100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40246" w:rsidRDefault="008A2648" w:rsidP="00D84B7B">
      <w:pPr>
        <w:pStyle w:val="Prrafodelista"/>
        <w:ind w:left="644"/>
        <w:jc w:val="both"/>
      </w:pPr>
      <w:r>
        <w:t xml:space="preserve">Como se ha señalado, no es posible valorar la gestión de las solicitudes de acceso a información pública de la entidad, ya que por error de este Consejo no se presentó una solicitud de información </w:t>
      </w:r>
      <w:r w:rsidR="00E04663">
        <w:t>pública</w:t>
      </w:r>
      <w:r w:rsidR="001D1A2E">
        <w:t>.</w:t>
      </w: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48" w:rsidRDefault="008A2648" w:rsidP="00932008">
      <w:pPr>
        <w:spacing w:after="0" w:line="240" w:lineRule="auto"/>
      </w:pPr>
      <w:r>
        <w:separator/>
      </w:r>
    </w:p>
  </w:endnote>
  <w:endnote w:type="continuationSeparator" w:id="0">
    <w:p w:rsidR="008A2648" w:rsidRDefault="008A264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A2648" w:rsidRPr="00C533E7" w:rsidRDefault="008A2648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04663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8A2648" w:rsidRDefault="008A26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48" w:rsidRDefault="008A2648" w:rsidP="00932008">
      <w:pPr>
        <w:spacing w:after="0" w:line="240" w:lineRule="auto"/>
      </w:pPr>
      <w:r>
        <w:separator/>
      </w:r>
    </w:p>
  </w:footnote>
  <w:footnote w:type="continuationSeparator" w:id="0">
    <w:p w:rsidR="008A2648" w:rsidRDefault="008A264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21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B4423"/>
    <w:rsid w:val="001C238B"/>
    <w:rsid w:val="001D1A2E"/>
    <w:rsid w:val="001E1C29"/>
    <w:rsid w:val="001F251B"/>
    <w:rsid w:val="001F25E4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A2648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F2ACE"/>
    <w:rsid w:val="00DF4D57"/>
    <w:rsid w:val="00DF63E7"/>
    <w:rsid w:val="00DF6C30"/>
    <w:rsid w:val="00E04663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0771B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7E3C6-A04A-4CB9-BFA2-C553E5ED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</TotalTime>
  <Pages>3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2023-06-13T11:13:00Z</dcterms:created>
  <dcterms:modified xsi:type="dcterms:W3CDTF">2023-06-13T11:17:00Z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