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B90722" w:rsidRDefault="00B9072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B90722" w:rsidRPr="00006957" w:rsidRDefault="00B9072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A52CEF" w:rsidRDefault="00A52CE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A52CEF" w:rsidRPr="00006957" w:rsidRDefault="00A52CE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0722" w:rsidRDefault="00B9072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52CEF" w:rsidRDefault="00A52CE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AE54CC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Mutua Montañesa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014341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01/06/2023</w:t>
            </w:r>
          </w:p>
        </w:tc>
      </w:tr>
    </w:tbl>
    <w:p w:rsidR="00BA266E" w:rsidRDefault="00BA266E"/>
    <w:p w:rsidR="00561402" w:rsidRPr="0012783F" w:rsidRDefault="00700FA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1D4699">
        <w:rPr>
          <w:bCs/>
          <w:color w:val="auto"/>
          <w:szCs w:val="22"/>
        </w:rPr>
        <w:t xml:space="preserve">La gestión de las solicitudes de acceso se efectúa por </w:t>
      </w:r>
      <w:r w:rsidR="00AE54CC">
        <w:rPr>
          <w:bCs/>
          <w:color w:val="auto"/>
          <w:szCs w:val="22"/>
        </w:rPr>
        <w:t>la Coordinación de la Dirección General y RSE</w:t>
      </w:r>
      <w:r w:rsidR="001D4699">
        <w:rPr>
          <w:bCs/>
          <w:color w:val="auto"/>
          <w:szCs w:val="22"/>
        </w:rPr>
        <w:t>. Esta activid</w:t>
      </w:r>
      <w:r w:rsidR="009473AA">
        <w:rPr>
          <w:bCs/>
          <w:color w:val="auto"/>
          <w:szCs w:val="22"/>
        </w:rPr>
        <w:t>ad se asume por dos personas</w:t>
      </w:r>
      <w:r w:rsidRPr="001D4699">
        <w:rPr>
          <w:bCs/>
          <w:color w:val="auto"/>
          <w:szCs w:val="22"/>
        </w:rPr>
        <w:t xml:space="preserve">. Ninguna </w:t>
      </w:r>
      <w:r w:rsidR="00DF6C30" w:rsidRPr="001D4699">
        <w:rPr>
          <w:bCs/>
          <w:color w:val="auto"/>
          <w:szCs w:val="22"/>
        </w:rPr>
        <w:t>de</w:t>
      </w:r>
      <w:r w:rsidR="00076680" w:rsidRPr="001D4699">
        <w:rPr>
          <w:bCs/>
          <w:color w:val="auto"/>
          <w:szCs w:val="22"/>
        </w:rPr>
        <w:t xml:space="preserve"> e</w:t>
      </w:r>
      <w:r w:rsidR="00DF6C30" w:rsidRPr="001D4699">
        <w:rPr>
          <w:bCs/>
          <w:color w:val="auto"/>
          <w:szCs w:val="22"/>
        </w:rPr>
        <w:t>l</w:t>
      </w:r>
      <w:r w:rsidRPr="001D4699">
        <w:rPr>
          <w:bCs/>
          <w:color w:val="auto"/>
          <w:szCs w:val="22"/>
        </w:rPr>
        <w:t>las se dedica exclusivamente</w:t>
      </w:r>
      <w:r w:rsidR="00531D64" w:rsidRPr="001D4699">
        <w:rPr>
          <w:bCs/>
          <w:color w:val="auto"/>
          <w:szCs w:val="22"/>
        </w:rPr>
        <w:t xml:space="preserve"> </w:t>
      </w:r>
      <w:r w:rsidRPr="001D4699">
        <w:rPr>
          <w:bCs/>
          <w:color w:val="auto"/>
          <w:szCs w:val="22"/>
        </w:rPr>
        <w:t>a la gestión de las solicitudes</w:t>
      </w:r>
      <w:r w:rsidR="00626819" w:rsidRPr="001D4699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700FA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9473AA" w:rsidRDefault="009473AA" w:rsidP="009473AA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II.1</w:t>
      </w:r>
      <w:r>
        <w:rPr>
          <w:rStyle w:val="Ttulo2Car"/>
          <w:color w:val="00642D"/>
          <w:lang w:bidi="es-ES"/>
        </w:rPr>
        <w:t xml:space="preserve"> </w:t>
      </w:r>
      <w:r w:rsidRPr="00B812AB">
        <w:rPr>
          <w:rStyle w:val="Ttulo2Car"/>
          <w:color w:val="00642D"/>
          <w:lang w:bidi="es-ES"/>
        </w:rPr>
        <w:t xml:space="preserve">Solicitudes gestionadas en </w:t>
      </w:r>
      <w:r>
        <w:rPr>
          <w:rStyle w:val="Ttulo2Car"/>
          <w:color w:val="00642D"/>
          <w:lang w:bidi="es-ES"/>
        </w:rPr>
        <w:t>2022</w:t>
      </w:r>
    </w:p>
    <w:p w:rsidR="009473AA" w:rsidRDefault="00AE54CC" w:rsidP="009473AA">
      <w:pPr>
        <w:ind w:left="426"/>
        <w:jc w:val="both"/>
      </w:pPr>
      <w:r>
        <w:t>Según informa Mutua Montañesa, durante 2022 recibió 17 solicitudes de información pública. Todas ellas fueron archivadas.</w:t>
      </w:r>
    </w:p>
    <w:p w:rsidR="009473AA" w:rsidRDefault="00AE54CC" w:rsidP="009473AA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Mutua Montañesa</w:t>
      </w:r>
      <w:r w:rsidR="009473AA" w:rsidRPr="00507DB5">
        <w:rPr>
          <w:rStyle w:val="Ttulo2Car"/>
          <w:b w:val="0"/>
          <w:color w:val="auto"/>
          <w:sz w:val="22"/>
          <w:szCs w:val="22"/>
          <w:lang w:bidi="es-ES"/>
        </w:rPr>
        <w:t xml:space="preserve"> no publica  en su Portal de Transparencia, las resoluciones denegatorias por aplicación de los límites del artículo 14 de la LTAIBG, tal y como establece el artículo 14.3 de la norma, que obliga a la publicación de estas resoluciones previa disociación de los datos de carácter personal.</w:t>
      </w:r>
      <w:r w:rsidR="009473AA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812AB" w:rsidRPr="00E34195" w:rsidRDefault="00700FAE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A351F7" w:rsidRDefault="00AE54CC" w:rsidP="00507DB5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Mutua Montañesa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1D4699" w:rsidRPr="001D4699">
        <w:rPr>
          <w:rStyle w:val="Ttulo2Car"/>
          <w:b w:val="0"/>
          <w:color w:val="auto"/>
          <w:sz w:val="22"/>
          <w:szCs w:val="22"/>
          <w:lang w:bidi="es-ES"/>
        </w:rPr>
        <w:t xml:space="preserve">en su web institucional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En este espacio se informa sobre el derecho de los ciudadanos a solicitar información pública de la </w:t>
      </w: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entidad. Como canal de presentación, se ha habilitado la propia web, para lo que se facilita un formulario. No se informa sobre ningún requisito para la presentación de las solicitudes.</w:t>
      </w:r>
    </w:p>
    <w:p w:rsidR="00B40246" w:rsidRPr="00E34195" w:rsidRDefault="00700FA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AE54CC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AE54CC">
        <w:rPr>
          <w:rStyle w:val="Ttulo2Car"/>
          <w:sz w:val="22"/>
          <w:szCs w:val="22"/>
        </w:rPr>
        <w:t>Inicio del procedimiento</w:t>
      </w:r>
      <w:r w:rsidRPr="00AE54CC">
        <w:rPr>
          <w:color w:val="auto"/>
          <w:lang w:bidi="es-ES"/>
        </w:rPr>
        <w:t xml:space="preserve">. </w:t>
      </w:r>
    </w:p>
    <w:p w:rsidR="001E1C29" w:rsidRPr="00AE54CC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AE54CC">
        <w:rPr>
          <w:color w:val="auto"/>
          <w:lang w:bidi="es-ES"/>
        </w:rPr>
        <w:t xml:space="preserve">Con fecha </w:t>
      </w:r>
      <w:r w:rsidR="00AE54CC">
        <w:rPr>
          <w:color w:val="auto"/>
          <w:lang w:bidi="es-ES"/>
        </w:rPr>
        <w:t>08</w:t>
      </w:r>
      <w:r w:rsidR="00FC2FB9" w:rsidRPr="00AE54CC">
        <w:rPr>
          <w:color w:val="auto"/>
          <w:lang w:bidi="es-ES"/>
        </w:rPr>
        <w:t>/0</w:t>
      </w:r>
      <w:r w:rsidR="00E57E17" w:rsidRPr="00AE54CC">
        <w:rPr>
          <w:color w:val="auto"/>
          <w:lang w:bidi="es-ES"/>
        </w:rPr>
        <w:t>5</w:t>
      </w:r>
      <w:r w:rsidR="000B2A81" w:rsidRPr="00AE54CC">
        <w:rPr>
          <w:color w:val="auto"/>
          <w:lang w:bidi="es-ES"/>
        </w:rPr>
        <w:t>/</w:t>
      </w:r>
      <w:r w:rsidRPr="00AE54CC">
        <w:rPr>
          <w:color w:val="auto"/>
          <w:lang w:bidi="es-ES"/>
        </w:rPr>
        <w:t>202</w:t>
      </w:r>
      <w:r w:rsidR="008839AB" w:rsidRPr="00AE54CC">
        <w:rPr>
          <w:color w:val="auto"/>
          <w:lang w:bidi="es-ES"/>
        </w:rPr>
        <w:t>3</w:t>
      </w:r>
      <w:r w:rsidRPr="00AE54CC">
        <w:rPr>
          <w:color w:val="auto"/>
          <w:lang w:bidi="es-ES"/>
        </w:rPr>
        <w:t xml:space="preserve"> se presentó </w:t>
      </w:r>
      <w:r w:rsidR="00904E47" w:rsidRPr="00AE54CC">
        <w:rPr>
          <w:color w:val="auto"/>
          <w:lang w:bidi="es-ES"/>
        </w:rPr>
        <w:t xml:space="preserve">a través </w:t>
      </w:r>
      <w:r w:rsidR="00E57E17" w:rsidRPr="00AE54CC">
        <w:rPr>
          <w:color w:val="auto"/>
          <w:lang w:bidi="es-ES"/>
        </w:rPr>
        <w:t xml:space="preserve">del </w:t>
      </w:r>
      <w:r w:rsidR="00EE3509" w:rsidRPr="00AE54CC">
        <w:rPr>
          <w:color w:val="auto"/>
          <w:lang w:bidi="es-ES"/>
        </w:rPr>
        <w:t xml:space="preserve">Portal de Transparencia de </w:t>
      </w:r>
      <w:r w:rsidR="00700FAE">
        <w:rPr>
          <w:color w:val="auto"/>
          <w:lang w:bidi="es-ES"/>
        </w:rPr>
        <w:t>Mutua Montañesa</w:t>
      </w:r>
      <w:r w:rsidR="00E57E17" w:rsidRPr="00AE54CC">
        <w:rPr>
          <w:color w:val="auto"/>
          <w:lang w:bidi="es-ES"/>
        </w:rPr>
        <w:t xml:space="preserve"> una solicitud de acceso a información pública de la entidad</w:t>
      </w:r>
      <w:r w:rsidRPr="00AE54CC">
        <w:rPr>
          <w:color w:val="auto"/>
          <w:lang w:bidi="es-ES"/>
        </w:rPr>
        <w:t xml:space="preserve">. </w:t>
      </w:r>
      <w:r w:rsidR="00700FAE">
        <w:rPr>
          <w:color w:val="auto"/>
          <w:lang w:bidi="es-ES"/>
        </w:rPr>
        <w:t>No</w:t>
      </w:r>
      <w:r w:rsidR="00EE3509" w:rsidRPr="00AE54CC">
        <w:rPr>
          <w:color w:val="auto"/>
          <w:lang w:bidi="es-ES"/>
        </w:rPr>
        <w:t xml:space="preserve"> se emite un acuse de recibo.</w:t>
      </w:r>
    </w:p>
    <w:p w:rsidR="00F34803" w:rsidRPr="00AE54C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AE54CC">
        <w:rPr>
          <w:rStyle w:val="Ttulo2Car"/>
          <w:sz w:val="22"/>
          <w:szCs w:val="22"/>
        </w:rPr>
        <w:t>Tramitación</w:t>
      </w:r>
    </w:p>
    <w:p w:rsidR="00AB4742" w:rsidRPr="00AE54CC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AE54CC">
        <w:rPr>
          <w:color w:val="auto"/>
          <w:lang w:bidi="es-ES"/>
        </w:rPr>
        <w:t>No</w:t>
      </w:r>
      <w:r w:rsidR="00B108F0" w:rsidRPr="00AE54CC">
        <w:rPr>
          <w:color w:val="auto"/>
          <w:lang w:bidi="es-ES"/>
        </w:rPr>
        <w:t xml:space="preserve"> se</w:t>
      </w:r>
      <w:r w:rsidR="00F34803" w:rsidRPr="00AE54CC">
        <w:rPr>
          <w:color w:val="auto"/>
          <w:lang w:bidi="es-ES"/>
        </w:rPr>
        <w:t xml:space="preserve"> </w:t>
      </w:r>
      <w:r w:rsidR="00904E47" w:rsidRPr="00AE54CC">
        <w:rPr>
          <w:color w:val="auto"/>
          <w:lang w:bidi="es-ES"/>
        </w:rPr>
        <w:t xml:space="preserve">comunica el </w:t>
      </w:r>
      <w:r w:rsidR="00F34803" w:rsidRPr="00AE54CC">
        <w:rPr>
          <w:color w:val="auto"/>
          <w:lang w:bidi="es-ES"/>
        </w:rPr>
        <w:t xml:space="preserve">inicio de la tramitación de la solicitud. </w:t>
      </w:r>
    </w:p>
    <w:p w:rsidR="00AB4742" w:rsidRPr="00AE54C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AE54C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AE54CC">
        <w:rPr>
          <w:rStyle w:val="Ttulo2Car"/>
          <w:sz w:val="22"/>
          <w:szCs w:val="22"/>
        </w:rPr>
        <w:t>Resolución</w:t>
      </w:r>
    </w:p>
    <w:p w:rsidR="00904E47" w:rsidRPr="00AE54CC" w:rsidRDefault="00700FAE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>
        <w:rPr>
          <w:color w:val="auto"/>
          <w:lang w:bidi="es-ES"/>
        </w:rPr>
        <w:t xml:space="preserve">No se dicta resolución expresa. Mediante correo electrónico remitido por el Área de Modelo de Servicio y Digitalización, se informa que la información solicitada se publicará en </w:t>
      </w:r>
      <w:r w:rsidR="00C47247">
        <w:rPr>
          <w:color w:val="auto"/>
          <w:lang w:bidi="es-ES"/>
        </w:rPr>
        <w:t xml:space="preserve">la web </w:t>
      </w:r>
      <w:r>
        <w:rPr>
          <w:color w:val="auto"/>
          <w:lang w:bidi="es-ES"/>
        </w:rPr>
        <w:t>de la entidad, en el mes de junio o julio.</w:t>
      </w:r>
      <w:r w:rsidR="00531D64" w:rsidRPr="00AE54CC">
        <w:rPr>
          <w:color w:val="auto"/>
          <w:lang w:bidi="es-ES"/>
        </w:rPr>
        <w:t xml:space="preserve"> </w:t>
      </w:r>
    </w:p>
    <w:p w:rsidR="00DE6A97" w:rsidRDefault="00DE6A97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700FAE">
        <w:t>Mutua Montañesa</w:t>
      </w:r>
      <w:r>
        <w:t>.</w:t>
      </w:r>
    </w:p>
    <w:p w:rsidR="001D4699" w:rsidRPr="004A133A" w:rsidRDefault="001D4699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700FA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A52CEF" w:rsidRDefault="00AE5C4C" w:rsidP="00A52CEF">
      <w:pPr>
        <w:spacing w:before="120" w:after="120"/>
        <w:ind w:left="426"/>
        <w:jc w:val="both"/>
      </w:pPr>
      <w:r>
        <w:t>Mutua Montañesa</w:t>
      </w:r>
      <w:r w:rsidR="00A52CEF">
        <w:t xml:space="preserve"> presenta en la gestión de las solicitudes de acceso a información pública buenas prácticas que podrían ser aplicadas por otras instituciones y organizaciones públicas. Entre ellas cabe destacar: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disponibilidad de un espacio específico para el ejercicio del derecho de acceso</w:t>
      </w:r>
      <w:r w:rsidRPr="004A5655">
        <w:t>.</w:t>
      </w:r>
    </w:p>
    <w:p w:rsidR="00700FAE" w:rsidRDefault="00700FAE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información sobre el derecho de los ciudadanos a solicitar información pública de la entidad.</w:t>
      </w:r>
    </w:p>
    <w:p w:rsidR="00700FAE" w:rsidRDefault="00700FAE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disponibilidad de un formulario parta la presentación de las solicitudes</w:t>
      </w:r>
    </w:p>
    <w:p w:rsidR="00700FAE" w:rsidRDefault="00700FAE" w:rsidP="00700FAE">
      <w:pPr>
        <w:pStyle w:val="Prrafodelista"/>
        <w:spacing w:before="120" w:after="120"/>
        <w:ind w:left="1134"/>
        <w:contextualSpacing w:val="0"/>
        <w:jc w:val="both"/>
      </w:pPr>
    </w:p>
    <w:p w:rsidR="00700FAE" w:rsidRDefault="00700FAE" w:rsidP="00700FAE">
      <w:pPr>
        <w:pStyle w:val="Prrafodelista"/>
        <w:spacing w:before="120" w:after="120"/>
        <w:ind w:left="1134"/>
        <w:contextualSpacing w:val="0"/>
        <w:jc w:val="both"/>
      </w:pPr>
    </w:p>
    <w:p w:rsidR="00700FAE" w:rsidRDefault="00700FAE" w:rsidP="00700FAE">
      <w:pPr>
        <w:pStyle w:val="Prrafodelista"/>
        <w:spacing w:before="120" w:after="120"/>
        <w:ind w:left="1134"/>
        <w:contextualSpacing w:val="0"/>
        <w:jc w:val="both"/>
      </w:pPr>
    </w:p>
    <w:p w:rsidR="00700FAE" w:rsidRDefault="00700FAE" w:rsidP="00700FAE">
      <w:pPr>
        <w:pStyle w:val="Prrafodelista"/>
        <w:spacing w:before="120" w:after="120"/>
        <w:ind w:left="1134"/>
        <w:contextualSpacing w:val="0"/>
        <w:jc w:val="both"/>
      </w:pPr>
    </w:p>
    <w:p w:rsidR="00700FAE" w:rsidRPr="004A5655" w:rsidRDefault="00700FAE" w:rsidP="00700FAE">
      <w:pPr>
        <w:pStyle w:val="Prrafodelista"/>
        <w:spacing w:before="120" w:after="120"/>
        <w:ind w:left="1134"/>
        <w:contextualSpacing w:val="0"/>
        <w:jc w:val="both"/>
      </w:pPr>
    </w:p>
    <w:p w:rsidR="00A52CEF" w:rsidRDefault="00A52CEF" w:rsidP="00A52CEF">
      <w:pPr>
        <w:pStyle w:val="Prrafodelista"/>
        <w:spacing w:before="120" w:after="120"/>
        <w:ind w:left="1134"/>
        <w:contextualSpacing w:val="0"/>
        <w:jc w:val="both"/>
      </w:pPr>
    </w:p>
    <w:p w:rsidR="00256215" w:rsidRDefault="00700FA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507DB5" w:rsidRDefault="00C47247" w:rsidP="00507DB5">
      <w:pPr>
        <w:pStyle w:val="Prrafodelista"/>
        <w:ind w:left="709"/>
        <w:jc w:val="both"/>
        <w:rPr>
          <w:bCs/>
        </w:rPr>
      </w:pPr>
      <w:r>
        <w:rPr>
          <w:bCs/>
        </w:rPr>
        <w:t>En 2022</w:t>
      </w:r>
      <w:r w:rsidR="00700FAE">
        <w:rPr>
          <w:bCs/>
        </w:rPr>
        <w:t xml:space="preserve">, Mutua Montañesa recibió 17 solicitudes de información, que fueron archivadas en su totalidad. </w:t>
      </w:r>
    </w:p>
    <w:p w:rsidR="00AE5C4C" w:rsidRDefault="00AE5C4C" w:rsidP="00507DB5">
      <w:pPr>
        <w:pStyle w:val="Prrafodelista"/>
        <w:ind w:left="709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700FAE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Mutua Montañesa</w:t>
      </w:r>
      <w:r w:rsidR="005D006A" w:rsidRPr="00F33EF2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A52CEF">
      <w:pPr>
        <w:pStyle w:val="Prrafodelista"/>
        <w:ind w:left="644"/>
        <w:jc w:val="both"/>
      </w:pPr>
      <w:r>
        <w:t xml:space="preserve">Como se ha indicado, </w:t>
      </w:r>
      <w:r w:rsidR="00700FAE">
        <w:t>Mutua Montañesa</w:t>
      </w:r>
      <w:r w:rsidR="005D006A">
        <w:t xml:space="preserve"> dispone de un espacio en su web institucional que facilit</w:t>
      </w:r>
      <w:r w:rsidR="00DE6A97">
        <w:t>a</w:t>
      </w:r>
      <w:r w:rsidR="005D006A">
        <w:t xml:space="preserve"> el ejercicio del derecho de acceso a la información. </w:t>
      </w:r>
      <w:r w:rsidR="00C47247">
        <w:t>Como canal de presentación de solicitudes se ha habilitado el propio Portal de Transparencia de la entidad</w:t>
      </w:r>
      <w:r w:rsidR="00F01FF9">
        <w:t>.</w:t>
      </w:r>
    </w:p>
    <w:p w:rsidR="00C47247" w:rsidRDefault="00F01FF9" w:rsidP="00F01FF9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 w:rsidRPr="009D7822">
        <w:t xml:space="preserve">La Ley 39/2015, fija los medios a través de los cuales los ciudadanos pueden relacionarse con las administraciones y el derecho de éstos a relacionarse por el medio que consideren oportuno y a modificar en el transcurso del </w:t>
      </w:r>
      <w:r>
        <w:t xml:space="preserve">procedimiento el medio elegido, por lo que sería conveniente que se informase a los ciudadanos sobre esta cuestión. </w:t>
      </w:r>
    </w:p>
    <w:p w:rsidR="00AE5C4C" w:rsidRDefault="00AE5C4C" w:rsidP="00F01FF9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</w:p>
    <w:p w:rsidR="00AE5C4C" w:rsidRPr="009D7822" w:rsidRDefault="00AE5C4C" w:rsidP="00F01FF9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>
        <w:t>Se recuerda que las Mutuas de Accidentes de Trabajo y Enfermedades Profesionales, forman parte del Sector Público Institucional y que están incluidas en el ámbito subjetivo de aplicación de la Ley 39/2015.</w:t>
      </w:r>
    </w:p>
    <w:p w:rsidR="00F01FF9" w:rsidRPr="009D7822" w:rsidRDefault="00F01FF9" w:rsidP="00F01FF9">
      <w:pPr>
        <w:ind w:left="644"/>
        <w:contextualSpacing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AE5C4C" w:rsidRDefault="00F34803" w:rsidP="002E0A33">
      <w:pPr>
        <w:pStyle w:val="Prrafodelista"/>
        <w:ind w:left="426"/>
        <w:jc w:val="both"/>
      </w:pPr>
      <w:r w:rsidRPr="00C47247">
        <w:t xml:space="preserve">La gestión de la solicitud de acceso </w:t>
      </w:r>
      <w:r w:rsidR="00C47247">
        <w:t xml:space="preserve">no </w:t>
      </w:r>
      <w:r w:rsidRPr="00C47247">
        <w:t>se ha ajustado al procedimiento establecido po</w:t>
      </w:r>
      <w:r w:rsidR="00A915A2" w:rsidRPr="00C47247">
        <w:t xml:space="preserve">r la LTAIBG. </w:t>
      </w:r>
      <w:r w:rsidR="00C47247">
        <w:t xml:space="preserve">No se dicta Resolución, sino que, mediante correo electrónico, se informa a la persona solicitante, que la información estará disponible en la página web de la Mutua en los meses de junio o julio. </w:t>
      </w:r>
    </w:p>
    <w:p w:rsidR="00AE5C4C" w:rsidRDefault="00AE5C4C" w:rsidP="002E0A33">
      <w:pPr>
        <w:pStyle w:val="Prrafodelista"/>
        <w:ind w:left="426"/>
        <w:jc w:val="both"/>
      </w:pPr>
    </w:p>
    <w:p w:rsidR="00B31C4E" w:rsidRDefault="00C47247" w:rsidP="002E0A33">
      <w:pPr>
        <w:pStyle w:val="Prrafodelista"/>
        <w:ind w:left="426"/>
        <w:jc w:val="both"/>
      </w:pPr>
      <w:r>
        <w:t>Revisada la web de la Mutua, este Consejo, sólo ha localizado un documento que incluya la información solicitada. Se trata del Informe Agregado</w:t>
      </w:r>
      <w:r w:rsidR="00AE5C4C">
        <w:t xml:space="preserve"> 2021</w:t>
      </w:r>
      <w:r>
        <w:t xml:space="preserve">, que efectivamente incluye </w:t>
      </w:r>
      <w:r w:rsidR="00B90722">
        <w:t xml:space="preserve">información sobre la actividad objeto de solicitud, pero no incluye ninguno de los datos que </w:t>
      </w:r>
      <w:r w:rsidR="00B90722">
        <w:lastRenderedPageBreak/>
        <w:t>se habían solicitado, por lo que no puede considerarse que se dé respuesta a</w:t>
      </w:r>
      <w:r>
        <w:t xml:space="preserve"> la </w:t>
      </w:r>
      <w:r w:rsidR="00B90722">
        <w:t>solicitud de información.</w:t>
      </w:r>
    </w:p>
    <w:p w:rsidR="00B90722" w:rsidRPr="00C47247" w:rsidRDefault="00B90722" w:rsidP="002E0A33">
      <w:pPr>
        <w:pStyle w:val="Prrafodelista"/>
        <w:ind w:left="426"/>
        <w:jc w:val="both"/>
      </w:pPr>
    </w:p>
    <w:p w:rsidR="00E541AF" w:rsidRDefault="00B90722" w:rsidP="007B788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Mutua Montañesa debería aplicar el procedimiento establecido en la LTAIBG para la resolución de las solicitudes de acceso a información pública. Debería dictar resolución expresa, indicando los recursos en vía jurisdiccional y administrativa contemplados en la Ley, así como, los plazos para </w:t>
      </w:r>
      <w:r w:rsidR="00AE5C4C">
        <w:t>interponerlos</w:t>
      </w:r>
      <w:r>
        <w:t>.</w:t>
      </w:r>
    </w:p>
    <w:p w:rsidR="00B90722" w:rsidRDefault="00B90722" w:rsidP="007B788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</w:p>
    <w:p w:rsidR="00AE5C4C" w:rsidRDefault="00B90722" w:rsidP="007B788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>Por otra parte, se resuelve la solicitud, comunicando que la informa</w:t>
      </w:r>
      <w:r w:rsidR="0039572C">
        <w:t>ción será objeto de publicación. El supuesto que prevé la LTAIBG en su artículo 22.3, es que</w:t>
      </w:r>
      <w:r w:rsidR="00AE5C4C">
        <w:t>,</w:t>
      </w:r>
      <w:r w:rsidR="0039572C">
        <w:t xml:space="preserve"> en el caso de que la información solicitada est</w:t>
      </w:r>
      <w:r w:rsidR="00AE5C4C">
        <w:t>é publicada -</w:t>
      </w:r>
      <w:r w:rsidR="0039572C">
        <w:t xml:space="preserve"> se entiende que en el momento en que se presenta la solicitud</w:t>
      </w:r>
      <w:r w:rsidR="00AE5C4C">
        <w:t xml:space="preserve"> -</w:t>
      </w:r>
      <w:r w:rsidR="0039572C">
        <w:t>, la resolución podrá limitarse a indicar cómo puede accederse a la información</w:t>
      </w:r>
      <w:r w:rsidR="00AE5C4C">
        <w:t>, supuesto que no concurre en relación con la solicitud presentada por este Consejo.</w:t>
      </w:r>
      <w:r w:rsidR="0039572C">
        <w:t xml:space="preserve"> </w:t>
      </w:r>
    </w:p>
    <w:p w:rsidR="00AE5C4C" w:rsidRDefault="00AE5C4C" w:rsidP="007B788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</w:p>
    <w:p w:rsidR="00B90722" w:rsidRPr="00D84B7B" w:rsidRDefault="0039572C" w:rsidP="007B7889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r>
        <w:t xml:space="preserve">Por esta razón, Mutua Montañesa debería haber proporcionado la información en el momento dictar la resolución o, </w:t>
      </w:r>
      <w:r>
        <w:t>si no fuese posible</w:t>
      </w:r>
      <w:r>
        <w:t xml:space="preserve"> proporcionarla en ese momento, en el plazo de 10 días contemplado por la LTAIBG, </w:t>
      </w:r>
    </w:p>
    <w:p w:rsidR="00B40246" w:rsidRDefault="00B40246" w:rsidP="00D84B7B">
      <w:pPr>
        <w:pStyle w:val="Prrafodelista"/>
        <w:ind w:left="644"/>
        <w:jc w:val="both"/>
      </w:pPr>
    </w:p>
    <w:p w:rsidR="007B7889" w:rsidRDefault="007B7889" w:rsidP="007B7889">
      <w:pPr>
        <w:pStyle w:val="Prrafodelista"/>
        <w:ind w:left="7724" w:firstLine="64"/>
        <w:jc w:val="both"/>
      </w:pPr>
      <w:bookmarkStart w:id="0" w:name="_GoBack"/>
      <w:bookmarkEnd w:id="0"/>
      <w:r>
        <w:t xml:space="preserve">Madrid, </w:t>
      </w:r>
      <w:r w:rsidR="00F01FF9">
        <w:t>junio</w:t>
      </w:r>
      <w:r>
        <w:t xml:space="preserve"> de 2023</w:t>
      </w:r>
    </w:p>
    <w:sectPr w:rsidR="007B7889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22" w:rsidRDefault="00B90722" w:rsidP="00932008">
      <w:pPr>
        <w:spacing w:after="0" w:line="240" w:lineRule="auto"/>
      </w:pPr>
      <w:r>
        <w:separator/>
      </w:r>
    </w:p>
  </w:endnote>
  <w:endnote w:type="continuationSeparator" w:id="0">
    <w:p w:rsidR="00B90722" w:rsidRDefault="00B9072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90722" w:rsidRPr="00C533E7" w:rsidRDefault="00B9072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AE5C4C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B90722" w:rsidRDefault="00B907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22" w:rsidRDefault="00B90722" w:rsidP="00932008">
      <w:pPr>
        <w:spacing w:after="0" w:line="240" w:lineRule="auto"/>
      </w:pPr>
      <w:r>
        <w:separator/>
      </w:r>
    </w:p>
  </w:footnote>
  <w:footnote w:type="continuationSeparator" w:id="0">
    <w:p w:rsidR="00B90722" w:rsidRDefault="00B9072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2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4341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D4699"/>
    <w:rsid w:val="001E1C29"/>
    <w:rsid w:val="001F251B"/>
    <w:rsid w:val="001F25E4"/>
    <w:rsid w:val="002260CC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93F8C"/>
    <w:rsid w:val="0039572C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07DB5"/>
    <w:rsid w:val="00531D64"/>
    <w:rsid w:val="005446A8"/>
    <w:rsid w:val="00561402"/>
    <w:rsid w:val="00572C18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0FAE"/>
    <w:rsid w:val="00706E04"/>
    <w:rsid w:val="00707CFE"/>
    <w:rsid w:val="00710031"/>
    <w:rsid w:val="00727BA2"/>
    <w:rsid w:val="00741849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473AA"/>
    <w:rsid w:val="009609E9"/>
    <w:rsid w:val="0096522C"/>
    <w:rsid w:val="00983919"/>
    <w:rsid w:val="009913A5"/>
    <w:rsid w:val="00A351F7"/>
    <w:rsid w:val="00A41DD5"/>
    <w:rsid w:val="00A52CEF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54CC"/>
    <w:rsid w:val="00AE5C4C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90722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47247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3509"/>
    <w:rsid w:val="00EE5BDF"/>
    <w:rsid w:val="00F01FF9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17E39"/>
    <w:rsid w:val="003D088C"/>
    <w:rsid w:val="004437AC"/>
    <w:rsid w:val="00537688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75A4A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EAC75-5ADE-4A87-8621-67C8B587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45</TotalTime>
  <Pages>4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2023-06-01T10:47:00Z</dcterms:created>
  <dcterms:modified xsi:type="dcterms:W3CDTF">2023-06-01T11:32:00Z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