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097907" w:rsidRDefault="0009790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097907" w:rsidRPr="00006957" w:rsidRDefault="0009790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097907" w:rsidRDefault="0009790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097907" w:rsidRPr="00006957" w:rsidRDefault="0009790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7907" w:rsidRDefault="0009790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97907" w:rsidRDefault="0009790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4E58B7" w:rsidP="004E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Ingeniería de Sistemas para la Defensa de España, SA, SME, MP (ISDEFE)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E58B7" w:rsidP="004E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</w:t>
            </w:r>
            <w:r w:rsidR="00720995">
              <w:rPr>
                <w:sz w:val="24"/>
                <w:szCs w:val="24"/>
              </w:rPr>
              <w:t>2023</w:t>
            </w:r>
          </w:p>
        </w:tc>
      </w:tr>
    </w:tbl>
    <w:p w:rsidR="00BA266E" w:rsidRDefault="00BA266E"/>
    <w:p w:rsidR="00561402" w:rsidRPr="0012783F" w:rsidRDefault="00A322B3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E85A64">
        <w:rPr>
          <w:bCs/>
          <w:color w:val="auto"/>
          <w:szCs w:val="22"/>
        </w:rPr>
        <w:t xml:space="preserve">La gestión de las solicitudes de acceso se efectúa por </w:t>
      </w:r>
      <w:r w:rsidR="00124B64" w:rsidRPr="00124B64">
        <w:rPr>
          <w:bCs/>
          <w:color w:val="auto"/>
          <w:szCs w:val="22"/>
        </w:rPr>
        <w:t>Departamento de Gobernanza, Transparencia y Calidad y Departamento Jurídico</w:t>
      </w:r>
      <w:r w:rsidRPr="00E85A64">
        <w:rPr>
          <w:bCs/>
          <w:color w:val="auto"/>
          <w:szCs w:val="22"/>
        </w:rPr>
        <w:t xml:space="preserve">, que cuenta con </w:t>
      </w:r>
      <w:r w:rsidR="00FB642E">
        <w:rPr>
          <w:bCs/>
          <w:color w:val="auto"/>
          <w:szCs w:val="22"/>
        </w:rPr>
        <w:t>dos</w:t>
      </w:r>
      <w:r w:rsidRPr="00E85A64">
        <w:rPr>
          <w:bCs/>
          <w:color w:val="auto"/>
          <w:szCs w:val="22"/>
        </w:rPr>
        <w:t xml:space="preserve"> persona</w:t>
      </w:r>
      <w:r w:rsidR="00FB642E">
        <w:rPr>
          <w:bCs/>
          <w:color w:val="auto"/>
          <w:szCs w:val="22"/>
        </w:rPr>
        <w:t>s</w:t>
      </w:r>
      <w:r w:rsidR="00E85A64">
        <w:rPr>
          <w:bCs/>
          <w:color w:val="auto"/>
          <w:szCs w:val="22"/>
        </w:rPr>
        <w:t xml:space="preserve"> para abordar esta actividad, compatibilizándola con otras actividades y tareas.</w:t>
      </w:r>
      <w:r w:rsidRPr="00E85A64">
        <w:rPr>
          <w:bCs/>
          <w:color w:val="auto"/>
          <w:szCs w:val="22"/>
        </w:rPr>
        <w:t xml:space="preserve"> </w:t>
      </w:r>
    </w:p>
    <w:p w:rsidR="00E85A64" w:rsidRPr="00BA266E" w:rsidRDefault="00E85A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A322B3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="008839AB">
        <w:rPr>
          <w:rStyle w:val="Ttulo2Car"/>
          <w:color w:val="00642D"/>
          <w:lang w:bidi="es-ES"/>
        </w:rPr>
        <w:t>en 2022</w:t>
      </w:r>
    </w:p>
    <w:p w:rsidR="00F34803" w:rsidRDefault="004058F8" w:rsidP="00835A1E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Según informa </w:t>
      </w:r>
      <w:r w:rsidR="00124B64">
        <w:rPr>
          <w:rStyle w:val="Ttulo2Car"/>
          <w:b w:val="0"/>
          <w:color w:val="auto"/>
          <w:sz w:val="22"/>
          <w:szCs w:val="22"/>
          <w:lang w:bidi="es-ES"/>
        </w:rPr>
        <w:t>ISDEFE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en 2022 se presentaron </w:t>
      </w:r>
      <w:r w:rsidR="00124B64">
        <w:rPr>
          <w:rStyle w:val="Ttulo2Car"/>
          <w:b w:val="0"/>
          <w:color w:val="auto"/>
          <w:sz w:val="22"/>
          <w:szCs w:val="22"/>
          <w:lang w:bidi="es-ES"/>
        </w:rPr>
        <w:t>2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información pública de la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entidad, que se tramitaron a lo largo del año. Las </w:t>
      </w:r>
      <w:r w:rsidR="00124B64">
        <w:rPr>
          <w:rStyle w:val="Ttulo2Car"/>
          <w:b w:val="0"/>
          <w:color w:val="auto"/>
          <w:sz w:val="22"/>
          <w:szCs w:val="22"/>
          <w:lang w:bidi="es-ES"/>
        </w:rPr>
        <w:t xml:space="preserve">2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>solicitudes fueron admitidas. Se dictó resolución expresa en todos los casos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124B64">
        <w:rPr>
          <w:rStyle w:val="Ttulo2Car"/>
          <w:b w:val="0"/>
          <w:color w:val="auto"/>
          <w:sz w:val="22"/>
          <w:szCs w:val="22"/>
          <w:lang w:bidi="es-ES"/>
        </w:rPr>
        <w:t>Una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 de las resoluciones concedi</w:t>
      </w:r>
      <w:r w:rsidR="00124B64">
        <w:rPr>
          <w:rStyle w:val="Ttulo2Car"/>
          <w:b w:val="0"/>
          <w:color w:val="auto"/>
          <w:sz w:val="22"/>
          <w:szCs w:val="22"/>
          <w:lang w:bidi="es-ES"/>
        </w:rPr>
        <w:t>ó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 acceso parcial a</w:t>
      </w:r>
      <w:r w:rsidR="00A077E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la información y </w:t>
      </w:r>
      <w:proofErr w:type="gramStart"/>
      <w:r w:rsidR="00124B64">
        <w:rPr>
          <w:rStyle w:val="Ttulo2Car"/>
          <w:b w:val="0"/>
          <w:color w:val="auto"/>
          <w:sz w:val="22"/>
          <w:szCs w:val="22"/>
          <w:lang w:bidi="es-ES"/>
        </w:rPr>
        <w:t>otra</w:t>
      </w:r>
      <w:proofErr w:type="gramEnd"/>
      <w:r w:rsidR="00124B64">
        <w:rPr>
          <w:rStyle w:val="Ttulo2Car"/>
          <w:b w:val="0"/>
          <w:color w:val="auto"/>
          <w:sz w:val="22"/>
          <w:szCs w:val="22"/>
          <w:lang w:bidi="es-ES"/>
        </w:rPr>
        <w:t xml:space="preserve"> acceso total. Ninguna solicitud fue denegada.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124B64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ISDEFE no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D23E9">
        <w:rPr>
          <w:rStyle w:val="Ttulo2Car"/>
          <w:b w:val="0"/>
          <w:color w:val="auto"/>
          <w:sz w:val="22"/>
          <w:szCs w:val="22"/>
          <w:lang w:bidi="es-ES"/>
        </w:rPr>
        <w:t xml:space="preserve">en su Portal de Transparencia,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las</w:t>
      </w:r>
      <w:bookmarkStart w:id="0" w:name="_GoBack"/>
      <w:bookmarkEnd w:id="0"/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077E8" w:rsidRDefault="00A077E8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077E8" w:rsidRDefault="00A077E8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A322B3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A351F7" w:rsidRDefault="00124B64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ISDEFE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Portal de Transparencias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se informa de la posibilidad de solicitar información pública de la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entidad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al amparo de la LTAIBG. </w:t>
      </w:r>
    </w:p>
    <w:p w:rsidR="00A077E8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solicitudes, </w:t>
      </w:r>
      <w:r w:rsidR="004058F8">
        <w:rPr>
          <w:rStyle w:val="Ttulo2Car"/>
          <w:b w:val="0"/>
          <w:color w:val="auto"/>
          <w:sz w:val="22"/>
          <w:szCs w:val="22"/>
          <w:lang w:bidi="es-ES"/>
        </w:rPr>
        <w:t xml:space="preserve">se informa expresamente de que esta presentación se efectuará </w:t>
      </w:r>
      <w:r w:rsidR="00A077E8">
        <w:rPr>
          <w:rStyle w:val="Ttulo2Car"/>
          <w:b w:val="0"/>
          <w:color w:val="auto"/>
          <w:sz w:val="22"/>
          <w:szCs w:val="22"/>
          <w:lang w:bidi="es-ES"/>
        </w:rPr>
        <w:t>a través del Portal de Transparencia de la AGE, proporcionando un enlace</w:t>
      </w:r>
      <w:r w:rsidR="004058F8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077E8">
        <w:rPr>
          <w:rStyle w:val="Ttulo2Car"/>
          <w:b w:val="0"/>
          <w:color w:val="auto"/>
          <w:sz w:val="22"/>
          <w:szCs w:val="22"/>
          <w:lang w:bidi="es-ES"/>
        </w:rPr>
        <w:t>No se informa sobre los medios de contacto con las administraciones públicas contemplados en la Ley 39/2015.</w:t>
      </w:r>
    </w:p>
    <w:p w:rsidR="00A351F7" w:rsidRDefault="00A077E8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Se publica la guía ciudadana de derecho de acceso y también se proporciona información sobre las solicitudes recibidas y tramitadas en </w:t>
      </w:r>
      <w:r w:rsidR="00124B64">
        <w:rPr>
          <w:rStyle w:val="Ttulo2Car"/>
          <w:b w:val="0"/>
          <w:color w:val="auto"/>
          <w:sz w:val="22"/>
          <w:szCs w:val="22"/>
          <w:lang w:bidi="es-ES"/>
        </w:rPr>
        <w:t>desde 2017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A351F7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A322B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D246A4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Inicio del procedimiento</w:t>
      </w:r>
      <w:r w:rsidRPr="00D246A4">
        <w:rPr>
          <w:color w:val="auto"/>
          <w:lang w:bidi="es-ES"/>
        </w:rPr>
        <w:t xml:space="preserve">. </w:t>
      </w:r>
    </w:p>
    <w:p w:rsidR="001E1C29" w:rsidRPr="00D246A4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D246A4">
        <w:rPr>
          <w:color w:val="auto"/>
          <w:lang w:bidi="es-ES"/>
        </w:rPr>
        <w:t xml:space="preserve">Con fecha </w:t>
      </w:r>
      <w:r w:rsidR="00A322B3">
        <w:rPr>
          <w:color w:val="auto"/>
          <w:lang w:bidi="es-ES"/>
        </w:rPr>
        <w:t>08</w:t>
      </w:r>
      <w:r w:rsidR="00FC2FB9" w:rsidRPr="00D246A4">
        <w:rPr>
          <w:color w:val="auto"/>
          <w:lang w:bidi="es-ES"/>
        </w:rPr>
        <w:t>/0</w:t>
      </w:r>
      <w:r w:rsidR="00E57E17" w:rsidRPr="00D246A4">
        <w:rPr>
          <w:color w:val="auto"/>
          <w:lang w:bidi="es-ES"/>
        </w:rPr>
        <w:t>5</w:t>
      </w:r>
      <w:r w:rsidR="000B2A81" w:rsidRPr="00D246A4">
        <w:rPr>
          <w:color w:val="auto"/>
          <w:lang w:bidi="es-ES"/>
        </w:rPr>
        <w:t>/</w:t>
      </w:r>
      <w:r w:rsidRPr="00D246A4">
        <w:rPr>
          <w:color w:val="auto"/>
          <w:lang w:bidi="es-ES"/>
        </w:rPr>
        <w:t>202</w:t>
      </w:r>
      <w:r w:rsidR="008839AB" w:rsidRPr="00D246A4">
        <w:rPr>
          <w:color w:val="auto"/>
          <w:lang w:bidi="es-ES"/>
        </w:rPr>
        <w:t>3</w:t>
      </w:r>
      <w:r w:rsidRPr="00D246A4">
        <w:rPr>
          <w:color w:val="auto"/>
          <w:lang w:bidi="es-ES"/>
        </w:rPr>
        <w:t xml:space="preserve"> se presentó </w:t>
      </w:r>
      <w:r w:rsidR="00904E47" w:rsidRPr="00D246A4">
        <w:rPr>
          <w:color w:val="auto"/>
          <w:lang w:bidi="es-ES"/>
        </w:rPr>
        <w:t xml:space="preserve">a través </w:t>
      </w:r>
      <w:r w:rsidR="00E57E17" w:rsidRPr="00D246A4">
        <w:rPr>
          <w:color w:val="auto"/>
          <w:lang w:bidi="es-ES"/>
        </w:rPr>
        <w:t xml:space="preserve">del </w:t>
      </w:r>
      <w:r w:rsidR="00A077E8">
        <w:rPr>
          <w:color w:val="auto"/>
          <w:lang w:bidi="es-ES"/>
        </w:rPr>
        <w:t>Portal de Transparencia de la AGE</w:t>
      </w:r>
      <w:r w:rsidR="00D246A4">
        <w:rPr>
          <w:color w:val="auto"/>
          <w:lang w:bidi="es-ES"/>
        </w:rPr>
        <w:t xml:space="preserve">, </w:t>
      </w:r>
      <w:r w:rsidR="00E57E17" w:rsidRPr="00D246A4">
        <w:rPr>
          <w:color w:val="auto"/>
          <w:lang w:bidi="es-ES"/>
        </w:rPr>
        <w:t>una solicitud de acceso a información pública de la entidad</w:t>
      </w:r>
      <w:r w:rsidRPr="00D246A4">
        <w:rPr>
          <w:color w:val="auto"/>
          <w:lang w:bidi="es-ES"/>
        </w:rPr>
        <w:t xml:space="preserve">. </w:t>
      </w:r>
      <w:r w:rsidR="00A077E8">
        <w:rPr>
          <w:color w:val="auto"/>
          <w:lang w:bidi="es-ES"/>
        </w:rPr>
        <w:t>S</w:t>
      </w:r>
      <w:r w:rsidR="00EE3509" w:rsidRPr="00D246A4">
        <w:rPr>
          <w:color w:val="auto"/>
          <w:lang w:bidi="es-ES"/>
        </w:rPr>
        <w:t>e emite un acuse de recibo de la presentación de la solicitud</w:t>
      </w:r>
      <w:r w:rsidR="00A077E8">
        <w:rPr>
          <w:color w:val="auto"/>
          <w:lang w:bidi="es-ES"/>
        </w:rPr>
        <w:t xml:space="preserve"> en la misma fecha</w:t>
      </w:r>
      <w:r w:rsidR="00EE3509" w:rsidRPr="00D246A4">
        <w:rPr>
          <w:color w:val="auto"/>
          <w:lang w:bidi="es-ES"/>
        </w:rPr>
        <w:t>.</w:t>
      </w:r>
    </w:p>
    <w:p w:rsidR="00F34803" w:rsidRPr="00D246A4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Tramitación</w:t>
      </w:r>
    </w:p>
    <w:p w:rsidR="00AB4742" w:rsidRPr="00D246A4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color w:val="auto"/>
          <w:lang w:bidi="es-ES"/>
        </w:rPr>
        <w:t>No</w:t>
      </w:r>
      <w:r w:rsidR="00B108F0" w:rsidRPr="00D246A4">
        <w:rPr>
          <w:color w:val="auto"/>
          <w:lang w:bidi="es-ES"/>
        </w:rPr>
        <w:t xml:space="preserve"> se</w:t>
      </w:r>
      <w:r w:rsidR="00F34803" w:rsidRPr="00D246A4">
        <w:rPr>
          <w:color w:val="auto"/>
          <w:lang w:bidi="es-ES"/>
        </w:rPr>
        <w:t xml:space="preserve"> </w:t>
      </w:r>
      <w:r w:rsidR="00904E47" w:rsidRPr="00D246A4">
        <w:rPr>
          <w:color w:val="auto"/>
          <w:lang w:bidi="es-ES"/>
        </w:rPr>
        <w:t xml:space="preserve">comunica el </w:t>
      </w:r>
      <w:r w:rsidR="00F34803" w:rsidRPr="00D246A4">
        <w:rPr>
          <w:color w:val="auto"/>
          <w:lang w:bidi="es-ES"/>
        </w:rPr>
        <w:t xml:space="preserve">inicio de la tramitación de la solicitud. </w:t>
      </w:r>
    </w:p>
    <w:p w:rsidR="00AB4742" w:rsidRPr="00D246A4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D246A4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Resolución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Se dicta resolución expresa con fecha </w:t>
      </w:r>
      <w:r>
        <w:rPr>
          <w:color w:val="auto"/>
          <w:lang w:bidi="es-ES"/>
        </w:rPr>
        <w:t>0</w:t>
      </w:r>
      <w:r w:rsidR="00A322B3">
        <w:rPr>
          <w:color w:val="auto"/>
          <w:lang w:bidi="es-ES"/>
        </w:rPr>
        <w:t>6</w:t>
      </w:r>
      <w:r w:rsidRPr="004D165C">
        <w:rPr>
          <w:color w:val="auto"/>
          <w:lang w:bidi="es-ES"/>
        </w:rPr>
        <w:t>/06/202</w:t>
      </w:r>
      <w:r>
        <w:rPr>
          <w:color w:val="auto"/>
          <w:lang w:bidi="es-ES"/>
        </w:rPr>
        <w:t>3</w:t>
      </w:r>
      <w:r w:rsidRPr="004D165C">
        <w:rPr>
          <w:color w:val="auto"/>
          <w:lang w:bidi="es-ES"/>
        </w:rPr>
        <w:t xml:space="preserve">. 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 xml:space="preserve">el </w:t>
      </w:r>
      <w:r w:rsidR="00A322B3">
        <w:rPr>
          <w:color w:val="auto"/>
          <w:lang w:bidi="es-ES"/>
        </w:rPr>
        <w:t>Consejero Delegado</w:t>
      </w:r>
      <w:r w:rsidRPr="004D165C">
        <w:rPr>
          <w:color w:val="auto"/>
          <w:lang w:bidi="es-ES"/>
        </w:rPr>
        <w:t>.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</w:t>
      </w:r>
      <w:r>
        <w:rPr>
          <w:color w:val="auto"/>
          <w:lang w:bidi="es-ES"/>
        </w:rPr>
        <w:t>ción recibida y del plazo para interponerlos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La información se proporciona en la propia resolución. </w:t>
      </w:r>
    </w:p>
    <w:p w:rsidR="005720B5" w:rsidRDefault="005720B5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097907" w:rsidRDefault="0009790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097907" w:rsidRDefault="0009790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097907" w:rsidRPr="00296731" w:rsidRDefault="0009790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DE6A97" w:rsidRPr="00296731" w:rsidRDefault="00DE6A9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5720B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5720B5">
            <w:rPr>
              <w:b/>
              <w:color w:val="00642D"/>
              <w:sz w:val="30"/>
              <w:szCs w:val="30"/>
            </w:rPr>
            <w:t>IV. Reclamaciones ante el Consejo de Transparencia</w:t>
          </w:r>
          <w:r w:rsidR="00EE5BDF" w:rsidRPr="005720B5">
            <w:rPr>
              <w:b/>
              <w:color w:val="00642D"/>
              <w:sz w:val="30"/>
              <w:szCs w:val="30"/>
            </w:rPr>
            <w:t xml:space="preserve"> y Buen Gobierno</w:t>
          </w:r>
          <w:r w:rsidRPr="005720B5">
            <w:rPr>
              <w:b/>
              <w:color w:val="00642D"/>
              <w:sz w:val="30"/>
              <w:szCs w:val="30"/>
            </w:rPr>
            <w:t xml:space="preserve"> </w:t>
          </w:r>
          <w:r w:rsidR="00AC715D" w:rsidRPr="005720B5">
            <w:rPr>
              <w:b/>
              <w:color w:val="00642D"/>
              <w:sz w:val="30"/>
              <w:szCs w:val="30"/>
            </w:rPr>
            <w:t>en el periodo 2015-202</w:t>
          </w:r>
          <w:r w:rsidR="005D006A" w:rsidRPr="005720B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Pr="00296731" w:rsidRDefault="00256215" w:rsidP="00256215">
      <w:pPr>
        <w:pStyle w:val="Cuerpodelboletn"/>
        <w:rPr>
          <w:highlight w:val="yellow"/>
        </w:rPr>
      </w:pPr>
    </w:p>
    <w:p w:rsidR="005720B5" w:rsidRPr="005720B5" w:rsidRDefault="005720B5" w:rsidP="00F21A5A">
      <w:pPr>
        <w:spacing w:before="120" w:after="120"/>
        <w:ind w:left="425"/>
        <w:jc w:val="both"/>
        <w:rPr>
          <w:szCs w:val="24"/>
        </w:rPr>
      </w:pPr>
      <w:r w:rsidRPr="005720B5">
        <w:rPr>
          <w:szCs w:val="24"/>
        </w:rPr>
        <w:t>El CTBG</w:t>
      </w:r>
      <w:r w:rsidR="00F21A5A">
        <w:rPr>
          <w:szCs w:val="24"/>
        </w:rPr>
        <w:t xml:space="preserve"> no</w:t>
      </w:r>
      <w:r w:rsidRPr="005720B5">
        <w:rPr>
          <w:szCs w:val="24"/>
        </w:rPr>
        <w:t xml:space="preserve"> ha recibido reclamaciones contra resoluciones </w:t>
      </w:r>
      <w:r w:rsidR="00A322B3">
        <w:rPr>
          <w:szCs w:val="24"/>
        </w:rPr>
        <w:t xml:space="preserve">de ISDEFE </w:t>
      </w:r>
      <w:r w:rsidRPr="005720B5">
        <w:rPr>
          <w:szCs w:val="24"/>
        </w:rPr>
        <w:t xml:space="preserve"> en materia de acceso a la información pública. </w:t>
      </w:r>
    </w:p>
    <w:p w:rsidR="005720B5" w:rsidRPr="00296731" w:rsidRDefault="005720B5" w:rsidP="00DF6C30">
      <w:pPr>
        <w:pStyle w:val="Cuerpodelboletn"/>
        <w:spacing w:before="120" w:after="120" w:line="276" w:lineRule="auto"/>
        <w:ind w:left="425"/>
        <w:rPr>
          <w:highlight w:val="yellow"/>
        </w:rPr>
      </w:pPr>
    </w:p>
    <w:p w:rsidR="001F251B" w:rsidRPr="00AA1248" w:rsidRDefault="00A322B3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AA1248">
            <w:rPr>
              <w:b/>
              <w:color w:val="00642D"/>
              <w:sz w:val="30"/>
              <w:szCs w:val="30"/>
            </w:rPr>
            <w:t xml:space="preserve">V. Buenas prácticas </w:t>
          </w:r>
        </w:sdtContent>
      </w:sdt>
    </w:p>
    <w:p w:rsidR="00A52CEF" w:rsidRPr="00AA1248" w:rsidRDefault="00A322B3" w:rsidP="00A52CEF">
      <w:pPr>
        <w:spacing w:before="120" w:after="120"/>
        <w:ind w:left="426"/>
        <w:jc w:val="both"/>
      </w:pPr>
      <w:r>
        <w:t>ISDEFE</w:t>
      </w:r>
      <w:r w:rsidR="00A52CEF" w:rsidRPr="00AA1248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 w:rsidRPr="00AA1248">
        <w:t>La disponibilidad de un espacio específico para el ejercicio del derecho de acceso.</w:t>
      </w:r>
    </w:p>
    <w:p w:rsidR="00F21A5A" w:rsidRDefault="00F21A5A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La </w:t>
      </w:r>
      <w:r w:rsidR="00097907">
        <w:t>publicación de la guía ciudadana de derecho de acceso.</w:t>
      </w:r>
    </w:p>
    <w:p w:rsidR="00F21A5A" w:rsidRPr="00AA1248" w:rsidRDefault="00F21A5A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La </w:t>
      </w:r>
      <w:r w:rsidR="00097907">
        <w:t xml:space="preserve">publicación de </w:t>
      </w:r>
      <w:r>
        <w:t xml:space="preserve">información </w:t>
      </w:r>
      <w:r w:rsidR="00097907">
        <w:t>estadística sobre las solicitudes de acceso a información pública recibidas</w:t>
      </w:r>
      <w:r>
        <w:t>.</w:t>
      </w:r>
    </w:p>
    <w:p w:rsidR="00AA1248" w:rsidRDefault="00AA1248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A322B3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F21A5A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Según informa </w:t>
      </w:r>
      <w:r w:rsidR="00A322B3">
        <w:rPr>
          <w:bCs/>
        </w:rPr>
        <w:t>ISDEFE</w:t>
      </w:r>
      <w:r>
        <w:rPr>
          <w:bCs/>
        </w:rPr>
        <w:t>, en 2022 se recibieron</w:t>
      </w:r>
      <w:r w:rsidR="00097907">
        <w:rPr>
          <w:bCs/>
        </w:rPr>
        <w:t xml:space="preserve"> un total de </w:t>
      </w:r>
      <w:r w:rsidR="00A322B3">
        <w:rPr>
          <w:bCs/>
        </w:rPr>
        <w:t>dos</w:t>
      </w:r>
      <w:r>
        <w:rPr>
          <w:bCs/>
        </w:rPr>
        <w:t xml:space="preserve"> solicitudes de acceso a información pública de la </w:t>
      </w:r>
      <w:r w:rsidR="00097907">
        <w:rPr>
          <w:bCs/>
        </w:rPr>
        <w:t xml:space="preserve">entidad. Todas fueron tramitadas y admitidas. Se concedió acceso parcial a la información mediante resolución expresa en </w:t>
      </w:r>
      <w:r w:rsidR="00A322B3">
        <w:rPr>
          <w:bCs/>
        </w:rPr>
        <w:t>una</w:t>
      </w:r>
      <w:r w:rsidR="00097907">
        <w:rPr>
          <w:bCs/>
        </w:rPr>
        <w:t xml:space="preserve"> ocasi</w:t>
      </w:r>
      <w:r w:rsidR="00A322B3">
        <w:rPr>
          <w:bCs/>
        </w:rPr>
        <w:t>ón</w:t>
      </w:r>
      <w:r w:rsidR="00097907">
        <w:rPr>
          <w:bCs/>
        </w:rPr>
        <w:t xml:space="preserve">, mientras que en otra </w:t>
      </w:r>
      <w:r w:rsidR="00A322B3">
        <w:rPr>
          <w:bCs/>
        </w:rPr>
        <w:t>el acceso fue total</w:t>
      </w:r>
    </w:p>
    <w:p w:rsidR="00A322B3" w:rsidRDefault="00A322B3" w:rsidP="00F34803">
      <w:pPr>
        <w:pStyle w:val="Prrafodelista"/>
        <w:ind w:left="644"/>
        <w:jc w:val="both"/>
        <w:rPr>
          <w:bCs/>
        </w:rPr>
      </w:pPr>
    </w:p>
    <w:p w:rsidR="005D006A" w:rsidRDefault="00A322B3" w:rsidP="005D006A">
      <w:pPr>
        <w:pStyle w:val="Prrafodelista"/>
        <w:ind w:left="644"/>
        <w:jc w:val="both"/>
        <w:rPr>
          <w:bCs/>
        </w:rPr>
      </w:pPr>
      <w:r>
        <w:rPr>
          <w:bCs/>
        </w:rPr>
        <w:t>ISDEFE</w:t>
      </w:r>
      <w:r w:rsidR="005D006A" w:rsidRPr="00D74E79">
        <w:rPr>
          <w:bCs/>
        </w:rPr>
        <w:t xml:space="preserve"> publica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A322B3" w:rsidRDefault="00A322B3" w:rsidP="00A322B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bCs/>
        </w:rPr>
      </w:pPr>
      <w:r w:rsidRPr="00A322B3">
        <w:rPr>
          <w:bCs/>
        </w:rPr>
        <w:t xml:space="preserve">Aunque la gestión de las solicitudes de acceso a información de </w:t>
      </w:r>
      <w:r>
        <w:rPr>
          <w:bCs/>
        </w:rPr>
        <w:t>ISDEFE</w:t>
      </w:r>
      <w:r w:rsidRPr="00A322B3">
        <w:rPr>
          <w:bCs/>
        </w:rPr>
        <w:t xml:space="preserve"> se canalice a través del Portal de Trasparencia de la AGE y éste publique las resoluciones denegatorias, la entidad debería publicar en su Portal de Transparencia esta información, según lo dispuesto por el artículo 14.3 de la LTAIBG.</w:t>
      </w:r>
    </w:p>
    <w:p w:rsidR="00A322B3" w:rsidRPr="00A322B3" w:rsidRDefault="00A322B3" w:rsidP="00A322B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bCs/>
        </w:rPr>
      </w:pPr>
    </w:p>
    <w:p w:rsidR="00A322B3" w:rsidRDefault="00A322B3" w:rsidP="00A322B3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bCs/>
        </w:rPr>
      </w:pPr>
      <w:r w:rsidRPr="00A322B3">
        <w:rPr>
          <w:bCs/>
        </w:rPr>
        <w:t xml:space="preserve">El problema que lleva a este CTBG a plantear esta recomendación, es que el Portal, publica las resoluciones denegatorias por aplicación de los límites del artículo 14 para el conjunto de Ministerios, y no permite la búsqueda por organismo o entidad dependiente o vinculada, lo que implica que la búsqueda de registros en el </w:t>
      </w:r>
      <w:proofErr w:type="spellStart"/>
      <w:r w:rsidRPr="00A322B3">
        <w:rPr>
          <w:bCs/>
        </w:rPr>
        <w:t>excel</w:t>
      </w:r>
      <w:proofErr w:type="spellEnd"/>
      <w:r w:rsidRPr="00A322B3">
        <w:rPr>
          <w:bCs/>
        </w:rPr>
        <w:t xml:space="preserve"> que se proporciona deba efectuarse por el Ministerio de adscripción de la entidad, información de la que no siempre dispone la ciudadanía. </w:t>
      </w:r>
    </w:p>
    <w:p w:rsidR="00DE6A97" w:rsidRDefault="00DE6A97" w:rsidP="00F34803">
      <w:pPr>
        <w:pStyle w:val="Prrafodelista"/>
        <w:ind w:left="644"/>
      </w:pPr>
    </w:p>
    <w:p w:rsidR="00A322B3" w:rsidRDefault="00A322B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A322B3">
        <w:t>ISDEFE</w:t>
      </w:r>
      <w:r w:rsidR="005D006A">
        <w:t xml:space="preserve"> 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DE6A97">
        <w:t>S</w:t>
      </w:r>
      <w:r w:rsidR="005D006A">
        <w:t xml:space="preserve">e informa sobre la posibilidad de que los ciudadanos efectúen solicitudes de acceso a información pública dirigidas a la entidad y </w:t>
      </w:r>
      <w:r w:rsidR="00DE6A97">
        <w:t>también</w:t>
      </w:r>
      <w:r w:rsidR="005D006A">
        <w:t xml:space="preserve"> sobre los medios</w:t>
      </w:r>
      <w:r w:rsidR="00DE6A97">
        <w:t xml:space="preserve"> de presentación de solicitudes y los </w:t>
      </w:r>
      <w:r w:rsidR="005D006A">
        <w:t xml:space="preserve"> requisitos </w:t>
      </w:r>
      <w:r w:rsidR="00DE6A97">
        <w:t xml:space="preserve">exigidos. </w:t>
      </w:r>
      <w:r w:rsidR="00F21A5A">
        <w:t>También se</w:t>
      </w:r>
      <w:r w:rsidR="00DE6A97">
        <w:t xml:space="preserve"> </w:t>
      </w:r>
      <w:r w:rsidR="00097907">
        <w:t>proporciona la guía ciudadana de derecho de acceso.</w:t>
      </w:r>
      <w:r w:rsidR="00DE6A97">
        <w:t xml:space="preserve"> </w:t>
      </w:r>
    </w:p>
    <w:p w:rsidR="00A52CEF" w:rsidRDefault="00A52CEF" w:rsidP="00A52CEF">
      <w:pPr>
        <w:pStyle w:val="Prrafodelista"/>
        <w:ind w:left="644"/>
        <w:jc w:val="both"/>
      </w:pPr>
    </w:p>
    <w:p w:rsidR="009D7822" w:rsidRDefault="00A52CEF" w:rsidP="00A52CEF">
      <w:pPr>
        <w:pStyle w:val="Prrafodelista"/>
        <w:ind w:left="644"/>
        <w:jc w:val="both"/>
      </w:pPr>
      <w:r>
        <w:t xml:space="preserve">Como canales de presentación, se alude expresamente </w:t>
      </w:r>
      <w:r w:rsidR="00097907">
        <w:t xml:space="preserve">al Portal de Transparencia de la AGE, pero no se informa sobre los medios de contacto general con las administraciones públicas. </w:t>
      </w:r>
    </w:p>
    <w:p w:rsidR="00236782" w:rsidRPr="009D7822" w:rsidRDefault="00236782" w:rsidP="0023678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 w:rsidRPr="009D7822"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 xml:space="preserve">procedimiento el medio elegido, por lo que sería conveniente que se informase a los ciudadanos sobre esta cuestión. </w:t>
      </w:r>
    </w:p>
    <w:p w:rsidR="00236782" w:rsidRPr="009D7822" w:rsidRDefault="00236782" w:rsidP="00236782">
      <w:pPr>
        <w:ind w:left="644"/>
        <w:contextualSpacing/>
        <w:jc w:val="both"/>
      </w:pPr>
    </w:p>
    <w:p w:rsidR="001A76FF" w:rsidRDefault="001A76FF" w:rsidP="00A52CEF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236782" w:rsidRPr="00393F8C" w:rsidRDefault="00236782" w:rsidP="00236782">
      <w:pPr>
        <w:pStyle w:val="Prrafodelista"/>
        <w:ind w:left="426"/>
        <w:jc w:val="both"/>
      </w:pPr>
      <w:r w:rsidRPr="00393F8C">
        <w:t xml:space="preserve">La gestión de la solicitud de acceso presentada se ha ajustado al procedimiento establecido por la LTAIBG. La resolución </w:t>
      </w:r>
      <w:r>
        <w:t>dictada</w:t>
      </w:r>
      <w:r w:rsidRPr="00393F8C">
        <w:t xml:space="preserve"> </w:t>
      </w:r>
      <w:r>
        <w:t xml:space="preserve">por </w:t>
      </w:r>
      <w:r w:rsidRPr="00393F8C">
        <w:rPr>
          <w:lang w:bidi="es-ES"/>
        </w:rPr>
        <w:t xml:space="preserve">el </w:t>
      </w:r>
      <w:r w:rsidR="00A322B3">
        <w:rPr>
          <w:lang w:bidi="es-ES"/>
        </w:rPr>
        <w:t>Consejero Delegado</w:t>
      </w:r>
      <w:r w:rsidRPr="00393F8C">
        <w:t xml:space="preserve"> está motivada y correctamente estructurada, es clara y comprensible e</w:t>
      </w:r>
      <w:r>
        <w:t xml:space="preserve"> incluye pie de recurso.</w:t>
      </w:r>
    </w:p>
    <w:p w:rsidR="00236782" w:rsidRDefault="00236782" w:rsidP="00236782">
      <w:pPr>
        <w:tabs>
          <w:tab w:val="left" w:pos="426"/>
        </w:tabs>
        <w:ind w:left="426"/>
        <w:contextualSpacing/>
        <w:jc w:val="both"/>
      </w:pPr>
      <w:r w:rsidRPr="00393F8C">
        <w:t>La información se proporciona en el momento de la notificación aunque no en el formato solicitado</w:t>
      </w:r>
      <w:r w:rsidR="00A322B3">
        <w:t>, lo que es coherente con el hecho de que no había habido actividad en el ámbito material al que se refería la solicitud de información.</w:t>
      </w:r>
    </w:p>
    <w:p w:rsidR="007B7889" w:rsidRDefault="007B7889" w:rsidP="007B7889">
      <w:pPr>
        <w:pStyle w:val="Prrafodelista"/>
        <w:ind w:left="7724" w:firstLine="64"/>
        <w:jc w:val="both"/>
      </w:pPr>
      <w:r>
        <w:t xml:space="preserve">Madrid, </w:t>
      </w:r>
      <w:r w:rsidR="009D7822">
        <w:t>ju</w:t>
      </w:r>
      <w:r w:rsidR="00A322B3">
        <w:t>l</w:t>
      </w:r>
      <w:r w:rsidR="009D7822">
        <w:t>io</w:t>
      </w:r>
      <w:r>
        <w:t xml:space="preserve"> de 2023</w:t>
      </w:r>
    </w:p>
    <w:sectPr w:rsidR="007B7889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07" w:rsidRDefault="00097907" w:rsidP="00932008">
      <w:pPr>
        <w:spacing w:after="0" w:line="240" w:lineRule="auto"/>
      </w:pPr>
      <w:r>
        <w:separator/>
      </w:r>
    </w:p>
  </w:endnote>
  <w:endnote w:type="continuationSeparator" w:id="0">
    <w:p w:rsidR="00097907" w:rsidRDefault="0009790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97907" w:rsidRPr="00C533E7" w:rsidRDefault="0009790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A322B3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097907" w:rsidRDefault="000979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07" w:rsidRDefault="00097907" w:rsidP="00932008">
      <w:pPr>
        <w:spacing w:after="0" w:line="240" w:lineRule="auto"/>
      </w:pPr>
      <w:r>
        <w:separator/>
      </w:r>
    </w:p>
  </w:footnote>
  <w:footnote w:type="continuationSeparator" w:id="0">
    <w:p w:rsidR="00097907" w:rsidRDefault="0009790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29" type="#_x0000_t75" style="width:9.2pt;height:9.2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97907"/>
    <w:rsid w:val="000A1C07"/>
    <w:rsid w:val="000B0A0D"/>
    <w:rsid w:val="000B2A81"/>
    <w:rsid w:val="000C6CFF"/>
    <w:rsid w:val="00102733"/>
    <w:rsid w:val="00124B64"/>
    <w:rsid w:val="001252EE"/>
    <w:rsid w:val="0012783F"/>
    <w:rsid w:val="001561A4"/>
    <w:rsid w:val="00176A94"/>
    <w:rsid w:val="00194000"/>
    <w:rsid w:val="001A76FF"/>
    <w:rsid w:val="001B3D6A"/>
    <w:rsid w:val="001C238B"/>
    <w:rsid w:val="001E1C29"/>
    <w:rsid w:val="001F251B"/>
    <w:rsid w:val="001F25E4"/>
    <w:rsid w:val="002260CC"/>
    <w:rsid w:val="00236782"/>
    <w:rsid w:val="00236AF5"/>
    <w:rsid w:val="00241D7A"/>
    <w:rsid w:val="00255A7E"/>
    <w:rsid w:val="00256215"/>
    <w:rsid w:val="002615D8"/>
    <w:rsid w:val="0026281C"/>
    <w:rsid w:val="00296731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A260E"/>
    <w:rsid w:val="003B5288"/>
    <w:rsid w:val="003F271E"/>
    <w:rsid w:val="003F572A"/>
    <w:rsid w:val="004058F8"/>
    <w:rsid w:val="00411640"/>
    <w:rsid w:val="00447511"/>
    <w:rsid w:val="004537FB"/>
    <w:rsid w:val="004A123A"/>
    <w:rsid w:val="004A133A"/>
    <w:rsid w:val="004A1E93"/>
    <w:rsid w:val="004A706B"/>
    <w:rsid w:val="004B4DC3"/>
    <w:rsid w:val="004D6E73"/>
    <w:rsid w:val="004E58B7"/>
    <w:rsid w:val="004F2655"/>
    <w:rsid w:val="00531D64"/>
    <w:rsid w:val="005446A8"/>
    <w:rsid w:val="00561402"/>
    <w:rsid w:val="005720B5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0995"/>
    <w:rsid w:val="00727BA2"/>
    <w:rsid w:val="00741849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32D4F"/>
    <w:rsid w:val="00833900"/>
    <w:rsid w:val="00835A1E"/>
    <w:rsid w:val="00844FA9"/>
    <w:rsid w:val="008839AB"/>
    <w:rsid w:val="008C1E1E"/>
    <w:rsid w:val="00904E47"/>
    <w:rsid w:val="00923092"/>
    <w:rsid w:val="009239D9"/>
    <w:rsid w:val="00930638"/>
    <w:rsid w:val="00931DA6"/>
    <w:rsid w:val="00932008"/>
    <w:rsid w:val="009609E9"/>
    <w:rsid w:val="0096522C"/>
    <w:rsid w:val="00983919"/>
    <w:rsid w:val="009913A5"/>
    <w:rsid w:val="009D7822"/>
    <w:rsid w:val="00A077E8"/>
    <w:rsid w:val="00A322B3"/>
    <w:rsid w:val="00A351F7"/>
    <w:rsid w:val="00A41DD5"/>
    <w:rsid w:val="00A52CEF"/>
    <w:rsid w:val="00A544D3"/>
    <w:rsid w:val="00A8003E"/>
    <w:rsid w:val="00A915A2"/>
    <w:rsid w:val="00AA1248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45FB7"/>
    <w:rsid w:val="00C533E7"/>
    <w:rsid w:val="00C5744D"/>
    <w:rsid w:val="00C627FB"/>
    <w:rsid w:val="00CB5511"/>
    <w:rsid w:val="00CB7518"/>
    <w:rsid w:val="00CC2049"/>
    <w:rsid w:val="00CC3BC5"/>
    <w:rsid w:val="00CC587B"/>
    <w:rsid w:val="00CC610D"/>
    <w:rsid w:val="00CD0605"/>
    <w:rsid w:val="00D246A4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85A64"/>
    <w:rsid w:val="00ED23E9"/>
    <w:rsid w:val="00ED3EAD"/>
    <w:rsid w:val="00ED4A93"/>
    <w:rsid w:val="00EE3509"/>
    <w:rsid w:val="00EE5BDF"/>
    <w:rsid w:val="00F14DA4"/>
    <w:rsid w:val="00F21A5A"/>
    <w:rsid w:val="00F34803"/>
    <w:rsid w:val="00F47C3B"/>
    <w:rsid w:val="00F50AE2"/>
    <w:rsid w:val="00F65BF4"/>
    <w:rsid w:val="00F71D7D"/>
    <w:rsid w:val="00F7263F"/>
    <w:rsid w:val="00F76499"/>
    <w:rsid w:val="00F900E1"/>
    <w:rsid w:val="00F95C49"/>
    <w:rsid w:val="00FB642E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4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4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17E39"/>
    <w:rsid w:val="003D088C"/>
    <w:rsid w:val="003F4D90"/>
    <w:rsid w:val="004437AC"/>
    <w:rsid w:val="00543A52"/>
    <w:rsid w:val="00546DCA"/>
    <w:rsid w:val="00602B9C"/>
    <w:rsid w:val="006D7969"/>
    <w:rsid w:val="00732E07"/>
    <w:rsid w:val="0087096B"/>
    <w:rsid w:val="00A80EAD"/>
    <w:rsid w:val="00AB1850"/>
    <w:rsid w:val="00AB757F"/>
    <w:rsid w:val="00C20906"/>
    <w:rsid w:val="00C26568"/>
    <w:rsid w:val="00C60DC9"/>
    <w:rsid w:val="00CA3FCC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8420D-EB9D-4546-86A7-6F7D7423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</TotalTime>
  <Pages>4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2023-07-04T12:04:00Z</dcterms:created>
  <dcterms:modified xsi:type="dcterms:W3CDTF">2023-07-04T12:21:00Z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