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690AD5" w:rsidRPr="00006957" w:rsidRDefault="00690AD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690AD5" w:rsidRPr="00006957" w:rsidRDefault="00690AD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90AD5" w:rsidRDefault="00690AD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690AD5" w:rsidRDefault="00690AD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D031DD" w:rsidP="002A3BD9">
            <w:pPr>
              <w:rPr>
                <w:sz w:val="24"/>
                <w:szCs w:val="24"/>
              </w:rPr>
            </w:pPr>
            <w:r>
              <w:rPr>
                <w:sz w:val="24"/>
                <w:szCs w:val="24"/>
              </w:rPr>
              <w:t xml:space="preserve">Fundación Centro de Estudios Monetarios </w:t>
            </w:r>
            <w:r w:rsidR="009D5FD0">
              <w:rPr>
                <w:sz w:val="24"/>
                <w:szCs w:val="24"/>
              </w:rPr>
              <w:t xml:space="preserve">y Financieros </w:t>
            </w:r>
            <w:r>
              <w:rPr>
                <w:sz w:val="24"/>
                <w:szCs w:val="24"/>
              </w:rPr>
              <w:t>(CEMFI)</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690AD5">
            <w:pPr>
              <w:rPr>
                <w:sz w:val="24"/>
                <w:szCs w:val="24"/>
              </w:rPr>
            </w:pPr>
            <w:r>
              <w:rPr>
                <w:sz w:val="24"/>
                <w:szCs w:val="24"/>
              </w:rPr>
              <w:t>08/03/</w:t>
            </w:r>
            <w:r w:rsidR="00D031DD">
              <w:rPr>
                <w:sz w:val="24"/>
                <w:szCs w:val="24"/>
              </w:rPr>
              <w:t xml:space="preserve"> 2023</w:t>
            </w:r>
          </w:p>
          <w:p w:rsidR="00690AD5" w:rsidRPr="00CB5511" w:rsidRDefault="00690AD5">
            <w:pPr>
              <w:rPr>
                <w:sz w:val="24"/>
                <w:szCs w:val="24"/>
              </w:rPr>
            </w:pPr>
            <w:r>
              <w:rPr>
                <w:sz w:val="24"/>
                <w:szCs w:val="24"/>
              </w:rPr>
              <w:t>Segunda revisión: 27/04/2023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D031DD">
            <w:pPr>
              <w:rPr>
                <w:sz w:val="24"/>
                <w:szCs w:val="24"/>
              </w:rPr>
            </w:pPr>
            <w:r w:rsidRPr="00D031DD">
              <w:rPr>
                <w:sz w:val="24"/>
                <w:szCs w:val="24"/>
              </w:rPr>
              <w:t>https://www.cemfi.es/index.asp</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D031DD">
        <w:tc>
          <w:tcPr>
            <w:tcW w:w="1760" w:type="dxa"/>
            <w:shd w:val="clear" w:color="auto" w:fill="4D7F52"/>
          </w:tcPr>
          <w:p w:rsidR="00C43711" w:rsidRPr="00F14DA4" w:rsidRDefault="00C43711" w:rsidP="00D031D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D031D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D031DD">
            <w:pPr>
              <w:jc w:val="center"/>
              <w:rPr>
                <w:color w:val="FFFFFF" w:themeColor="background1"/>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2.1.a</w:t>
            </w:r>
            <w:proofErr w:type="spellEnd"/>
          </w:p>
        </w:tc>
        <w:tc>
          <w:tcPr>
            <w:tcW w:w="8129" w:type="dxa"/>
          </w:tcPr>
          <w:p w:rsidR="00C43711" w:rsidRPr="00F14DA4" w:rsidRDefault="00C43711" w:rsidP="00D031D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Default="00C43711" w:rsidP="00D031DD">
            <w:pPr>
              <w:rPr>
                <w:sz w:val="20"/>
                <w:szCs w:val="20"/>
              </w:rPr>
            </w:pPr>
            <w:proofErr w:type="spellStart"/>
            <w:r>
              <w:rPr>
                <w:sz w:val="20"/>
                <w:szCs w:val="20"/>
              </w:rPr>
              <w:t>2.1.a.1</w:t>
            </w:r>
            <w:proofErr w:type="spellEnd"/>
          </w:p>
        </w:tc>
        <w:tc>
          <w:tcPr>
            <w:tcW w:w="8129" w:type="dxa"/>
          </w:tcPr>
          <w:p w:rsidR="00C43711" w:rsidRDefault="00C43711" w:rsidP="00D031D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2.1.b</w:t>
            </w:r>
            <w:proofErr w:type="spellEnd"/>
          </w:p>
        </w:tc>
        <w:tc>
          <w:tcPr>
            <w:tcW w:w="8129" w:type="dxa"/>
          </w:tcPr>
          <w:p w:rsidR="00C43711" w:rsidRPr="00F14DA4" w:rsidRDefault="00C43711" w:rsidP="00D031D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2.1.c</w:t>
            </w:r>
            <w:proofErr w:type="spellEnd"/>
          </w:p>
        </w:tc>
        <w:tc>
          <w:tcPr>
            <w:tcW w:w="8129" w:type="dxa"/>
          </w:tcPr>
          <w:p w:rsidR="00C43711" w:rsidRPr="00F14DA4" w:rsidRDefault="00C43711" w:rsidP="00D031D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2.1.d</w:t>
            </w:r>
            <w:proofErr w:type="spellEnd"/>
          </w:p>
        </w:tc>
        <w:tc>
          <w:tcPr>
            <w:tcW w:w="8129" w:type="dxa"/>
          </w:tcPr>
          <w:p w:rsidR="00C43711" w:rsidRPr="00F14DA4" w:rsidRDefault="00C43711" w:rsidP="00D031D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2.1.e</w:t>
            </w:r>
            <w:proofErr w:type="spellEnd"/>
          </w:p>
        </w:tc>
        <w:tc>
          <w:tcPr>
            <w:tcW w:w="8129" w:type="dxa"/>
          </w:tcPr>
          <w:p w:rsidR="00C43711" w:rsidRPr="00F14DA4" w:rsidRDefault="00C43711" w:rsidP="00D031D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Default="00C43711" w:rsidP="00D031DD">
            <w:pPr>
              <w:rPr>
                <w:sz w:val="20"/>
                <w:szCs w:val="20"/>
              </w:rPr>
            </w:pPr>
            <w:proofErr w:type="spellStart"/>
            <w:r>
              <w:rPr>
                <w:sz w:val="20"/>
                <w:szCs w:val="20"/>
              </w:rPr>
              <w:t>2.1.f</w:t>
            </w:r>
            <w:proofErr w:type="spellEnd"/>
          </w:p>
        </w:tc>
        <w:tc>
          <w:tcPr>
            <w:tcW w:w="8129" w:type="dxa"/>
          </w:tcPr>
          <w:p w:rsidR="00C43711" w:rsidRDefault="00C43711" w:rsidP="00D031DD">
            <w:pPr>
              <w:rPr>
                <w:sz w:val="20"/>
                <w:szCs w:val="20"/>
              </w:rPr>
            </w:pPr>
            <w:r>
              <w:rPr>
                <w:sz w:val="20"/>
                <w:szCs w:val="20"/>
              </w:rPr>
              <w:t>Órganos constitucionales o de relevancia constitucional</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2.1.g</w:t>
            </w:r>
            <w:proofErr w:type="spellEnd"/>
          </w:p>
        </w:tc>
        <w:tc>
          <w:tcPr>
            <w:tcW w:w="8129" w:type="dxa"/>
          </w:tcPr>
          <w:p w:rsidR="00C43711" w:rsidRPr="00F14DA4" w:rsidRDefault="00C43711" w:rsidP="002A3BD9">
            <w:pPr>
              <w:rPr>
                <w:sz w:val="20"/>
                <w:szCs w:val="20"/>
              </w:rPr>
            </w:pPr>
            <w:r>
              <w:rPr>
                <w:sz w:val="20"/>
                <w:szCs w:val="20"/>
              </w:rPr>
              <w:t xml:space="preserve">Sociedades Mercantiles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2.1.h</w:t>
            </w:r>
            <w:proofErr w:type="spellEnd"/>
          </w:p>
        </w:tc>
        <w:tc>
          <w:tcPr>
            <w:tcW w:w="8129" w:type="dxa"/>
          </w:tcPr>
          <w:p w:rsidR="00C43711" w:rsidRPr="00F14DA4" w:rsidRDefault="002A3BD9" w:rsidP="00D031DD">
            <w:pPr>
              <w:rPr>
                <w:sz w:val="20"/>
                <w:szCs w:val="20"/>
              </w:rPr>
            </w:pPr>
            <w:r>
              <w:rPr>
                <w:sz w:val="20"/>
                <w:szCs w:val="20"/>
              </w:rPr>
              <w:t>Fundaciones del Sector Público</w:t>
            </w:r>
          </w:p>
        </w:tc>
        <w:tc>
          <w:tcPr>
            <w:tcW w:w="709" w:type="dxa"/>
            <w:vAlign w:val="center"/>
          </w:tcPr>
          <w:p w:rsidR="00C43711" w:rsidRPr="004A123A" w:rsidRDefault="00D031DD" w:rsidP="00D031DD">
            <w:pPr>
              <w:jc w:val="center"/>
              <w:rPr>
                <w:b/>
                <w:sz w:val="20"/>
                <w:szCs w:val="20"/>
              </w:rPr>
            </w:pPr>
            <w:r>
              <w:rPr>
                <w:b/>
                <w:sz w:val="20"/>
                <w:szCs w:val="20"/>
              </w:rPr>
              <w:t>X</w:t>
            </w:r>
          </w:p>
        </w:tc>
      </w:tr>
      <w:tr w:rsidR="002A3BD9" w:rsidRPr="00F14DA4" w:rsidTr="00D031DD">
        <w:tc>
          <w:tcPr>
            <w:tcW w:w="1760" w:type="dxa"/>
          </w:tcPr>
          <w:p w:rsidR="002A3BD9" w:rsidRDefault="002A3BD9" w:rsidP="00D031DD">
            <w:pPr>
              <w:rPr>
                <w:sz w:val="20"/>
                <w:szCs w:val="20"/>
              </w:rPr>
            </w:pPr>
            <w:proofErr w:type="spellStart"/>
            <w:r>
              <w:rPr>
                <w:sz w:val="20"/>
                <w:szCs w:val="20"/>
              </w:rPr>
              <w:t>2.1.i</w:t>
            </w:r>
            <w:proofErr w:type="spellEnd"/>
          </w:p>
        </w:tc>
        <w:tc>
          <w:tcPr>
            <w:tcW w:w="8129" w:type="dxa"/>
          </w:tcPr>
          <w:p w:rsidR="002A3BD9" w:rsidRDefault="002A3BD9" w:rsidP="00D031D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3.a</w:t>
            </w:r>
            <w:proofErr w:type="spellEnd"/>
          </w:p>
        </w:tc>
        <w:tc>
          <w:tcPr>
            <w:tcW w:w="8129" w:type="dxa"/>
          </w:tcPr>
          <w:p w:rsidR="00C43711" w:rsidRPr="00F14DA4" w:rsidRDefault="00C43711" w:rsidP="00D031D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proofErr w:type="spellStart"/>
            <w:r>
              <w:rPr>
                <w:sz w:val="20"/>
                <w:szCs w:val="20"/>
              </w:rPr>
              <w:t>3.b</w:t>
            </w:r>
            <w:proofErr w:type="spellEnd"/>
          </w:p>
        </w:tc>
        <w:tc>
          <w:tcPr>
            <w:tcW w:w="8129" w:type="dxa"/>
          </w:tcPr>
          <w:p w:rsidR="00C43711" w:rsidRPr="00F14DA4" w:rsidRDefault="00C43711" w:rsidP="00D031D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D031DD">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27FAA" w:rsidP="005B6CF5">
            <w:pPr>
              <w:jc w:val="center"/>
              <w:rPr>
                <w:b/>
              </w:rPr>
            </w:pPr>
            <w:r>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D031D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D031D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D031D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3D6063">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3D6063" w:rsidP="005B6CF5">
            <w:pPr>
              <w:jc w:val="center"/>
              <w:rPr>
                <w:b/>
              </w:rPr>
            </w:pPr>
            <w:r>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D031D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D031D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D031D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D031D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D031D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570D9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D031DD" w:rsidP="00D031DD">
            <w:pPr>
              <w:rPr>
                <w:sz w:val="20"/>
                <w:szCs w:val="20"/>
              </w:rPr>
            </w:pPr>
            <w:r>
              <w:rPr>
                <w:sz w:val="20"/>
                <w:szCs w:val="20"/>
              </w:rPr>
              <w:t>El enlace al Portal de Transparencia se efectúa a través del apartado Transparencia del acceso Acerca de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D031DD"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031DD" w:rsidP="00CB5511">
            <w:pPr>
              <w:jc w:val="center"/>
              <w:rPr>
                <w:b/>
                <w:sz w:val="20"/>
                <w:szCs w:val="20"/>
              </w:rPr>
            </w:pPr>
            <w:r>
              <w:rPr>
                <w:b/>
                <w:sz w:val="20"/>
                <w:szCs w:val="20"/>
              </w:rPr>
              <w:t>X</w:t>
            </w:r>
          </w:p>
        </w:tc>
        <w:tc>
          <w:tcPr>
            <w:tcW w:w="3977" w:type="dxa"/>
            <w:vMerge w:val="restart"/>
          </w:tcPr>
          <w:p w:rsidR="00932008" w:rsidRDefault="00D031DD" w:rsidP="00D031DD">
            <w:pPr>
              <w:rPr>
                <w:sz w:val="20"/>
                <w:szCs w:val="20"/>
              </w:rPr>
            </w:pPr>
            <w:r>
              <w:rPr>
                <w:sz w:val="20"/>
                <w:szCs w:val="20"/>
              </w:rPr>
              <w:t xml:space="preserve">El Portal se estructura conforme a </w:t>
            </w:r>
            <w:r w:rsidR="00690AD5">
              <w:rPr>
                <w:sz w:val="20"/>
                <w:szCs w:val="20"/>
              </w:rPr>
              <w:t>los bloques</w:t>
            </w:r>
            <w:r>
              <w:rPr>
                <w:sz w:val="20"/>
                <w:szCs w:val="20"/>
              </w:rPr>
              <w:t xml:space="preserve"> de obligaciones que definen los artículos 6 y 8 de la LTAIBG. Se ha añadido un apartado específico de contratación y otro apartado, otra información de interés, que incluye un enlace al texto de la LTAIBG y un enlace al especio que se ha habilitado para la presentación de solicitudes de información pública de la entidad. </w:t>
            </w:r>
          </w:p>
          <w:p w:rsidR="005529B6" w:rsidRPr="00932008" w:rsidRDefault="005529B6" w:rsidP="00D031DD">
            <w:pPr>
              <w:rPr>
                <w:sz w:val="20"/>
                <w:szCs w:val="20"/>
              </w:rPr>
            </w:pPr>
            <w:r>
              <w:rPr>
                <w:sz w:val="20"/>
                <w:szCs w:val="20"/>
              </w:rPr>
              <w:t>Algunas informaciones obligatorias se localizan al margen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D031DD" w:rsidP="00D031DD">
      <w:pPr>
        <w:ind w:left="567"/>
      </w:pPr>
      <w:r w:rsidRPr="00D031DD">
        <w:rPr>
          <w:noProof/>
        </w:rPr>
        <w:drawing>
          <wp:inline distT="0" distB="0" distL="0" distR="0" wp14:anchorId="3A018E2A" wp14:editId="47DEE881">
            <wp:extent cx="5612130" cy="287972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879725"/>
                    </a:xfrm>
                    <a:prstGeom prst="rect">
                      <a:avLst/>
                    </a:prstGeom>
                  </pic:spPr>
                </pic:pic>
              </a:graphicData>
            </a:graphic>
          </wp:inline>
        </w:drawing>
      </w:r>
    </w:p>
    <w:p w:rsidR="00D031DD" w:rsidRDefault="00D031DD"/>
    <w:p w:rsidR="00D031DD" w:rsidRDefault="00D031DD"/>
    <w:p w:rsidR="00D031DD" w:rsidRDefault="00D031DD"/>
    <w:p w:rsidR="005E417A" w:rsidRDefault="005E417A"/>
    <w:p w:rsidR="005E417A" w:rsidRDefault="005E417A"/>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7C0E01" w:rsidRPr="00CB5511" w:rsidTr="00F47C3B">
        <w:tc>
          <w:tcPr>
            <w:tcW w:w="1591" w:type="dxa"/>
            <w:vMerge w:val="restart"/>
            <w:tcBorders>
              <w:right w:val="single" w:sz="4" w:space="0" w:color="00642D"/>
            </w:tcBorders>
            <w:shd w:val="clear" w:color="auto" w:fill="00642D"/>
            <w:textDirection w:val="btLr"/>
            <w:vAlign w:val="center"/>
          </w:tcPr>
          <w:p w:rsidR="007C0E01" w:rsidRPr="00E34195" w:rsidRDefault="007C0E01" w:rsidP="007C0E0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7C0E01" w:rsidRPr="00CB5511" w:rsidRDefault="007C0E01"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7C0E01" w:rsidRPr="00CB5511" w:rsidRDefault="007C0E01" w:rsidP="00D031D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7C0E01" w:rsidRPr="009D5FD0" w:rsidRDefault="007C0E01" w:rsidP="007C0E01">
            <w:pPr>
              <w:pStyle w:val="Cuerpodelboletn"/>
              <w:spacing w:before="120" w:after="120" w:line="312" w:lineRule="auto"/>
              <w:rPr>
                <w:bCs/>
                <w:color w:val="auto"/>
                <w:sz w:val="20"/>
                <w:szCs w:val="20"/>
              </w:rPr>
            </w:pPr>
            <w:r w:rsidRPr="009D5FD0">
              <w:rPr>
                <w:bCs/>
                <w:color w:val="auto"/>
                <w:sz w:val="20"/>
                <w:szCs w:val="20"/>
              </w:rPr>
              <w:t xml:space="preserve">Localizable a través del enlace con la misma denominación, de apartado Información Institucional, Organizativa y de Planificación del </w:t>
            </w:r>
            <w:r>
              <w:rPr>
                <w:bCs/>
                <w:color w:val="auto"/>
                <w:sz w:val="20"/>
                <w:szCs w:val="20"/>
              </w:rPr>
              <w:t>Portal de Transparencia</w:t>
            </w:r>
            <w:r w:rsidRPr="009D5FD0">
              <w:rPr>
                <w:bCs/>
                <w:color w:val="auto"/>
                <w:sz w:val="20"/>
                <w:szCs w:val="20"/>
              </w:rPr>
              <w:t>. No existen referencias a la fecha de la última revisión o actualización de la información</w:t>
            </w:r>
          </w:p>
        </w:tc>
      </w:tr>
      <w:tr w:rsidR="007C0E01" w:rsidRPr="00CB5511" w:rsidTr="00F47C3B">
        <w:trPr>
          <w:trHeight w:val="325"/>
        </w:trPr>
        <w:tc>
          <w:tcPr>
            <w:tcW w:w="1591" w:type="dxa"/>
            <w:vMerge/>
            <w:tcBorders>
              <w:right w:val="single" w:sz="4" w:space="0" w:color="00642D"/>
            </w:tcBorders>
            <w:shd w:val="clear" w:color="auto" w:fill="00642D"/>
          </w:tcPr>
          <w:p w:rsidR="007C0E01" w:rsidRPr="00E34195" w:rsidRDefault="007C0E01"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C0E01" w:rsidRPr="00CB5511" w:rsidRDefault="007C0E01"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7C0E01" w:rsidRPr="00CB5511" w:rsidRDefault="007C0E01"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7C0E01" w:rsidRPr="009D5FD0" w:rsidRDefault="007C0E01" w:rsidP="00E3088D">
            <w:pPr>
              <w:pStyle w:val="Cuerpodelboletn"/>
              <w:spacing w:before="120" w:after="120" w:line="312" w:lineRule="auto"/>
              <w:rPr>
                <w:bCs/>
                <w:color w:val="auto"/>
                <w:sz w:val="20"/>
                <w:szCs w:val="20"/>
              </w:rPr>
            </w:pPr>
            <w:r w:rsidRPr="009D5FD0">
              <w:rPr>
                <w:bCs/>
                <w:color w:val="auto"/>
                <w:sz w:val="20"/>
                <w:szCs w:val="20"/>
              </w:rPr>
              <w:t>Localizable a través del enlace Bienvenido al CEMFI del acceso Conócenos. La información no está datada y no existen referencias a la fecha de la última revisión o actualización de la información.</w:t>
            </w:r>
          </w:p>
        </w:tc>
      </w:tr>
      <w:tr w:rsidR="007C0E01" w:rsidRPr="00CB5511" w:rsidTr="00F47C3B">
        <w:trPr>
          <w:trHeight w:val="325"/>
        </w:trPr>
        <w:tc>
          <w:tcPr>
            <w:tcW w:w="1591" w:type="dxa"/>
            <w:vMerge/>
            <w:tcBorders>
              <w:right w:val="single" w:sz="4" w:space="0" w:color="00642D"/>
            </w:tcBorders>
            <w:shd w:val="clear" w:color="auto" w:fill="00642D"/>
          </w:tcPr>
          <w:p w:rsidR="007C0E01" w:rsidRPr="00E34195" w:rsidRDefault="007C0E01"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7C0E01" w:rsidRPr="00CB5511" w:rsidRDefault="007C0E01" w:rsidP="00CB5511">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7C0E01" w:rsidRPr="00CB5511" w:rsidRDefault="007C0E01"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7C0E01" w:rsidRPr="009D5FD0" w:rsidRDefault="007C0E01" w:rsidP="007C0E01">
            <w:pPr>
              <w:pStyle w:val="Cuerpodelboletn"/>
              <w:spacing w:before="120" w:after="120" w:line="312" w:lineRule="auto"/>
              <w:rPr>
                <w:bCs/>
                <w:color w:val="auto"/>
                <w:sz w:val="20"/>
                <w:szCs w:val="20"/>
              </w:rPr>
            </w:pPr>
            <w:r>
              <w:rPr>
                <w:bCs/>
                <w:color w:val="auto"/>
                <w:sz w:val="20"/>
                <w:szCs w:val="20"/>
              </w:rPr>
              <w:t xml:space="preserve">Localizable en el apartado </w:t>
            </w:r>
            <w:r w:rsidRPr="007C0E01">
              <w:rPr>
                <w:bCs/>
                <w:color w:val="auto"/>
                <w:sz w:val="20"/>
                <w:szCs w:val="20"/>
              </w:rPr>
              <w:t>Información Institucional, Organizativa y de Planificación del</w:t>
            </w:r>
            <w:r>
              <w:rPr>
                <w:bCs/>
                <w:color w:val="auto"/>
                <w:sz w:val="20"/>
                <w:szCs w:val="20"/>
              </w:rPr>
              <w:t xml:space="preserve"> Portal de Transparencia</w:t>
            </w:r>
            <w:r w:rsidRPr="007C0E01">
              <w:rPr>
                <w:bCs/>
                <w:color w:val="auto"/>
                <w:sz w:val="20"/>
                <w:szCs w:val="20"/>
              </w:rPr>
              <w:t xml:space="preserve">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5529B6" w:rsidP="00E3088D">
            <w:pPr>
              <w:pStyle w:val="Cuerpodelboletn"/>
              <w:spacing w:before="120" w:after="120" w:line="312" w:lineRule="auto"/>
              <w:rPr>
                <w:bCs/>
                <w:color w:val="auto"/>
                <w:sz w:val="20"/>
                <w:szCs w:val="20"/>
              </w:rPr>
            </w:pPr>
            <w:r w:rsidRPr="009D5FD0">
              <w:rPr>
                <w:bCs/>
                <w:color w:val="auto"/>
                <w:sz w:val="20"/>
                <w:szCs w:val="20"/>
              </w:rPr>
              <w:t>Localizable a través del enlace Órganos de Gobierno del acceso Conócenos. La información no está datada y 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5529B6" w:rsidP="00E3088D">
            <w:pPr>
              <w:pStyle w:val="Cuerpodelboletn"/>
              <w:spacing w:before="120" w:after="120" w:line="312" w:lineRule="auto"/>
              <w:rPr>
                <w:bCs/>
                <w:color w:val="auto"/>
                <w:sz w:val="20"/>
                <w:szCs w:val="20"/>
              </w:rPr>
            </w:pPr>
            <w:r w:rsidRPr="009D5FD0">
              <w:rPr>
                <w:bCs/>
                <w:color w:val="auto"/>
                <w:sz w:val="20"/>
                <w:szCs w:val="20"/>
              </w:rPr>
              <w:t xml:space="preserve">Localizable a través del enlace Funciones y Estructura organizativa del Portal de Transparencia. </w:t>
            </w:r>
            <w:r w:rsidR="00357641" w:rsidRPr="009D5FD0">
              <w:rPr>
                <w:bCs/>
                <w:color w:val="auto"/>
                <w:sz w:val="20"/>
                <w:szCs w:val="20"/>
              </w:rPr>
              <w:t xml:space="preserve">La información no está datada. </w:t>
            </w:r>
            <w:r w:rsidRPr="009D5FD0">
              <w:rPr>
                <w:bCs/>
                <w:color w:val="auto"/>
                <w:sz w:val="20"/>
                <w:szCs w:val="20"/>
              </w:rPr>
              <w:t>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5529B6" w:rsidP="00E3088D">
            <w:pPr>
              <w:pStyle w:val="Cuerpodelboletn"/>
              <w:spacing w:before="120" w:after="120" w:line="312" w:lineRule="auto"/>
              <w:rPr>
                <w:bCs/>
                <w:color w:val="auto"/>
                <w:sz w:val="20"/>
                <w:szCs w:val="20"/>
              </w:rPr>
            </w:pPr>
            <w:r w:rsidRPr="009D5FD0">
              <w:rPr>
                <w:bCs/>
                <w:color w:val="auto"/>
                <w:sz w:val="20"/>
                <w:szCs w:val="20"/>
              </w:rPr>
              <w:t>La información se proporciona en el organigrama. La información no está datada. No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5529B6" w:rsidP="00E3088D">
            <w:pPr>
              <w:pStyle w:val="Cuerpodelboletn"/>
              <w:spacing w:before="120" w:after="120" w:line="312" w:lineRule="auto"/>
              <w:rPr>
                <w:bCs/>
                <w:color w:val="auto"/>
                <w:sz w:val="20"/>
                <w:szCs w:val="20"/>
              </w:rPr>
            </w:pPr>
            <w:r w:rsidRPr="009D5FD0">
              <w:rPr>
                <w:bCs/>
                <w:color w:val="auto"/>
                <w:sz w:val="20"/>
                <w:szCs w:val="20"/>
              </w:rPr>
              <w:t>La información se proporciona en el organigrama. No existen referencias a la fecha de la última revisión o actualización de la información</w:t>
            </w:r>
          </w:p>
        </w:tc>
      </w:tr>
    </w:tbl>
    <w:p w:rsidR="001561A4" w:rsidRDefault="001561A4" w:rsidP="00E3088D">
      <w:pPr>
        <w:pStyle w:val="Cuerpodelboletn"/>
        <w:spacing w:before="120" w:after="120" w:line="312" w:lineRule="auto"/>
        <w:ind w:left="360"/>
        <w:rPr>
          <w:rStyle w:val="Ttulo2Car"/>
          <w:lang w:bidi="es-ES"/>
        </w:rPr>
      </w:pPr>
    </w:p>
    <w:p w:rsidR="005529B6" w:rsidRDefault="005529B6"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357641"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6AC6C1E6" wp14:editId="660983AC">
                <wp:simplePos x="0" y="0"/>
                <wp:positionH relativeFrom="column">
                  <wp:posOffset>228600</wp:posOffset>
                </wp:positionH>
                <wp:positionV relativeFrom="paragraph">
                  <wp:posOffset>147955</wp:posOffset>
                </wp:positionV>
                <wp:extent cx="5995035" cy="1403985"/>
                <wp:effectExtent l="0" t="0" r="24765" b="1968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403985"/>
                        </a:xfrm>
                        <a:prstGeom prst="rect">
                          <a:avLst/>
                        </a:prstGeom>
                        <a:solidFill>
                          <a:srgbClr val="FFFFFF"/>
                        </a:solidFill>
                        <a:ln w="9525">
                          <a:solidFill>
                            <a:srgbClr val="000000"/>
                          </a:solidFill>
                          <a:miter lim="800000"/>
                          <a:headEnd/>
                          <a:tailEnd/>
                        </a:ln>
                      </wps:spPr>
                      <wps:txbx>
                        <w:txbxContent>
                          <w:p w:rsidR="00690AD5" w:rsidRDefault="00690AD5" w:rsidP="00357641">
                            <w:pPr>
                              <w:rPr>
                                <w:b/>
                                <w:color w:val="00642D"/>
                              </w:rPr>
                            </w:pPr>
                            <w:r w:rsidRPr="00BD4582">
                              <w:rPr>
                                <w:b/>
                                <w:color w:val="00642D"/>
                              </w:rPr>
                              <w:t>Contenidos</w:t>
                            </w:r>
                          </w:p>
                          <w:p w:rsidR="00690AD5" w:rsidRDefault="00690AD5" w:rsidP="00357641">
                            <w:pPr>
                              <w:rPr>
                                <w:b/>
                                <w:color w:val="00642D"/>
                              </w:rPr>
                            </w:pPr>
                            <w:r>
                              <w:rPr>
                                <w:bCs/>
                                <w:szCs w:val="24"/>
                              </w:rPr>
                              <w:t>La información publicada recoge todos los contenidos obligatorios establecidos en los artículos 6 y 6 bis de la LTAIBG.</w:t>
                            </w:r>
                          </w:p>
                          <w:p w:rsidR="00690AD5" w:rsidRDefault="00690AD5" w:rsidP="00357641">
                            <w:pPr>
                              <w:rPr>
                                <w:b/>
                                <w:color w:val="00642D"/>
                              </w:rPr>
                            </w:pPr>
                            <w:r>
                              <w:rPr>
                                <w:b/>
                                <w:color w:val="00642D"/>
                              </w:rPr>
                              <w:t>Calidad de la Información</w:t>
                            </w:r>
                          </w:p>
                          <w:p w:rsidR="00690AD5" w:rsidRPr="00357641" w:rsidRDefault="00690AD5" w:rsidP="00357641">
                            <w:pPr>
                              <w:pStyle w:val="Prrafodelista"/>
                              <w:numPr>
                                <w:ilvl w:val="0"/>
                                <w:numId w:val="5"/>
                              </w:numPr>
                              <w:rPr>
                                <w:bCs/>
                                <w:szCs w:val="24"/>
                              </w:rPr>
                            </w:pPr>
                            <w:r w:rsidRPr="00357641">
                              <w:rPr>
                                <w:bCs/>
                                <w:szCs w:val="24"/>
                              </w:rPr>
                              <w:t>Gran parte de la información no está datada y no existen referencias 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18pt;margin-top:11.65pt;width:472.0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">
                <v:textbox style="mso-fit-shape-to-text:t">
                  <w:txbxContent>
                    <w:p w:rsidR="00690AD5" w:rsidRDefault="00690AD5" w:rsidP="00357641">
                      <w:pPr>
                        <w:rPr>
                          <w:b/>
                          <w:color w:val="00642D"/>
                        </w:rPr>
                      </w:pPr>
                      <w:r w:rsidRPr="00BD4582">
                        <w:rPr>
                          <w:b/>
                          <w:color w:val="00642D"/>
                        </w:rPr>
                        <w:t>Contenidos</w:t>
                      </w:r>
                    </w:p>
                    <w:p w:rsidR="00690AD5" w:rsidRDefault="00690AD5" w:rsidP="00357641">
                      <w:pPr>
                        <w:rPr>
                          <w:b/>
                          <w:color w:val="00642D"/>
                        </w:rPr>
                      </w:pPr>
                      <w:r>
                        <w:rPr>
                          <w:bCs/>
                          <w:szCs w:val="24"/>
                        </w:rPr>
                        <w:t>La información publicada recoge todos los contenidos obligatorios establecidos en los artículos 6 y 6 bis de la LTAIBG.</w:t>
                      </w:r>
                    </w:p>
                    <w:p w:rsidR="00690AD5" w:rsidRDefault="00690AD5" w:rsidP="00357641">
                      <w:pPr>
                        <w:rPr>
                          <w:b/>
                          <w:color w:val="00642D"/>
                        </w:rPr>
                      </w:pPr>
                      <w:r>
                        <w:rPr>
                          <w:b/>
                          <w:color w:val="00642D"/>
                        </w:rPr>
                        <w:t>Calidad de la Información</w:t>
                      </w:r>
                    </w:p>
                    <w:p w:rsidR="00690AD5" w:rsidRPr="00357641" w:rsidRDefault="00690AD5" w:rsidP="00357641">
                      <w:pPr>
                        <w:pStyle w:val="Prrafodelista"/>
                        <w:numPr>
                          <w:ilvl w:val="0"/>
                          <w:numId w:val="5"/>
                        </w:numPr>
                        <w:rPr>
                          <w:bCs/>
                          <w:szCs w:val="24"/>
                        </w:rPr>
                      </w:pPr>
                      <w:r w:rsidRPr="00357641">
                        <w:rPr>
                          <w:bCs/>
                          <w:szCs w:val="24"/>
                        </w:rPr>
                        <w:t>Gran parte de la información no está datada y no existen referencias a la fecha de la última revisión o actualización de la información.</w:t>
                      </w:r>
                    </w:p>
                  </w:txbxContent>
                </v:textbox>
              </v:shape>
            </w:pict>
          </mc:Fallback>
        </mc:AlternateContent>
      </w: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C33A23">
      <w:pPr>
        <w:pStyle w:val="Cuerpodelboletn"/>
        <w:spacing w:before="120" w:after="120" w:line="312" w:lineRule="auto"/>
        <w:ind w:left="360"/>
        <w:rPr>
          <w:rStyle w:val="Ttulo2Car"/>
          <w:color w:val="00642D"/>
          <w:lang w:bidi="es-ES"/>
        </w:rPr>
      </w:pPr>
    </w:p>
    <w:p w:rsidR="00C33A23" w:rsidRPr="00C33A23" w:rsidRDefault="00357641" w:rsidP="00C33A23">
      <w:pPr>
        <w:pStyle w:val="Cuerpodelboletn"/>
        <w:spacing w:before="120" w:after="120" w:line="312" w:lineRule="auto"/>
        <w:ind w:left="360"/>
        <w:rPr>
          <w:rStyle w:val="Ttulo2Car"/>
          <w:color w:val="00642D"/>
          <w:lang w:bidi="es-ES"/>
        </w:rPr>
      </w:pPr>
      <w:r>
        <w:rPr>
          <w:rStyle w:val="Ttulo2Car"/>
          <w:color w:val="00642D"/>
          <w:lang w:bidi="es-ES"/>
        </w:rPr>
        <w:t>I</w:t>
      </w:r>
      <w:r w:rsidR="00C33A23" w:rsidRPr="00C33A23">
        <w:rPr>
          <w:rStyle w:val="Ttulo2Car"/>
          <w:color w:val="00642D"/>
          <w:lang w:bidi="es-ES"/>
        </w:rPr>
        <w:t>I.</w:t>
      </w:r>
      <w:r w:rsidR="00DD58B3">
        <w:rPr>
          <w:rStyle w:val="Ttulo2Car"/>
          <w:color w:val="00642D"/>
          <w:lang w:bidi="es-ES"/>
        </w:rPr>
        <w:t>2</w:t>
      </w:r>
      <w:r w:rsidR="00C33A23" w:rsidRPr="00C33A23">
        <w:rPr>
          <w:rStyle w:val="Ttulo2Car"/>
          <w:color w:val="00642D"/>
          <w:lang w:bidi="es-ES"/>
        </w:rPr>
        <w:t xml:space="preserve"> Información </w:t>
      </w:r>
      <w:r w:rsidR="00C33A23">
        <w:rPr>
          <w:rStyle w:val="Ttulo2Car"/>
          <w:color w:val="00642D"/>
          <w:lang w:bidi="es-ES"/>
        </w:rPr>
        <w:t>Económica, Presupuestaria y Estadística</w:t>
      </w:r>
      <w:r w:rsidR="00C33A23" w:rsidRPr="00C33A23">
        <w:rPr>
          <w:rStyle w:val="Ttulo2Car"/>
          <w:color w:val="00642D"/>
          <w:lang w:bidi="es-ES"/>
        </w:rPr>
        <w:t>.</w:t>
      </w:r>
      <w:r w:rsidR="00C33A23"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9D5FD0" w:rsidTr="00357641">
        <w:trPr>
          <w:cantSplit/>
          <w:trHeight w:val="1612"/>
          <w:tblHeader/>
        </w:trPr>
        <w:tc>
          <w:tcPr>
            <w:tcW w:w="1024" w:type="dxa"/>
            <w:shd w:val="clear" w:color="auto" w:fill="00642D"/>
            <w:textDirection w:val="btLr"/>
            <w:vAlign w:val="center"/>
          </w:tcPr>
          <w:p w:rsidR="00C33A23" w:rsidRPr="009D5FD0"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9D5FD0" w:rsidRDefault="00C33A23" w:rsidP="00F47C3B">
            <w:pPr>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9D5FD0" w:rsidRDefault="00C33A23" w:rsidP="009609E9">
            <w:pPr>
              <w:pStyle w:val="Cuerpodelboletn"/>
              <w:spacing w:before="120" w:after="120" w:line="312" w:lineRule="auto"/>
              <w:ind w:left="113" w:right="113"/>
              <w:rPr>
                <w:rStyle w:val="Ttulo2Car"/>
                <w:color w:val="FFFFFF" w:themeColor="background1"/>
                <w:sz w:val="20"/>
                <w:szCs w:val="20"/>
                <w:lang w:bidi="es-ES"/>
              </w:rPr>
            </w:pPr>
            <w:r w:rsidRPr="009D5FD0">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C33A23" w:rsidRPr="009D5FD0" w:rsidRDefault="00C33A23" w:rsidP="009609E9">
            <w:pPr>
              <w:pStyle w:val="Cuerpodelboletn"/>
              <w:spacing w:before="120" w:after="120" w:line="312" w:lineRule="auto"/>
              <w:jc w:val="center"/>
              <w:rPr>
                <w:rStyle w:val="Ttulo2Car"/>
                <w:color w:val="FFFFFF" w:themeColor="background1"/>
                <w:sz w:val="20"/>
                <w:szCs w:val="20"/>
                <w:lang w:bidi="es-ES"/>
              </w:rPr>
            </w:pPr>
            <w:r w:rsidRPr="009D5FD0">
              <w:rPr>
                <w:rStyle w:val="Ttulo2Car"/>
                <w:color w:val="FFFFFF" w:themeColor="background1"/>
                <w:sz w:val="20"/>
                <w:szCs w:val="20"/>
                <w:lang w:bidi="es-ES"/>
              </w:rPr>
              <w:t>Observaciones</w:t>
            </w:r>
          </w:p>
        </w:tc>
      </w:tr>
      <w:tr w:rsidR="00C33A23" w:rsidRPr="009D5FD0" w:rsidTr="00357641">
        <w:tc>
          <w:tcPr>
            <w:tcW w:w="1024" w:type="dxa"/>
            <w:vMerge w:val="restart"/>
            <w:tcBorders>
              <w:right w:val="single" w:sz="4" w:space="0" w:color="00642D"/>
            </w:tcBorders>
            <w:shd w:val="clear" w:color="auto" w:fill="00642D"/>
            <w:textDirection w:val="btLr"/>
          </w:tcPr>
          <w:p w:rsidR="00C33A23" w:rsidRPr="009D5FD0"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CB543F">
            <w:pPr>
              <w:rPr>
                <w:rStyle w:val="Ttulo2Car"/>
                <w:b w:val="0"/>
                <w:color w:val="auto"/>
                <w:sz w:val="20"/>
                <w:szCs w:val="20"/>
                <w:lang w:bidi="es-ES"/>
              </w:rPr>
            </w:pPr>
            <w:r w:rsidRPr="009D5FD0">
              <w:rPr>
                <w:rStyle w:val="Ttulo2Car"/>
                <w:b w:val="0"/>
                <w:color w:val="auto"/>
                <w:sz w:val="20"/>
                <w:szCs w:val="20"/>
                <w:lang w:bidi="es-ES"/>
              </w:rPr>
              <w:t>Contratos adjudicados</w:t>
            </w:r>
            <w:r w:rsidR="00CB543F" w:rsidRPr="009D5FD0">
              <w:rPr>
                <w:rStyle w:val="Ttulo2Car"/>
                <w:b w:val="0"/>
                <w:color w:val="auto"/>
                <w:sz w:val="20"/>
                <w:szCs w:val="20"/>
                <w:lang w:bidi="es-ES"/>
              </w:rPr>
              <w:t xml:space="preserve"> </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D5FD0">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9609E9">
            <w:pPr>
              <w:pStyle w:val="Cuerpodelboletn"/>
              <w:spacing w:before="120" w:after="120" w:line="312" w:lineRule="auto"/>
              <w:rPr>
                <w:color w:val="auto"/>
                <w:sz w:val="20"/>
                <w:szCs w:val="20"/>
              </w:rPr>
            </w:pPr>
            <w:r w:rsidRPr="009D5FD0">
              <w:rPr>
                <w:color w:val="auto"/>
                <w:sz w:val="20"/>
                <w:szCs w:val="20"/>
              </w:rPr>
              <w:t>El</w:t>
            </w:r>
            <w:r>
              <w:rPr>
                <w:color w:val="auto"/>
                <w:sz w:val="20"/>
                <w:szCs w:val="20"/>
              </w:rPr>
              <w:t xml:space="preserve"> enlace Licitaciones y adjudicaciones, abre una página en la que se proporciona un enlace a la Plataforma de Contratación del Sector Público (PCSP). En este mismo espacio se publican enlaces directos a 4 licitaciones de 2022.</w:t>
            </w:r>
          </w:p>
        </w:tc>
      </w:tr>
      <w:tr w:rsidR="00C33A23" w:rsidRPr="009D5FD0" w:rsidTr="00357641">
        <w:tc>
          <w:tcPr>
            <w:tcW w:w="1024" w:type="dxa"/>
            <w:vMerge/>
            <w:tcBorders>
              <w:right w:val="single" w:sz="4" w:space="0" w:color="00642D"/>
            </w:tcBorders>
            <w:shd w:val="clear" w:color="auto" w:fill="00642D"/>
          </w:tcPr>
          <w:p w:rsidR="00C33A23" w:rsidRPr="009D5FD0"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C33A23">
            <w:pPr>
              <w:rPr>
                <w:rStyle w:val="Ttulo2Car"/>
                <w:b w:val="0"/>
                <w:color w:val="auto"/>
                <w:sz w:val="20"/>
                <w:szCs w:val="20"/>
                <w:lang w:bidi="es-ES"/>
              </w:rPr>
            </w:pPr>
            <w:r w:rsidRPr="009D5FD0">
              <w:rPr>
                <w:rStyle w:val="Ttulo2Car"/>
                <w:b w:val="0"/>
                <w:color w:val="auto"/>
                <w:sz w:val="20"/>
                <w:szCs w:val="20"/>
                <w:lang w:bidi="es-ES"/>
              </w:rPr>
              <w:t xml:space="preserve">Modificaciones  de contratos </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9609E9">
            <w:pPr>
              <w:pStyle w:val="Cuerpodelboletn"/>
              <w:spacing w:before="120" w:after="120" w:line="312" w:lineRule="auto"/>
              <w:rPr>
                <w:color w:val="auto"/>
                <w:sz w:val="20"/>
                <w:szCs w:val="20"/>
              </w:rPr>
            </w:pPr>
            <w:r>
              <w:rPr>
                <w:color w:val="auto"/>
                <w:sz w:val="20"/>
                <w:szCs w:val="20"/>
              </w:rPr>
              <w:t>No se ha localizado información.</w:t>
            </w:r>
          </w:p>
        </w:tc>
      </w:tr>
      <w:tr w:rsidR="00C33A23" w:rsidRPr="009D5FD0" w:rsidTr="00357641">
        <w:tc>
          <w:tcPr>
            <w:tcW w:w="1024" w:type="dxa"/>
            <w:vMerge/>
            <w:tcBorders>
              <w:right w:val="single" w:sz="4" w:space="0" w:color="00642D"/>
            </w:tcBorders>
            <w:shd w:val="clear" w:color="auto" w:fill="00642D"/>
          </w:tcPr>
          <w:p w:rsidR="00C33A23" w:rsidRPr="009D5FD0"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9609E9">
            <w:pPr>
              <w:rPr>
                <w:rStyle w:val="Ttulo2Car"/>
                <w:b w:val="0"/>
                <w:color w:val="auto"/>
                <w:sz w:val="20"/>
                <w:szCs w:val="20"/>
                <w:lang w:bidi="es-ES"/>
              </w:rPr>
            </w:pPr>
            <w:r w:rsidRPr="009D5FD0">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D5FD0">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9609E9">
            <w:pPr>
              <w:pStyle w:val="Cuerpodelboletn"/>
              <w:spacing w:before="120" w:after="120" w:line="312" w:lineRule="auto"/>
              <w:rPr>
                <w:color w:val="auto"/>
                <w:sz w:val="20"/>
                <w:szCs w:val="20"/>
              </w:rPr>
            </w:pPr>
            <w:r>
              <w:rPr>
                <w:color w:val="auto"/>
                <w:sz w:val="20"/>
                <w:szCs w:val="20"/>
              </w:rPr>
              <w:t>No aplicable. La búsqueda de licitaciones desistidas en la PCSP no proporciona resultados.</w:t>
            </w:r>
          </w:p>
        </w:tc>
      </w:tr>
      <w:tr w:rsidR="003D6063" w:rsidRPr="009D5FD0" w:rsidTr="00357641">
        <w:tc>
          <w:tcPr>
            <w:tcW w:w="1024" w:type="dxa"/>
            <w:vMerge/>
            <w:tcBorders>
              <w:right w:val="single" w:sz="4" w:space="0" w:color="00642D"/>
            </w:tcBorders>
            <w:shd w:val="clear" w:color="auto" w:fill="00642D"/>
          </w:tcPr>
          <w:p w:rsidR="003D6063" w:rsidRPr="009D5FD0" w:rsidRDefault="003D60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D6063" w:rsidRPr="009D5FD0" w:rsidRDefault="003D6063" w:rsidP="003D6063">
            <w:pPr>
              <w:jc w:val="both"/>
              <w:rPr>
                <w:rStyle w:val="Ttulo2Car"/>
                <w:b w:val="0"/>
                <w:color w:val="auto"/>
                <w:sz w:val="20"/>
                <w:szCs w:val="20"/>
                <w:lang w:bidi="es-ES"/>
              </w:rPr>
            </w:pPr>
            <w:r w:rsidRPr="009D5FD0">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3D6063" w:rsidRPr="009D5FD0" w:rsidRDefault="003D606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3D6063" w:rsidRPr="009D5FD0" w:rsidRDefault="009D5FD0" w:rsidP="009609E9">
            <w:pPr>
              <w:pStyle w:val="Cuerpodelboletn"/>
              <w:spacing w:before="120" w:after="120" w:line="312" w:lineRule="auto"/>
              <w:rPr>
                <w:color w:val="auto"/>
                <w:sz w:val="20"/>
                <w:szCs w:val="20"/>
              </w:rPr>
            </w:pPr>
            <w:r>
              <w:rPr>
                <w:color w:val="auto"/>
                <w:sz w:val="20"/>
                <w:szCs w:val="20"/>
              </w:rPr>
              <w:t>No se ha localizado información.</w:t>
            </w:r>
          </w:p>
        </w:tc>
      </w:tr>
      <w:tr w:rsidR="00C33A23" w:rsidRPr="009D5FD0" w:rsidTr="00357641">
        <w:tc>
          <w:tcPr>
            <w:tcW w:w="1024" w:type="dxa"/>
            <w:vMerge/>
            <w:tcBorders>
              <w:right w:val="single" w:sz="4" w:space="0" w:color="00642D"/>
            </w:tcBorders>
            <w:shd w:val="clear" w:color="auto" w:fill="00642D"/>
          </w:tcPr>
          <w:p w:rsidR="00C33A23" w:rsidRPr="009D5FD0"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9609E9">
            <w:pPr>
              <w:rPr>
                <w:rStyle w:val="Ttulo2Car"/>
                <w:b w:val="0"/>
                <w:color w:val="auto"/>
                <w:sz w:val="20"/>
                <w:szCs w:val="20"/>
                <w:lang w:bidi="es-ES"/>
              </w:rPr>
            </w:pPr>
            <w:r w:rsidRPr="009D5FD0">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D5FD0">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9609E9">
            <w:pPr>
              <w:pStyle w:val="Cuerpodelboletn"/>
              <w:spacing w:before="120" w:after="120" w:line="312" w:lineRule="auto"/>
              <w:rPr>
                <w:color w:val="auto"/>
                <w:sz w:val="20"/>
                <w:szCs w:val="20"/>
              </w:rPr>
            </w:pPr>
            <w:r>
              <w:rPr>
                <w:color w:val="auto"/>
                <w:sz w:val="20"/>
                <w:szCs w:val="20"/>
              </w:rPr>
              <w:t>Localizable en la PCSP</w:t>
            </w:r>
          </w:p>
        </w:tc>
      </w:tr>
      <w:tr w:rsidR="00C33A23" w:rsidRPr="009D5FD0" w:rsidTr="0089373E">
        <w:trPr>
          <w:trHeight w:val="794"/>
        </w:trPr>
        <w:tc>
          <w:tcPr>
            <w:tcW w:w="1024" w:type="dxa"/>
            <w:tcBorders>
              <w:right w:val="single" w:sz="4" w:space="0" w:color="00642D"/>
            </w:tcBorders>
            <w:shd w:val="clear" w:color="auto" w:fill="00642D"/>
            <w:textDirection w:val="btLr"/>
            <w:vAlign w:val="center"/>
          </w:tcPr>
          <w:p w:rsidR="00C33A23" w:rsidRPr="009D5FD0"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9609E9" w:rsidP="009609E9">
            <w:pPr>
              <w:pStyle w:val="Cuerpodelboletn"/>
              <w:spacing w:before="120" w:after="120" w:line="312" w:lineRule="auto"/>
              <w:jc w:val="left"/>
              <w:rPr>
                <w:rStyle w:val="Ttulo2Car"/>
                <w:sz w:val="20"/>
                <w:szCs w:val="20"/>
                <w:lang w:bidi="es-ES"/>
              </w:rPr>
            </w:pPr>
            <w:r w:rsidRPr="009D5FD0">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89373E">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690AD5">
            <w:pPr>
              <w:pStyle w:val="Cuerpodelboletn"/>
              <w:spacing w:before="120" w:after="120" w:line="312" w:lineRule="auto"/>
              <w:rPr>
                <w:color w:val="auto"/>
                <w:sz w:val="20"/>
                <w:szCs w:val="20"/>
              </w:rPr>
            </w:pPr>
            <w:r>
              <w:rPr>
                <w:color w:val="auto"/>
                <w:sz w:val="20"/>
                <w:szCs w:val="20"/>
              </w:rPr>
              <w:t>En el apartado Información Económica, Presupuestaria y Estadística del Portal, se localiza un cuadro resu</w:t>
            </w:r>
            <w:r w:rsidR="0089373E">
              <w:rPr>
                <w:color w:val="auto"/>
                <w:sz w:val="20"/>
                <w:szCs w:val="20"/>
              </w:rPr>
              <w:t xml:space="preserve">men de los convenios suscritos </w:t>
            </w:r>
            <w:r>
              <w:rPr>
                <w:color w:val="auto"/>
                <w:sz w:val="20"/>
                <w:szCs w:val="20"/>
              </w:rPr>
              <w:t xml:space="preserve">por CEMFI en 2022 que no incluye todos los ítems informativos que establece el artículo </w:t>
            </w:r>
            <w:proofErr w:type="spellStart"/>
            <w:r>
              <w:rPr>
                <w:color w:val="auto"/>
                <w:sz w:val="20"/>
                <w:szCs w:val="20"/>
              </w:rPr>
              <w:t>8</w:t>
            </w:r>
            <w:r w:rsidR="00690AD5">
              <w:rPr>
                <w:color w:val="auto"/>
                <w:sz w:val="20"/>
                <w:szCs w:val="20"/>
              </w:rPr>
              <w:t>.1.</w:t>
            </w:r>
            <w:r w:rsidR="0089373E">
              <w:rPr>
                <w:color w:val="auto"/>
                <w:sz w:val="20"/>
                <w:szCs w:val="20"/>
              </w:rPr>
              <w:t>b</w:t>
            </w:r>
            <w:proofErr w:type="spellEnd"/>
            <w:r w:rsidR="0089373E">
              <w:rPr>
                <w:color w:val="auto"/>
                <w:sz w:val="20"/>
                <w:szCs w:val="20"/>
              </w:rPr>
              <w:t xml:space="preserve">) de la LTAIBG: no incluye la duración del convenio ni sus posibles modificaciones. Y aunque se incluye una referencia a las obligaciones económicas derivadas de los convenios o a su inexistencia, estas obligaciones económicas no se </w:t>
            </w:r>
            <w:r w:rsidR="0089373E">
              <w:rPr>
                <w:color w:val="auto"/>
                <w:sz w:val="20"/>
                <w:szCs w:val="20"/>
              </w:rPr>
              <w:lastRenderedPageBreak/>
              <w:t>cuantifican. También se da acceso al texto de los convenios suscritos con el Banco de España y la UIMP</w:t>
            </w:r>
          </w:p>
        </w:tc>
      </w:tr>
      <w:tr w:rsidR="009609E9" w:rsidRPr="009D5FD0" w:rsidTr="00357641">
        <w:trPr>
          <w:trHeight w:val="1675"/>
        </w:trPr>
        <w:tc>
          <w:tcPr>
            <w:tcW w:w="1024" w:type="dxa"/>
            <w:tcBorders>
              <w:right w:val="single" w:sz="4" w:space="0" w:color="00642D"/>
            </w:tcBorders>
            <w:shd w:val="clear" w:color="auto" w:fill="00642D"/>
            <w:textDirection w:val="btLr"/>
          </w:tcPr>
          <w:p w:rsidR="009609E9" w:rsidRPr="009D5FD0"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9D5FD0" w:rsidRDefault="003F271E"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9609E9" w:rsidRPr="009D5FD0" w:rsidRDefault="009609E9"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9D5FD0" w:rsidRDefault="0089373E" w:rsidP="009609E9">
            <w:pPr>
              <w:pStyle w:val="Cuerpodelboletn"/>
              <w:spacing w:before="120" w:after="120" w:line="312" w:lineRule="auto"/>
              <w:rPr>
                <w:color w:val="auto"/>
                <w:sz w:val="20"/>
                <w:szCs w:val="20"/>
              </w:rPr>
            </w:pPr>
            <w:r>
              <w:rPr>
                <w:color w:val="auto"/>
                <w:sz w:val="20"/>
                <w:szCs w:val="20"/>
              </w:rPr>
              <w:t>No se ha localizado información.</w:t>
            </w:r>
          </w:p>
        </w:tc>
      </w:tr>
      <w:tr w:rsidR="00F47C3B" w:rsidRPr="009D5FD0" w:rsidTr="00357641">
        <w:trPr>
          <w:trHeight w:val="1595"/>
        </w:trPr>
        <w:tc>
          <w:tcPr>
            <w:tcW w:w="1024" w:type="dxa"/>
            <w:tcBorders>
              <w:right w:val="single" w:sz="4" w:space="0" w:color="00642D"/>
            </w:tcBorders>
            <w:shd w:val="clear" w:color="auto" w:fill="00642D"/>
            <w:textDirection w:val="btLr"/>
          </w:tcPr>
          <w:p w:rsidR="00F47C3B" w:rsidRPr="009D5FD0"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Presupuestos</w:t>
            </w:r>
          </w:p>
          <w:p w:rsidR="00F47C3B" w:rsidRPr="009D5FD0" w:rsidRDefault="00F47C3B" w:rsidP="009609E9">
            <w:pPr>
              <w:pStyle w:val="Cuerpodelboletn"/>
              <w:spacing w:before="120" w:after="120" w:line="312" w:lineRule="auto"/>
              <w:rPr>
                <w:rStyle w:val="Ttulo2Car"/>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rsidR="00F47C3B" w:rsidRPr="009D5FD0" w:rsidRDefault="00F47C3B" w:rsidP="0089373E">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color w:val="auto"/>
                <w:sz w:val="20"/>
                <w:szCs w:val="20"/>
              </w:rPr>
            </w:pPr>
          </w:p>
        </w:tc>
      </w:tr>
      <w:tr w:rsidR="00F47C3B" w:rsidRPr="009D5FD0" w:rsidTr="00357641">
        <w:trPr>
          <w:trHeight w:val="1114"/>
        </w:trPr>
        <w:tc>
          <w:tcPr>
            <w:tcW w:w="1024" w:type="dxa"/>
            <w:vMerge w:val="restart"/>
            <w:tcBorders>
              <w:right w:val="single" w:sz="4" w:space="0" w:color="00642D"/>
            </w:tcBorders>
            <w:shd w:val="clear" w:color="auto" w:fill="00642D"/>
            <w:textDirection w:val="btLr"/>
          </w:tcPr>
          <w:p w:rsidR="00F47C3B" w:rsidRPr="009D5FD0"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F47C3B" w:rsidRPr="009D5FD0" w:rsidRDefault="00F47C3B" w:rsidP="00690AD5">
            <w:pPr>
              <w:pStyle w:val="Cuerpodelboletn"/>
              <w:numPr>
                <w:ilvl w:val="0"/>
                <w:numId w:val="15"/>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89373E" w:rsidRDefault="00690AD5" w:rsidP="00690AD5">
            <w:pPr>
              <w:pStyle w:val="Cuerpodelboletn"/>
              <w:spacing w:before="120" w:after="120" w:line="312" w:lineRule="auto"/>
              <w:rPr>
                <w:bCs/>
                <w:color w:val="auto"/>
                <w:sz w:val="20"/>
                <w:szCs w:val="20"/>
              </w:rPr>
            </w:pPr>
            <w:r>
              <w:rPr>
                <w:bCs/>
                <w:color w:val="auto"/>
                <w:sz w:val="20"/>
                <w:szCs w:val="20"/>
              </w:rPr>
              <w:t xml:space="preserve">Localizable en el apartado información económica, presupuestaria y estadística </w:t>
            </w:r>
          </w:p>
        </w:tc>
      </w:tr>
      <w:tr w:rsidR="00F47C3B" w:rsidRPr="009D5FD0" w:rsidTr="00357641">
        <w:trPr>
          <w:trHeight w:val="940"/>
        </w:trPr>
        <w:tc>
          <w:tcPr>
            <w:tcW w:w="1024" w:type="dxa"/>
            <w:vMerge/>
            <w:tcBorders>
              <w:right w:val="single" w:sz="4" w:space="0" w:color="00642D"/>
            </w:tcBorders>
            <w:shd w:val="clear" w:color="auto" w:fill="00642D"/>
            <w:textDirection w:val="btLr"/>
          </w:tcPr>
          <w:p w:rsidR="00F47C3B" w:rsidRPr="009D5FD0"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F47C3B" w:rsidRPr="009D5FD0" w:rsidRDefault="00F47C3B" w:rsidP="00690AD5">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89373E" w:rsidRDefault="00690AD5" w:rsidP="009609E9">
            <w:pPr>
              <w:pStyle w:val="Cuerpodelboletn"/>
              <w:spacing w:before="120" w:after="120" w:line="312" w:lineRule="auto"/>
              <w:rPr>
                <w:bCs/>
                <w:color w:val="auto"/>
                <w:sz w:val="20"/>
                <w:szCs w:val="20"/>
              </w:rPr>
            </w:pPr>
            <w:r>
              <w:rPr>
                <w:bCs/>
                <w:color w:val="auto"/>
                <w:sz w:val="20"/>
                <w:szCs w:val="20"/>
              </w:rPr>
              <w:t xml:space="preserve">Se publica el informe de auditoría de las cuentas 2021 elaborado por una firma de auditoría privada pero no los informes de auditoría y fiscalización elaborados por el Tribunal de Cuentas, que es a lo que se refiere el contenido material de esta obligación. </w:t>
            </w:r>
          </w:p>
        </w:tc>
      </w:tr>
      <w:tr w:rsidR="00BD4582" w:rsidRPr="009D5FD0" w:rsidTr="00357641">
        <w:trPr>
          <w:trHeight w:val="940"/>
        </w:trPr>
        <w:tc>
          <w:tcPr>
            <w:tcW w:w="1024" w:type="dxa"/>
            <w:vMerge w:val="restart"/>
            <w:tcBorders>
              <w:right w:val="single" w:sz="4" w:space="0" w:color="00642D"/>
            </w:tcBorders>
            <w:shd w:val="clear" w:color="auto" w:fill="00642D"/>
            <w:textDirection w:val="btLr"/>
          </w:tcPr>
          <w:p w:rsidR="00BD4582" w:rsidRPr="009D5FD0"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9D5FD0" w:rsidRDefault="00BD4582"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BD4582" w:rsidRPr="009D5FD0" w:rsidRDefault="00BD4582" w:rsidP="009E39E6">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89373E" w:rsidRDefault="0089373E" w:rsidP="009609E9">
            <w:pPr>
              <w:pStyle w:val="Cuerpodelboletn"/>
              <w:spacing w:before="120" w:after="120" w:line="312" w:lineRule="auto"/>
              <w:rPr>
                <w:bCs/>
                <w:color w:val="auto"/>
                <w:sz w:val="20"/>
                <w:szCs w:val="20"/>
              </w:rPr>
            </w:pPr>
            <w:r>
              <w:rPr>
                <w:bCs/>
                <w:color w:val="auto"/>
                <w:sz w:val="20"/>
                <w:szCs w:val="20"/>
              </w:rPr>
              <w:t xml:space="preserve">Aunque en la página </w:t>
            </w:r>
            <w:r w:rsidR="009E39E6">
              <w:rPr>
                <w:bCs/>
                <w:color w:val="auto"/>
                <w:sz w:val="20"/>
                <w:szCs w:val="20"/>
              </w:rPr>
              <w:t>que abre el enlace retribuciones se informa de que los miembros del Patronato no perciben retribuciones, no se informa sobre las que corresponden al Director de la Fundación.</w:t>
            </w:r>
          </w:p>
        </w:tc>
      </w:tr>
      <w:tr w:rsidR="00BD4582" w:rsidRPr="009D5FD0" w:rsidTr="00357641">
        <w:trPr>
          <w:trHeight w:val="940"/>
        </w:trPr>
        <w:tc>
          <w:tcPr>
            <w:tcW w:w="1024" w:type="dxa"/>
            <w:vMerge/>
            <w:tcBorders>
              <w:right w:val="single" w:sz="4" w:space="0" w:color="00642D"/>
            </w:tcBorders>
            <w:shd w:val="clear" w:color="auto" w:fill="00642D"/>
            <w:textDirection w:val="btLr"/>
          </w:tcPr>
          <w:p w:rsidR="00BD4582" w:rsidRPr="009D5FD0"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9D5FD0" w:rsidRDefault="00BD4582"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BD4582" w:rsidRPr="009D5FD0"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89373E" w:rsidRDefault="009E39E6" w:rsidP="009E39E6">
            <w:pPr>
              <w:pStyle w:val="Cuerpodelboletn"/>
              <w:spacing w:before="120" w:after="120" w:line="312" w:lineRule="auto"/>
              <w:rPr>
                <w:bCs/>
                <w:color w:val="auto"/>
                <w:sz w:val="20"/>
                <w:szCs w:val="20"/>
              </w:rPr>
            </w:pPr>
            <w:r>
              <w:rPr>
                <w:bCs/>
                <w:color w:val="auto"/>
                <w:sz w:val="20"/>
                <w:szCs w:val="20"/>
              </w:rPr>
              <w:t>No se ha localizado información</w:t>
            </w:r>
          </w:p>
        </w:tc>
      </w:tr>
      <w:tr w:rsidR="00F86BF2" w:rsidRPr="009D5FD0" w:rsidTr="00357641">
        <w:trPr>
          <w:trHeight w:val="1703"/>
        </w:trPr>
        <w:tc>
          <w:tcPr>
            <w:tcW w:w="1024" w:type="dxa"/>
            <w:vMerge w:val="restart"/>
            <w:tcBorders>
              <w:right w:val="single" w:sz="4" w:space="0" w:color="00642D"/>
            </w:tcBorders>
            <w:shd w:val="clear" w:color="auto" w:fill="00642D"/>
            <w:textDirection w:val="btLr"/>
          </w:tcPr>
          <w:p w:rsidR="00F86BF2" w:rsidRPr="009D5FD0"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9D5FD0" w:rsidRDefault="00F86BF2" w:rsidP="0006666A">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F86BF2" w:rsidRPr="009D5FD0" w:rsidRDefault="00F86BF2" w:rsidP="00D031DD">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86BF2" w:rsidRPr="0089373E" w:rsidRDefault="009E39E6" w:rsidP="00D031DD">
            <w:pPr>
              <w:pStyle w:val="Cuerpodelboletn"/>
              <w:spacing w:before="120" w:after="120" w:line="312" w:lineRule="auto"/>
              <w:rPr>
                <w:bCs/>
                <w:color w:val="auto"/>
                <w:sz w:val="20"/>
                <w:szCs w:val="20"/>
              </w:rPr>
            </w:pPr>
            <w:r>
              <w:rPr>
                <w:bCs/>
                <w:color w:val="auto"/>
                <w:sz w:val="20"/>
                <w:szCs w:val="20"/>
              </w:rPr>
              <w:t>No se ha localizado información</w:t>
            </w:r>
          </w:p>
        </w:tc>
      </w:tr>
      <w:tr w:rsidR="00F86BF2" w:rsidRPr="009D5FD0" w:rsidTr="00357641">
        <w:trPr>
          <w:trHeight w:val="1703"/>
        </w:trPr>
        <w:tc>
          <w:tcPr>
            <w:tcW w:w="1024" w:type="dxa"/>
            <w:vMerge/>
            <w:tcBorders>
              <w:right w:val="single" w:sz="4" w:space="0" w:color="00642D"/>
            </w:tcBorders>
            <w:shd w:val="clear" w:color="auto" w:fill="00642D"/>
            <w:textDirection w:val="btLr"/>
          </w:tcPr>
          <w:p w:rsidR="00F86BF2" w:rsidRPr="009D5FD0"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9D5FD0" w:rsidRDefault="00F86BF2" w:rsidP="00D031DD">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F86BF2" w:rsidRPr="009D5FD0" w:rsidRDefault="00F86BF2" w:rsidP="00D031DD">
            <w:pPr>
              <w:pStyle w:val="Cuerpodelboletn"/>
              <w:spacing w:before="120" w:after="120" w:line="312" w:lineRule="auto"/>
              <w:rPr>
                <w:rStyle w:val="Ttulo2Car"/>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86BF2" w:rsidRPr="0089373E" w:rsidRDefault="009E39E6" w:rsidP="00D031DD">
            <w:pPr>
              <w:pStyle w:val="Cuerpodelboletn"/>
              <w:spacing w:before="120" w:after="120" w:line="312" w:lineRule="auto"/>
              <w:rPr>
                <w:bCs/>
                <w:color w:val="auto"/>
                <w:sz w:val="20"/>
                <w:szCs w:val="20"/>
              </w:rPr>
            </w:pPr>
            <w:r>
              <w:rPr>
                <w:bCs/>
                <w:color w:val="auto"/>
                <w:sz w:val="20"/>
                <w:szCs w:val="20"/>
              </w:rPr>
              <w:t>No se ha localizado información</w:t>
            </w:r>
          </w:p>
        </w:tc>
      </w:tr>
    </w:tbl>
    <w:p w:rsidR="00045308" w:rsidRDefault="000453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674BD4"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7696" behindDoc="0" locked="0" layoutInCell="1" allowOverlap="1" wp14:anchorId="1D8C5FA1" wp14:editId="2D3D6640">
                <wp:simplePos x="0" y="0"/>
                <wp:positionH relativeFrom="column">
                  <wp:posOffset>713105</wp:posOffset>
                </wp:positionH>
                <wp:positionV relativeFrom="paragraph">
                  <wp:posOffset>152400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90AD5" w:rsidRDefault="00690AD5" w:rsidP="00674BD4">
                            <w:pPr>
                              <w:rPr>
                                <w:b/>
                                <w:color w:val="00642D"/>
                              </w:rPr>
                            </w:pPr>
                            <w:r w:rsidRPr="00BD4582">
                              <w:rPr>
                                <w:b/>
                                <w:color w:val="00642D"/>
                              </w:rPr>
                              <w:t>Contenidos</w:t>
                            </w:r>
                          </w:p>
                          <w:p w:rsidR="00690AD5" w:rsidRDefault="00690AD5" w:rsidP="00674BD4">
                            <w:pPr>
                              <w:rPr>
                                <w:sz w:val="20"/>
                                <w:szCs w:val="20"/>
                              </w:rPr>
                            </w:pPr>
                            <w:r w:rsidRPr="009E39E6">
                              <w:rPr>
                                <w:sz w:val="20"/>
                                <w:szCs w:val="20"/>
                              </w:rPr>
                              <w:t>La información pu</w:t>
                            </w:r>
                            <w:r>
                              <w:rPr>
                                <w:sz w:val="20"/>
                                <w:szCs w:val="20"/>
                              </w:rPr>
                              <w:t>blicada no recoge todos los contenidos obligatorios contemplados en el artículo 8 de la LATAIBG:</w:t>
                            </w:r>
                          </w:p>
                          <w:p w:rsidR="00690AD5" w:rsidRDefault="00690AD5"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 Esta información no es obtenible a través de la PCSP</w:t>
                            </w:r>
                          </w:p>
                          <w:p w:rsidR="00690AD5" w:rsidRDefault="00690AD5"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según procedimiento de licitación.</w:t>
                            </w:r>
                          </w:p>
                          <w:p w:rsidR="00690AD5"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las subvenciones concedidas por </w:t>
                            </w:r>
                            <w:r>
                              <w:rPr>
                                <w:rStyle w:val="Ttulo2Car"/>
                                <w:b w:val="0"/>
                                <w:color w:val="auto"/>
                                <w:sz w:val="20"/>
                                <w:szCs w:val="20"/>
                                <w:lang w:bidi="es-ES"/>
                              </w:rPr>
                              <w:t>CEMFI</w:t>
                            </w:r>
                          </w:p>
                          <w:p w:rsidR="00690AD5" w:rsidRPr="00E833C7"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los informes de auditoría y fiscalización de </w:t>
                            </w:r>
                            <w:r>
                              <w:rPr>
                                <w:rStyle w:val="Ttulo2Car"/>
                                <w:b w:val="0"/>
                                <w:color w:val="auto"/>
                                <w:sz w:val="20"/>
                                <w:szCs w:val="20"/>
                                <w:lang w:bidi="es-ES"/>
                              </w:rPr>
                              <w:t>CEMFI</w:t>
                            </w:r>
                            <w:r w:rsidRPr="00E833C7">
                              <w:rPr>
                                <w:rStyle w:val="Ttulo2Car"/>
                                <w:b w:val="0"/>
                                <w:color w:val="auto"/>
                                <w:sz w:val="20"/>
                                <w:szCs w:val="20"/>
                                <w:lang w:bidi="es-ES"/>
                              </w:rPr>
                              <w:t xml:space="preserve"> realizados por el Tribunal de Cuentas</w:t>
                            </w:r>
                          </w:p>
                          <w:p w:rsidR="00690AD5" w:rsidRPr="00E833C7" w:rsidRDefault="00690AD5"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 xml:space="preserve">La </w:t>
                            </w:r>
                            <w:r w:rsidRPr="00E833C7">
                              <w:rPr>
                                <w:rStyle w:val="Ttulo2Car"/>
                                <w:b w:val="0"/>
                                <w:color w:val="auto"/>
                                <w:sz w:val="20"/>
                                <w:szCs w:val="20"/>
                                <w:lang w:bidi="es-ES"/>
                              </w:rPr>
                              <w:t xml:space="preserve">información sobre las retribuciones </w:t>
                            </w:r>
                            <w:r>
                              <w:rPr>
                                <w:rStyle w:val="Ttulo2Car"/>
                                <w:b w:val="0"/>
                                <w:color w:val="auto"/>
                                <w:sz w:val="20"/>
                                <w:szCs w:val="20"/>
                                <w:lang w:bidi="es-ES"/>
                              </w:rPr>
                              <w:t xml:space="preserve">está incompleta, ya que no se incluyen las del Director de la Fundación. </w:t>
                            </w:r>
                          </w:p>
                          <w:p w:rsidR="00690AD5" w:rsidRPr="00E833C7"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No se ha localizado información sobre las indemnizaciones percibidas por altos cargos y máximos responsables con ocasión del cese.</w:t>
                            </w:r>
                          </w:p>
                          <w:p w:rsidR="00690AD5" w:rsidRPr="00E833C7"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No se ha localizado información sobre compatibilidades de empleados.</w:t>
                            </w:r>
                          </w:p>
                          <w:p w:rsidR="00690AD5" w:rsidRPr="00674BD4" w:rsidRDefault="00690AD5" w:rsidP="00674BD4">
                            <w:pPr>
                              <w:pStyle w:val="Prrafodelista"/>
                              <w:numPr>
                                <w:ilvl w:val="0"/>
                                <w:numId w:val="10"/>
                              </w:numPr>
                              <w:rPr>
                                <w:b/>
                                <w:color w:val="00642D"/>
                              </w:rPr>
                            </w:pPr>
                            <w:r w:rsidRPr="00674BD4">
                              <w:rPr>
                                <w:rStyle w:val="Ttulo2Car"/>
                                <w:b w:val="0"/>
                                <w:color w:val="auto"/>
                                <w:sz w:val="20"/>
                                <w:szCs w:val="20"/>
                                <w:lang w:bidi="es-ES"/>
                              </w:rPr>
                              <w:t>No se ha localizado información sobre las autorizaciones para el ejercicio de actividades privadas al cese de altos cargos.</w:t>
                            </w:r>
                          </w:p>
                          <w:p w:rsidR="00690AD5" w:rsidRDefault="00690AD5" w:rsidP="00674BD4">
                            <w:pPr>
                              <w:rPr>
                                <w:b/>
                                <w:color w:val="00642D"/>
                              </w:rPr>
                            </w:pPr>
                            <w:r>
                              <w:rPr>
                                <w:b/>
                                <w:color w:val="00642D"/>
                              </w:rPr>
                              <w:t>Calidad de la Información</w:t>
                            </w:r>
                          </w:p>
                          <w:p w:rsidR="00690AD5" w:rsidRPr="00674BD4" w:rsidRDefault="00690AD5" w:rsidP="00674BD4">
                            <w:pPr>
                              <w:pStyle w:val="Prrafodelista"/>
                              <w:numPr>
                                <w:ilvl w:val="0"/>
                                <w:numId w:val="11"/>
                              </w:numPr>
                              <w:rPr>
                                <w:rStyle w:val="Ttulo2Car"/>
                                <w:b w:val="0"/>
                                <w:color w:val="auto"/>
                                <w:sz w:val="20"/>
                                <w:szCs w:val="20"/>
                                <w:lang w:bidi="es-ES"/>
                              </w:rPr>
                            </w:pPr>
                            <w:r w:rsidRPr="00674BD4">
                              <w:rPr>
                                <w:rStyle w:val="Ttulo2Car"/>
                                <w:b w:val="0"/>
                                <w:color w:val="auto"/>
                                <w:sz w:val="20"/>
                                <w:szCs w:val="20"/>
                                <w:lang w:bidi="es-ES"/>
                              </w:rPr>
                              <w:t>Para la publicación de la información del grupo contratos se recurre a la PCSP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56.15pt;margin-top:12pt;width:433.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SvPhCSwCAABUBAAADgAAAAAAAAAAAAAAAAAuAgAAZHJz&#10;L2Uyb0RvYy54bWxQSwECLQAUAAYACAAAACEAdPqJxd4AAAAKAQAADwAAAAAAAAAAAAAAAACGBAAA&#10;ZHJzL2Rvd25yZXYueG1sUEsFBgAAAAAEAAQA8wAAAJEFAAAAAA==&#10;">
                <v:textbox style="mso-fit-shape-to-text:t">
                  <w:txbxContent>
                    <w:p w:rsidR="00690AD5" w:rsidRDefault="00690AD5" w:rsidP="00674BD4">
                      <w:pPr>
                        <w:rPr>
                          <w:b/>
                          <w:color w:val="00642D"/>
                        </w:rPr>
                      </w:pPr>
                      <w:r w:rsidRPr="00BD4582">
                        <w:rPr>
                          <w:b/>
                          <w:color w:val="00642D"/>
                        </w:rPr>
                        <w:t>Contenidos</w:t>
                      </w:r>
                    </w:p>
                    <w:p w:rsidR="00690AD5" w:rsidRDefault="00690AD5" w:rsidP="00674BD4">
                      <w:pPr>
                        <w:rPr>
                          <w:sz w:val="20"/>
                          <w:szCs w:val="20"/>
                        </w:rPr>
                      </w:pPr>
                      <w:r w:rsidRPr="009E39E6">
                        <w:rPr>
                          <w:sz w:val="20"/>
                          <w:szCs w:val="20"/>
                        </w:rPr>
                        <w:t>La información pu</w:t>
                      </w:r>
                      <w:r>
                        <w:rPr>
                          <w:sz w:val="20"/>
                          <w:szCs w:val="20"/>
                        </w:rPr>
                        <w:t>blicada no recoge todos los contenidos obligatorios contemplados en el artículo 8 de la LATAIBG:</w:t>
                      </w:r>
                    </w:p>
                    <w:p w:rsidR="00690AD5" w:rsidRDefault="00690AD5"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 Esta información no es obtenible a través de la PCSP</w:t>
                      </w:r>
                    </w:p>
                    <w:p w:rsidR="00690AD5" w:rsidRDefault="00690AD5"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según procedimiento de licitación.</w:t>
                      </w:r>
                    </w:p>
                    <w:p w:rsidR="00690AD5"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las subvenciones concedidas por </w:t>
                      </w:r>
                      <w:r>
                        <w:rPr>
                          <w:rStyle w:val="Ttulo2Car"/>
                          <w:b w:val="0"/>
                          <w:color w:val="auto"/>
                          <w:sz w:val="20"/>
                          <w:szCs w:val="20"/>
                          <w:lang w:bidi="es-ES"/>
                        </w:rPr>
                        <w:t>CEMFI</w:t>
                      </w:r>
                    </w:p>
                    <w:p w:rsidR="00690AD5" w:rsidRPr="00E833C7"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los informes de auditoría y fiscalización de </w:t>
                      </w:r>
                      <w:r>
                        <w:rPr>
                          <w:rStyle w:val="Ttulo2Car"/>
                          <w:b w:val="0"/>
                          <w:color w:val="auto"/>
                          <w:sz w:val="20"/>
                          <w:szCs w:val="20"/>
                          <w:lang w:bidi="es-ES"/>
                        </w:rPr>
                        <w:t>CEMFI</w:t>
                      </w:r>
                      <w:r w:rsidRPr="00E833C7">
                        <w:rPr>
                          <w:rStyle w:val="Ttulo2Car"/>
                          <w:b w:val="0"/>
                          <w:color w:val="auto"/>
                          <w:sz w:val="20"/>
                          <w:szCs w:val="20"/>
                          <w:lang w:bidi="es-ES"/>
                        </w:rPr>
                        <w:t xml:space="preserve"> realizados por el Tribunal de Cuentas</w:t>
                      </w:r>
                    </w:p>
                    <w:p w:rsidR="00690AD5" w:rsidRPr="00E833C7" w:rsidRDefault="00690AD5"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 xml:space="preserve">La </w:t>
                      </w:r>
                      <w:r w:rsidRPr="00E833C7">
                        <w:rPr>
                          <w:rStyle w:val="Ttulo2Car"/>
                          <w:b w:val="0"/>
                          <w:color w:val="auto"/>
                          <w:sz w:val="20"/>
                          <w:szCs w:val="20"/>
                          <w:lang w:bidi="es-ES"/>
                        </w:rPr>
                        <w:t xml:space="preserve">información sobre las retribuciones </w:t>
                      </w:r>
                      <w:r>
                        <w:rPr>
                          <w:rStyle w:val="Ttulo2Car"/>
                          <w:b w:val="0"/>
                          <w:color w:val="auto"/>
                          <w:sz w:val="20"/>
                          <w:szCs w:val="20"/>
                          <w:lang w:bidi="es-ES"/>
                        </w:rPr>
                        <w:t xml:space="preserve">está incompleta, ya que no se incluyen las del Director de la Fundación. </w:t>
                      </w:r>
                    </w:p>
                    <w:p w:rsidR="00690AD5" w:rsidRPr="00E833C7"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No se ha localizado información sobre las indemnizaciones percibidas por altos cargos y máximos responsables con ocasión del cese.</w:t>
                      </w:r>
                    </w:p>
                    <w:p w:rsidR="00690AD5" w:rsidRPr="00E833C7" w:rsidRDefault="00690AD5" w:rsidP="00674BD4">
                      <w:pPr>
                        <w:pStyle w:val="Prrafodelista"/>
                        <w:numPr>
                          <w:ilvl w:val="0"/>
                          <w:numId w:val="10"/>
                        </w:numPr>
                        <w:rPr>
                          <w:rStyle w:val="Ttulo2Car"/>
                          <w:b w:val="0"/>
                          <w:color w:val="auto"/>
                          <w:sz w:val="20"/>
                          <w:szCs w:val="20"/>
                          <w:lang w:bidi="es-ES"/>
                        </w:rPr>
                      </w:pPr>
                      <w:r w:rsidRPr="00E833C7">
                        <w:rPr>
                          <w:rStyle w:val="Ttulo2Car"/>
                          <w:b w:val="0"/>
                          <w:color w:val="auto"/>
                          <w:sz w:val="20"/>
                          <w:szCs w:val="20"/>
                          <w:lang w:bidi="es-ES"/>
                        </w:rPr>
                        <w:t>No se ha localizado información sobre compatibilidades de empleados.</w:t>
                      </w:r>
                    </w:p>
                    <w:p w:rsidR="00690AD5" w:rsidRPr="00674BD4" w:rsidRDefault="00690AD5" w:rsidP="00674BD4">
                      <w:pPr>
                        <w:pStyle w:val="Prrafodelista"/>
                        <w:numPr>
                          <w:ilvl w:val="0"/>
                          <w:numId w:val="10"/>
                        </w:numPr>
                        <w:rPr>
                          <w:b/>
                          <w:color w:val="00642D"/>
                        </w:rPr>
                      </w:pPr>
                      <w:r w:rsidRPr="00674BD4">
                        <w:rPr>
                          <w:rStyle w:val="Ttulo2Car"/>
                          <w:b w:val="0"/>
                          <w:color w:val="auto"/>
                          <w:sz w:val="20"/>
                          <w:szCs w:val="20"/>
                          <w:lang w:bidi="es-ES"/>
                        </w:rPr>
                        <w:t>No se ha localizado información sobre las autorizaciones para el ejercicio de actividades privadas al cese de altos cargos.</w:t>
                      </w:r>
                    </w:p>
                    <w:p w:rsidR="00690AD5" w:rsidRDefault="00690AD5" w:rsidP="00674BD4">
                      <w:pPr>
                        <w:rPr>
                          <w:b/>
                          <w:color w:val="00642D"/>
                        </w:rPr>
                      </w:pPr>
                      <w:r>
                        <w:rPr>
                          <w:b/>
                          <w:color w:val="00642D"/>
                        </w:rPr>
                        <w:t>Calidad de la Información</w:t>
                      </w:r>
                    </w:p>
                    <w:p w:rsidR="00690AD5" w:rsidRPr="00674BD4" w:rsidRDefault="00690AD5" w:rsidP="00674BD4">
                      <w:pPr>
                        <w:pStyle w:val="Prrafodelista"/>
                        <w:numPr>
                          <w:ilvl w:val="0"/>
                          <w:numId w:val="11"/>
                        </w:numPr>
                        <w:rPr>
                          <w:rStyle w:val="Ttulo2Car"/>
                          <w:b w:val="0"/>
                          <w:color w:val="auto"/>
                          <w:sz w:val="20"/>
                          <w:szCs w:val="20"/>
                          <w:lang w:bidi="es-ES"/>
                        </w:rPr>
                      </w:pPr>
                      <w:r w:rsidRPr="00674BD4">
                        <w:rPr>
                          <w:rStyle w:val="Ttulo2Car"/>
                          <w:b w:val="0"/>
                          <w:color w:val="auto"/>
                          <w:sz w:val="20"/>
                          <w:szCs w:val="20"/>
                          <w:lang w:bidi="es-ES"/>
                        </w:rPr>
                        <w:t>Para la publicación de la información del grupo contratos se recurre a la PCSP</w:t>
                      </w:r>
                    </w:p>
                  </w:txbxContent>
                </v:textbox>
              </v:shape>
            </w:pict>
          </mc:Fallback>
        </mc:AlternateContent>
      </w: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7C0E01" w:rsidRDefault="007C0E01" w:rsidP="00C33A23">
      <w:pPr>
        <w:pStyle w:val="Cuerpodelboletn"/>
        <w:spacing w:before="120" w:after="120" w:line="312" w:lineRule="auto"/>
        <w:ind w:left="360"/>
        <w:rPr>
          <w:b/>
          <w:color w:val="00642D"/>
          <w:szCs w:val="22"/>
        </w:rPr>
      </w:pPr>
    </w:p>
    <w:p w:rsidR="007C0E01" w:rsidRDefault="007C0E01" w:rsidP="00C33A23">
      <w:pPr>
        <w:pStyle w:val="Cuerpodelboletn"/>
        <w:spacing w:before="120" w:after="120" w:line="312" w:lineRule="auto"/>
        <w:ind w:left="360"/>
        <w:rPr>
          <w:b/>
          <w:color w:val="00642D"/>
          <w:szCs w:val="22"/>
        </w:rPr>
      </w:pPr>
    </w:p>
    <w:p w:rsidR="007C0E01" w:rsidRDefault="007C0E01" w:rsidP="00C33A23">
      <w:pPr>
        <w:pStyle w:val="Cuerpodelboletn"/>
        <w:spacing w:before="120" w:after="120" w:line="312" w:lineRule="auto"/>
        <w:ind w:left="360"/>
        <w:rPr>
          <w:b/>
          <w:color w:val="00642D"/>
          <w:szCs w:val="22"/>
        </w:rPr>
      </w:pPr>
    </w:p>
    <w:p w:rsidR="005E417A" w:rsidRDefault="005E417A" w:rsidP="00C33A23">
      <w:pPr>
        <w:pStyle w:val="Cuerpodelboletn"/>
        <w:spacing w:before="120" w:after="120" w:line="312" w:lineRule="auto"/>
        <w:ind w:left="360"/>
        <w:rPr>
          <w:b/>
          <w:color w:val="00642D"/>
          <w:szCs w:val="22"/>
        </w:rPr>
      </w:pPr>
    </w:p>
    <w:p w:rsidR="005E417A" w:rsidRDefault="005E417A" w:rsidP="00C33A23">
      <w:pPr>
        <w:pStyle w:val="Cuerpodelboletn"/>
        <w:spacing w:before="120" w:after="120" w:line="312" w:lineRule="auto"/>
        <w:ind w:left="360"/>
        <w:rPr>
          <w:b/>
          <w:color w:val="00642D"/>
          <w:szCs w:val="22"/>
        </w:rPr>
      </w:pPr>
    </w:p>
    <w:p w:rsidR="005E417A" w:rsidRDefault="005E417A" w:rsidP="00C33A23">
      <w:pPr>
        <w:pStyle w:val="Cuerpodelboletn"/>
        <w:spacing w:before="120" w:after="120" w:line="312" w:lineRule="auto"/>
        <w:ind w:left="360"/>
        <w:rPr>
          <w:b/>
          <w:color w:val="00642D"/>
          <w:szCs w:val="2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D17A2" w:rsidRPr="00FD0689" w:rsidTr="000D17A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D17A2" w:rsidRPr="00FD0689" w:rsidRDefault="000D17A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100,0</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100,0</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100,0</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100,0</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100,0</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100,0</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28,6</w:t>
            </w:r>
          </w:p>
        </w:tc>
        <w:tc>
          <w:tcPr>
            <w:tcW w:w="0" w:type="auto"/>
            <w:noWrap/>
            <w:vAlign w:val="center"/>
          </w:tcPr>
          <w:p w:rsidR="000D17A2" w:rsidRPr="000D17A2" w:rsidRDefault="000D17A2" w:rsidP="000D17A2">
            <w:pPr>
              <w:jc w:val="center"/>
              <w:cnfStyle w:val="000000100000" w:firstRow="0" w:lastRow="0" w:firstColumn="0" w:lastColumn="0" w:oddVBand="0" w:evenVBand="0" w:oddHBand="1" w:evenHBand="0" w:firstRowFirstColumn="0" w:firstRowLastColumn="0" w:lastRowFirstColumn="0" w:lastRowLastColumn="0"/>
              <w:rPr>
                <w:sz w:val="16"/>
                <w:szCs w:val="16"/>
              </w:rPr>
            </w:pPr>
            <w:r w:rsidRPr="000D17A2">
              <w:rPr>
                <w:sz w:val="16"/>
                <w:szCs w:val="16"/>
              </w:rPr>
              <w:t>89,8</w:t>
            </w:r>
          </w:p>
        </w:tc>
      </w:tr>
      <w:tr w:rsidR="00690AD5" w:rsidRPr="00FD0689" w:rsidTr="00690AD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90AD5" w:rsidRPr="00FD0689" w:rsidRDefault="00690AD5"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41,2</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26,9</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42,3</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26,9</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42,3</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42,3</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42,3</w:t>
            </w:r>
          </w:p>
        </w:tc>
        <w:tc>
          <w:tcPr>
            <w:tcW w:w="0" w:type="auto"/>
            <w:noWrap/>
            <w:vAlign w:val="center"/>
          </w:tcPr>
          <w:p w:rsidR="00690AD5" w:rsidRPr="00690AD5" w:rsidRDefault="00690AD5" w:rsidP="00690AD5">
            <w:pPr>
              <w:jc w:val="center"/>
              <w:cnfStyle w:val="000000000000" w:firstRow="0" w:lastRow="0" w:firstColumn="0" w:lastColumn="0" w:oddVBand="0" w:evenVBand="0" w:oddHBand="0" w:evenHBand="0" w:firstRowFirstColumn="0" w:firstRowLastColumn="0" w:lastRowFirstColumn="0" w:lastRowLastColumn="0"/>
              <w:rPr>
                <w:sz w:val="16"/>
              </w:rPr>
            </w:pPr>
            <w:r w:rsidRPr="00690AD5">
              <w:rPr>
                <w:sz w:val="16"/>
              </w:rPr>
              <w:t>37,8</w:t>
            </w:r>
          </w:p>
        </w:tc>
      </w:tr>
      <w:tr w:rsidR="00690AD5" w:rsidRPr="00A94BCA" w:rsidTr="00690AD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90AD5" w:rsidRPr="002A154B" w:rsidRDefault="00690AD5"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61,8</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52,5</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62,5</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52,5</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62,5</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62,5</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37,5</w:t>
            </w:r>
          </w:p>
        </w:tc>
        <w:tc>
          <w:tcPr>
            <w:tcW w:w="0" w:type="auto"/>
            <w:noWrap/>
            <w:vAlign w:val="center"/>
          </w:tcPr>
          <w:p w:rsidR="00690AD5" w:rsidRPr="00690AD5" w:rsidRDefault="00690AD5" w:rsidP="00690AD5">
            <w:pPr>
              <w:jc w:val="center"/>
              <w:cnfStyle w:val="000000100000" w:firstRow="0" w:lastRow="0" w:firstColumn="0" w:lastColumn="0" w:oddVBand="0" w:evenVBand="0" w:oddHBand="1" w:evenHBand="0" w:firstRowFirstColumn="0" w:firstRowLastColumn="0" w:lastRowFirstColumn="0" w:lastRowLastColumn="0"/>
              <w:rPr>
                <w:b/>
                <w:i/>
                <w:sz w:val="16"/>
              </w:rPr>
            </w:pPr>
            <w:r w:rsidRPr="00690AD5">
              <w:rPr>
                <w:b/>
                <w:i/>
                <w:sz w:val="16"/>
              </w:rPr>
              <w:t>56,7</w:t>
            </w:r>
          </w:p>
        </w:tc>
      </w:tr>
    </w:tbl>
    <w:p w:rsidR="000D17A2" w:rsidRPr="00E833C7" w:rsidRDefault="000D17A2" w:rsidP="000D17A2">
      <w:pPr>
        <w:pStyle w:val="Cuerpodelboletn"/>
        <w:spacing w:before="120" w:after="120" w:line="312" w:lineRule="auto"/>
        <w:rPr>
          <w:b/>
          <w:color w:val="50866C"/>
          <w:sz w:val="32"/>
        </w:rPr>
      </w:pPr>
      <w:r w:rsidRPr="00E833C7">
        <w:rPr>
          <w:color w:val="auto"/>
          <w:szCs w:val="22"/>
        </w:rPr>
        <w:t xml:space="preserve">El </w:t>
      </w:r>
      <w:r>
        <w:rPr>
          <w:color w:val="auto"/>
          <w:szCs w:val="22"/>
        </w:rPr>
        <w:t>Índice de Cumplimiento de la Información Obligatoria (ICIO), se sitúa en el 5</w:t>
      </w:r>
      <w:r w:rsidR="00C13808">
        <w:rPr>
          <w:color w:val="auto"/>
          <w:szCs w:val="22"/>
        </w:rPr>
        <w:t>6</w:t>
      </w:r>
      <w:r>
        <w:rPr>
          <w:color w:val="auto"/>
          <w:szCs w:val="22"/>
        </w:rPr>
        <w:t xml:space="preserve">,7%. </w:t>
      </w:r>
      <w:r w:rsidRPr="00E833C7">
        <w:t xml:space="preserve">La falta de publicación de informaciones obligatorias – no se publica el </w:t>
      </w:r>
      <w:r w:rsidR="00C13808">
        <w:t>38</w:t>
      </w:r>
      <w:r>
        <w:t>,2</w:t>
      </w:r>
      <w:r w:rsidRPr="00E833C7">
        <w:t xml:space="preserve">% de ellas - , el recurso a fuentes centralizadas para la publicación  de </w:t>
      </w:r>
      <w:r>
        <w:t>diversas informaciones económicas</w:t>
      </w:r>
      <w:r w:rsidRPr="00E833C7">
        <w:t xml:space="preserve"> y la falta de datación y de referencias a la fecha de la última revisión o actualización de la información publicada, son los factores que explican el nivel de cumplimiento alcanzado.</w:t>
      </w:r>
    </w:p>
    <w:p w:rsidR="00BD4582" w:rsidRPr="000D17A2" w:rsidRDefault="00BD4582" w:rsidP="000D17A2">
      <w:pPr>
        <w:pStyle w:val="Cuerpodelboletn"/>
        <w:spacing w:before="120" w:after="120" w:line="312" w:lineRule="auto"/>
        <w:rPr>
          <w:color w:val="auto"/>
          <w:szCs w:val="2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90AD5" w:rsidRDefault="00690AD5">
                            <w:pPr>
                              <w:rPr>
                                <w:b/>
                                <w:color w:val="00642D"/>
                              </w:rPr>
                            </w:pPr>
                            <w:r w:rsidRPr="002A154B">
                              <w:rPr>
                                <w:b/>
                                <w:color w:val="00642D"/>
                              </w:rPr>
                              <w:t xml:space="preserve">Transparencia </w:t>
                            </w:r>
                            <w:r>
                              <w:rPr>
                                <w:b/>
                                <w:color w:val="00642D"/>
                              </w:rPr>
                              <w:t>Voluntaria</w:t>
                            </w:r>
                          </w:p>
                          <w:p w:rsidR="00690AD5" w:rsidRDefault="00690AD5">
                            <w:pPr>
                              <w:rPr>
                                <w:sz w:val="20"/>
                                <w:szCs w:val="20"/>
                              </w:rPr>
                            </w:pPr>
                            <w:r>
                              <w:rPr>
                                <w:sz w:val="20"/>
                                <w:szCs w:val="20"/>
                              </w:rPr>
                              <w:t>CEMFI publica informaciones adicionales a las obligatorias, que son relevantes desde el punto de vista de la transparencia y la rendición de cuentas. Algunas de estas obligaciones, contempladas en la LTAIBG, no son de aplicación a las Fundaciones Públicas:</w:t>
                            </w:r>
                          </w:p>
                          <w:p w:rsidR="00690AD5" w:rsidRDefault="00690AD5" w:rsidP="000D17A2">
                            <w:pPr>
                              <w:pStyle w:val="Prrafodelista"/>
                              <w:numPr>
                                <w:ilvl w:val="0"/>
                                <w:numId w:val="12"/>
                              </w:numPr>
                              <w:rPr>
                                <w:sz w:val="20"/>
                                <w:szCs w:val="20"/>
                              </w:rPr>
                            </w:pPr>
                            <w:r>
                              <w:rPr>
                                <w:sz w:val="20"/>
                                <w:szCs w:val="20"/>
                              </w:rPr>
                              <w:t>Plan de actuación</w:t>
                            </w:r>
                          </w:p>
                          <w:p w:rsidR="00690AD5" w:rsidRDefault="00690AD5" w:rsidP="000D17A2">
                            <w:pPr>
                              <w:pStyle w:val="Prrafodelista"/>
                              <w:numPr>
                                <w:ilvl w:val="0"/>
                                <w:numId w:val="12"/>
                              </w:numPr>
                              <w:rPr>
                                <w:sz w:val="20"/>
                                <w:szCs w:val="20"/>
                              </w:rPr>
                            </w:pPr>
                            <w:r>
                              <w:rPr>
                                <w:sz w:val="20"/>
                                <w:szCs w:val="20"/>
                              </w:rPr>
                              <w:t>Indicadores de cumplimiento de planes y programas</w:t>
                            </w:r>
                          </w:p>
                          <w:p w:rsidR="00690AD5" w:rsidRDefault="00690AD5" w:rsidP="000D17A2">
                            <w:pPr>
                              <w:pStyle w:val="Prrafodelista"/>
                              <w:numPr>
                                <w:ilvl w:val="0"/>
                                <w:numId w:val="12"/>
                              </w:numPr>
                              <w:rPr>
                                <w:sz w:val="20"/>
                                <w:szCs w:val="20"/>
                              </w:rPr>
                            </w:pPr>
                            <w:r>
                              <w:rPr>
                                <w:sz w:val="20"/>
                                <w:szCs w:val="20"/>
                              </w:rPr>
                              <w:t>Información estadística sobre actividad de la Fundación</w:t>
                            </w:r>
                          </w:p>
                          <w:p w:rsidR="00690AD5" w:rsidRDefault="00690AD5" w:rsidP="000D17A2">
                            <w:pPr>
                              <w:pStyle w:val="Prrafodelista"/>
                              <w:numPr>
                                <w:ilvl w:val="0"/>
                                <w:numId w:val="12"/>
                              </w:numPr>
                              <w:rPr>
                                <w:sz w:val="20"/>
                                <w:szCs w:val="20"/>
                              </w:rPr>
                            </w:pPr>
                            <w:r>
                              <w:rPr>
                                <w:sz w:val="20"/>
                                <w:szCs w:val="20"/>
                              </w:rPr>
                              <w:t>Código de Conducta</w:t>
                            </w:r>
                          </w:p>
                          <w:p w:rsidR="00690AD5" w:rsidRDefault="00690AD5" w:rsidP="000D17A2">
                            <w:pPr>
                              <w:pStyle w:val="Prrafodelista"/>
                              <w:numPr>
                                <w:ilvl w:val="0"/>
                                <w:numId w:val="12"/>
                              </w:numPr>
                              <w:rPr>
                                <w:sz w:val="20"/>
                                <w:szCs w:val="20"/>
                              </w:rPr>
                            </w:pPr>
                            <w:r>
                              <w:rPr>
                                <w:sz w:val="20"/>
                                <w:szCs w:val="20"/>
                              </w:rPr>
                              <w:t>Bienes inmuebles</w:t>
                            </w:r>
                          </w:p>
                          <w:p w:rsidR="00690AD5" w:rsidRPr="000D17A2" w:rsidRDefault="00690AD5" w:rsidP="000D17A2">
                            <w:pPr>
                              <w:pStyle w:val="Prrafodelista"/>
                              <w:numPr>
                                <w:ilvl w:val="0"/>
                                <w:numId w:val="12"/>
                              </w:numPr>
                              <w:rPr>
                                <w:b/>
                                <w:color w:val="00642D"/>
                              </w:rPr>
                            </w:pPr>
                            <w:r w:rsidRPr="000D17A2">
                              <w:rPr>
                                <w:sz w:val="20"/>
                                <w:szCs w:val="20"/>
                              </w:rPr>
                              <w:t>Diversa información de régimen interior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690AD5" w:rsidRDefault="00690AD5">
                      <w:pPr>
                        <w:rPr>
                          <w:b/>
                          <w:color w:val="00642D"/>
                        </w:rPr>
                      </w:pPr>
                      <w:r w:rsidRPr="002A154B">
                        <w:rPr>
                          <w:b/>
                          <w:color w:val="00642D"/>
                        </w:rPr>
                        <w:t xml:space="preserve">Transparencia </w:t>
                      </w:r>
                      <w:r>
                        <w:rPr>
                          <w:b/>
                          <w:color w:val="00642D"/>
                        </w:rPr>
                        <w:t>Voluntaria</w:t>
                      </w:r>
                    </w:p>
                    <w:p w:rsidR="00690AD5" w:rsidRDefault="00690AD5">
                      <w:pPr>
                        <w:rPr>
                          <w:sz w:val="20"/>
                          <w:szCs w:val="20"/>
                        </w:rPr>
                      </w:pPr>
                      <w:r>
                        <w:rPr>
                          <w:sz w:val="20"/>
                          <w:szCs w:val="20"/>
                        </w:rPr>
                        <w:t>CEMFI publica informaciones adicionales a las obligatorias, que son relevantes desde el punto de vista de la transparencia y la rendición de cuentas. Algunas de estas obligaciones, contempladas en la LTAIBG, no son de aplicación a las Fundaciones Públicas:</w:t>
                      </w:r>
                    </w:p>
                    <w:p w:rsidR="00690AD5" w:rsidRDefault="00690AD5" w:rsidP="000D17A2">
                      <w:pPr>
                        <w:pStyle w:val="Prrafodelista"/>
                        <w:numPr>
                          <w:ilvl w:val="0"/>
                          <w:numId w:val="12"/>
                        </w:numPr>
                        <w:rPr>
                          <w:sz w:val="20"/>
                          <w:szCs w:val="20"/>
                        </w:rPr>
                      </w:pPr>
                      <w:r>
                        <w:rPr>
                          <w:sz w:val="20"/>
                          <w:szCs w:val="20"/>
                        </w:rPr>
                        <w:t>Plan de actuación</w:t>
                      </w:r>
                    </w:p>
                    <w:p w:rsidR="00690AD5" w:rsidRDefault="00690AD5" w:rsidP="000D17A2">
                      <w:pPr>
                        <w:pStyle w:val="Prrafodelista"/>
                        <w:numPr>
                          <w:ilvl w:val="0"/>
                          <w:numId w:val="12"/>
                        </w:numPr>
                        <w:rPr>
                          <w:sz w:val="20"/>
                          <w:szCs w:val="20"/>
                        </w:rPr>
                      </w:pPr>
                      <w:r>
                        <w:rPr>
                          <w:sz w:val="20"/>
                          <w:szCs w:val="20"/>
                        </w:rPr>
                        <w:t>Indicadores de cumplimiento de planes y programas</w:t>
                      </w:r>
                    </w:p>
                    <w:p w:rsidR="00690AD5" w:rsidRDefault="00690AD5" w:rsidP="000D17A2">
                      <w:pPr>
                        <w:pStyle w:val="Prrafodelista"/>
                        <w:numPr>
                          <w:ilvl w:val="0"/>
                          <w:numId w:val="12"/>
                        </w:numPr>
                        <w:rPr>
                          <w:sz w:val="20"/>
                          <w:szCs w:val="20"/>
                        </w:rPr>
                      </w:pPr>
                      <w:r>
                        <w:rPr>
                          <w:sz w:val="20"/>
                          <w:szCs w:val="20"/>
                        </w:rPr>
                        <w:t>Información estadística sobre actividad de la Fundación</w:t>
                      </w:r>
                    </w:p>
                    <w:p w:rsidR="00690AD5" w:rsidRDefault="00690AD5" w:rsidP="000D17A2">
                      <w:pPr>
                        <w:pStyle w:val="Prrafodelista"/>
                        <w:numPr>
                          <w:ilvl w:val="0"/>
                          <w:numId w:val="12"/>
                        </w:numPr>
                        <w:rPr>
                          <w:sz w:val="20"/>
                          <w:szCs w:val="20"/>
                        </w:rPr>
                      </w:pPr>
                      <w:r>
                        <w:rPr>
                          <w:sz w:val="20"/>
                          <w:szCs w:val="20"/>
                        </w:rPr>
                        <w:t>Código de Conducta</w:t>
                      </w:r>
                    </w:p>
                    <w:p w:rsidR="00690AD5" w:rsidRDefault="00690AD5" w:rsidP="000D17A2">
                      <w:pPr>
                        <w:pStyle w:val="Prrafodelista"/>
                        <w:numPr>
                          <w:ilvl w:val="0"/>
                          <w:numId w:val="12"/>
                        </w:numPr>
                        <w:rPr>
                          <w:sz w:val="20"/>
                          <w:szCs w:val="20"/>
                        </w:rPr>
                      </w:pPr>
                      <w:r>
                        <w:rPr>
                          <w:sz w:val="20"/>
                          <w:szCs w:val="20"/>
                        </w:rPr>
                        <w:t>Bienes inmuebles</w:t>
                      </w:r>
                    </w:p>
                    <w:p w:rsidR="00690AD5" w:rsidRPr="000D17A2" w:rsidRDefault="00690AD5" w:rsidP="000D17A2">
                      <w:pPr>
                        <w:pStyle w:val="Prrafodelista"/>
                        <w:numPr>
                          <w:ilvl w:val="0"/>
                          <w:numId w:val="12"/>
                        </w:numPr>
                        <w:rPr>
                          <w:b/>
                          <w:color w:val="00642D"/>
                        </w:rPr>
                      </w:pPr>
                      <w:r w:rsidRPr="000D17A2">
                        <w:rPr>
                          <w:sz w:val="20"/>
                          <w:szCs w:val="20"/>
                        </w:rPr>
                        <w:t>Diversa información de régimen interior</w:t>
                      </w:r>
                    </w:p>
                  </w:txbxContent>
                </v:textbox>
              </v:shape>
            </w:pict>
          </mc:Fallback>
        </mc:AlternateContent>
      </w:r>
    </w:p>
    <w:p w:rsidR="00932008" w:rsidRDefault="00932008"/>
    <w:p w:rsidR="00932008" w:rsidRDefault="00932008"/>
    <w:p w:rsidR="00932008" w:rsidRDefault="00932008"/>
    <w:p w:rsidR="00932008" w:rsidRDefault="00932008"/>
    <w:p w:rsidR="000D17A2" w:rsidRDefault="000D17A2"/>
    <w:p w:rsidR="000D17A2" w:rsidRDefault="000D17A2"/>
    <w:p w:rsidR="000D17A2" w:rsidRDefault="000D17A2"/>
    <w:p w:rsidR="000C6CFF"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90AD5" w:rsidRDefault="00690AD5" w:rsidP="002A154B">
                            <w:pPr>
                              <w:rPr>
                                <w:b/>
                                <w:color w:val="00642D"/>
                              </w:rPr>
                            </w:pPr>
                            <w:r>
                              <w:rPr>
                                <w:b/>
                                <w:color w:val="00642D"/>
                              </w:rPr>
                              <w:t>Buenas Prácticas</w:t>
                            </w:r>
                          </w:p>
                          <w:p w:rsidR="00690AD5" w:rsidRPr="002A154B" w:rsidRDefault="00690AD5" w:rsidP="002A154B">
                            <w:pPr>
                              <w:rPr>
                                <w:b/>
                                <w:color w:val="00642D"/>
                              </w:rPr>
                            </w:pPr>
                            <w:r>
                              <w:rPr>
                                <w:sz w:val="20"/>
                                <w:szCs w:val="20"/>
                              </w:rPr>
                              <w:t>Como buenas prácticas que podrían ser aplicadas por otras organizaciones, cabe destacar la habilitación de un espacio específico en el Portal de Transparencia para la presentación de solicitudes de acceso a información pública de la entidad. En este espacio se ofrece abundante información en cuanto al procedimiento de tramitación de las solicitudes y los requisitos establecidos para su presentación.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690AD5" w:rsidRDefault="00690AD5" w:rsidP="002A154B">
                      <w:pPr>
                        <w:rPr>
                          <w:b/>
                          <w:color w:val="00642D"/>
                        </w:rPr>
                      </w:pPr>
                      <w:r>
                        <w:rPr>
                          <w:b/>
                          <w:color w:val="00642D"/>
                        </w:rPr>
                        <w:t>Buenas Prácticas</w:t>
                      </w:r>
                    </w:p>
                    <w:p w:rsidR="00690AD5" w:rsidRPr="002A154B" w:rsidRDefault="00690AD5" w:rsidP="002A154B">
                      <w:pPr>
                        <w:rPr>
                          <w:b/>
                          <w:color w:val="00642D"/>
                        </w:rPr>
                      </w:pPr>
                      <w:r>
                        <w:rPr>
                          <w:sz w:val="20"/>
                          <w:szCs w:val="20"/>
                        </w:rPr>
                        <w:t>Como buenas prácticas que podrían ser aplicadas por otras organizaciones, cabe destacar la habilitación de un espacio específico en el Portal de Transparencia para la presentación de solicitudes de acceso a información pública de la entidad. En este espacio se ofrece abundante información en cuanto al procedimiento de tramitación de las solicitudes y los requisitos establecidos para su presentación.</w:t>
                      </w:r>
                    </w:p>
                  </w:txbxContent>
                </v:textbox>
              </v:shape>
            </w:pict>
          </mc:Fallback>
        </mc:AlternateContent>
      </w:r>
    </w:p>
    <w:p w:rsidR="00C13808" w:rsidRDefault="00C13808"/>
    <w:p w:rsidR="008C1E1E" w:rsidRDefault="008C1E1E"/>
    <w:p w:rsidR="00B40246" w:rsidRDefault="00B40246"/>
    <w:p w:rsidR="005E417A" w:rsidRDefault="005E417A" w:rsidP="005E417A">
      <w:pPr>
        <w:pStyle w:val="Cuerpodelboletn"/>
        <w:spacing w:before="120" w:after="120" w:line="312" w:lineRule="auto"/>
        <w:ind w:left="720"/>
        <w:rPr>
          <w:b/>
          <w:color w:val="00642D"/>
          <w:sz w:val="32"/>
        </w:rPr>
      </w:pPr>
    </w:p>
    <w:p w:rsidR="005E417A" w:rsidRDefault="005E417A" w:rsidP="005E417A">
      <w:pPr>
        <w:pStyle w:val="Cuerpodelboletn"/>
        <w:spacing w:before="120" w:after="120" w:line="312" w:lineRule="auto"/>
        <w:ind w:left="720"/>
        <w:rPr>
          <w:b/>
          <w:color w:val="00642D"/>
          <w:sz w:val="32"/>
        </w:rPr>
      </w:pPr>
    </w:p>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1836A2" w:rsidRPr="009E35FC" w:rsidRDefault="001836A2" w:rsidP="001836A2">
      <w:r w:rsidRPr="009E35FC">
        <w:t xml:space="preserve">Como se ha indicado el cumplimiento de las obligaciones de transparencia de la LTAIBG por parte de </w:t>
      </w:r>
      <w:r>
        <w:t>CEMFI</w:t>
      </w:r>
      <w:r w:rsidRPr="009E35FC">
        <w:t xml:space="preserve">, en función de la información disponible en su web, alcanza el </w:t>
      </w:r>
      <w:r>
        <w:t>5</w:t>
      </w:r>
      <w:r w:rsidR="00C13808">
        <w:t>6</w:t>
      </w:r>
      <w:r>
        <w:t>,7</w:t>
      </w:r>
      <w:r w:rsidRPr="009E35FC">
        <w:t xml:space="preserve">%. </w:t>
      </w:r>
    </w:p>
    <w:p w:rsidR="001836A2" w:rsidRPr="009E35FC" w:rsidRDefault="001836A2" w:rsidP="001836A2">
      <w:pPr>
        <w:jc w:val="both"/>
      </w:pPr>
      <w:r w:rsidRPr="009E35FC">
        <w:t xml:space="preserve">A lo largo del informe se han señalado una serie de carencias. Por ello y para procurar avances en el grado de cumplimiento de la LTAIBG por parte de </w:t>
      </w:r>
      <w:r>
        <w:t>CEMFI</w:t>
      </w:r>
      <w:r w:rsidRPr="009E35FC">
        <w:t xml:space="preserve">, este CTBG </w:t>
      </w:r>
      <w:r w:rsidRPr="009E35FC">
        <w:rPr>
          <w:b/>
          <w:color w:val="00642D"/>
        </w:rPr>
        <w:t>recomienda</w:t>
      </w:r>
      <w:r w:rsidRPr="009E35FC">
        <w:t>:</w:t>
      </w:r>
    </w:p>
    <w:p w:rsidR="001836A2" w:rsidRPr="009E35FC" w:rsidRDefault="001836A2" w:rsidP="001836A2">
      <w:pPr>
        <w:spacing w:before="120" w:after="120" w:line="312" w:lineRule="auto"/>
        <w:jc w:val="both"/>
        <w:rPr>
          <w:b/>
          <w:color w:val="00642D"/>
        </w:rPr>
      </w:pPr>
      <w:r w:rsidRPr="009E35FC">
        <w:rPr>
          <w:b/>
          <w:color w:val="00642D"/>
        </w:rPr>
        <w:t>Localización y Estructuración de la información</w:t>
      </w:r>
    </w:p>
    <w:p w:rsidR="001836A2" w:rsidRPr="009E35FC" w:rsidRDefault="001836A2" w:rsidP="001836A2">
      <w:pPr>
        <w:spacing w:before="120" w:after="120" w:line="312" w:lineRule="auto"/>
        <w:jc w:val="both"/>
      </w:pPr>
      <w:r>
        <w:t>CEMFI</w:t>
      </w:r>
      <w:r w:rsidRPr="00BA17A2">
        <w:t xml:space="preserve"> </w:t>
      </w:r>
      <w:r w:rsidRPr="009E35FC">
        <w:t xml:space="preserve">debe orientar su Portal de Transparencia a la publicación de todas las informaciones sujetas a obligaciones de publicidad activa que le son de aplicación. </w:t>
      </w:r>
    </w:p>
    <w:p w:rsidR="001836A2" w:rsidRPr="009E35FC" w:rsidRDefault="001836A2" w:rsidP="001836A2">
      <w:pPr>
        <w:spacing w:before="120" w:after="120" w:line="312" w:lineRule="auto"/>
        <w:jc w:val="both"/>
      </w:pPr>
      <w:r w:rsidRPr="009E35FC">
        <w:t xml:space="preserve">Dentro de cada uno de </w:t>
      </w:r>
      <w:r>
        <w:t>los</w:t>
      </w:r>
      <w:r w:rsidRPr="009E35FC">
        <w:t xml:space="preserve"> bloques</w:t>
      </w:r>
      <w:r>
        <w:t xml:space="preserve"> de información en los que se estructura el Portal, </w:t>
      </w:r>
      <w:r w:rsidRPr="009E35FC">
        <w:t>deben publicarse - o enlazarse</w:t>
      </w:r>
      <w:r>
        <w:t>,</w:t>
      </w:r>
      <w:r w:rsidRPr="009E35FC">
        <w:t xml:space="preserve"> si la información está publicada en otros apartados de la web institucional - las informaciones obligatorias que establecen los artículos 6</w:t>
      </w:r>
      <w:r>
        <w:t>, 6 bis</w:t>
      </w:r>
      <w:r w:rsidRPr="009E35FC">
        <w:t xml:space="preserve"> </w:t>
      </w:r>
      <w:r>
        <w:t>y</w:t>
      </w:r>
      <w:r w:rsidRPr="009E35FC">
        <w:t xml:space="preserve"> 8 de la LTAIBG. Toda la información sujeta a obligaciones de publicidad activa debe publicarse – o en su caso enlazarse - en el Portal de Transparencia y dentro de éste en el bloque de obligaciones al que se vincule.</w:t>
      </w:r>
    </w:p>
    <w:p w:rsidR="001836A2" w:rsidRPr="009E35FC" w:rsidRDefault="001836A2" w:rsidP="001836A2">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836A2" w:rsidRPr="009E35FC" w:rsidRDefault="001836A2" w:rsidP="001836A2">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sidR="006249BD">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1836A2" w:rsidRPr="009E35FC" w:rsidRDefault="001836A2" w:rsidP="001836A2">
      <w:pPr>
        <w:spacing w:before="120" w:after="120" w:line="312" w:lineRule="auto"/>
        <w:jc w:val="both"/>
        <w:rPr>
          <w:b/>
          <w:color w:val="00642D"/>
        </w:rPr>
      </w:pPr>
      <w:r w:rsidRPr="009E35FC">
        <w:rPr>
          <w:b/>
          <w:color w:val="00642D"/>
        </w:rPr>
        <w:t>Incorporación de información</w:t>
      </w:r>
    </w:p>
    <w:p w:rsidR="001836A2" w:rsidRPr="009E35FC" w:rsidRDefault="001836A2" w:rsidP="001836A2">
      <w:pPr>
        <w:spacing w:before="120" w:after="120" w:line="312" w:lineRule="auto"/>
        <w:jc w:val="both"/>
        <w:outlineLvl w:val="1"/>
        <w:rPr>
          <w:b/>
          <w:color w:val="00642D"/>
        </w:rPr>
      </w:pPr>
      <w:r w:rsidRPr="009E35FC">
        <w:rPr>
          <w:b/>
          <w:color w:val="00642D"/>
        </w:rPr>
        <w:t>Información Económica, Presupuestaria y Estadística.</w:t>
      </w:r>
    </w:p>
    <w:p w:rsidR="001836A2" w:rsidRPr="009E35FC" w:rsidRDefault="001836A2" w:rsidP="001836A2">
      <w:pPr>
        <w:numPr>
          <w:ilvl w:val="0"/>
          <w:numId w:val="13"/>
        </w:numPr>
        <w:contextualSpacing/>
      </w:pPr>
      <w:r w:rsidRPr="009E35FC">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1836A2" w:rsidRDefault="001836A2" w:rsidP="001836A2">
      <w:pPr>
        <w:numPr>
          <w:ilvl w:val="0"/>
          <w:numId w:val="13"/>
        </w:numPr>
        <w:contextualSpacing/>
      </w:pPr>
      <w:r w:rsidRPr="009E35FC">
        <w:t>Debe publicarse la información estadística sobre el volumen de contratación según procedimiento de licitación.</w:t>
      </w:r>
    </w:p>
    <w:p w:rsidR="001836A2" w:rsidRPr="009E35FC" w:rsidRDefault="001836A2" w:rsidP="001836A2">
      <w:pPr>
        <w:numPr>
          <w:ilvl w:val="0"/>
          <w:numId w:val="13"/>
        </w:numPr>
        <w:contextualSpacing/>
      </w:pPr>
      <w:r>
        <w:lastRenderedPageBreak/>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1836A2" w:rsidRDefault="001836A2" w:rsidP="001836A2">
      <w:pPr>
        <w:numPr>
          <w:ilvl w:val="0"/>
          <w:numId w:val="13"/>
        </w:numPr>
        <w:contextualSpacing/>
      </w:pPr>
      <w:r w:rsidRPr="009E35FC">
        <w:t>Debe publicarse información sobre las subvenciones o ayudas públicas concedidas. Esta información debe incluir el objeto de la subvención o ayuda, los beneficiarios y la cuantía concedida a cada uno de ellos.</w:t>
      </w:r>
    </w:p>
    <w:p w:rsidR="001836A2" w:rsidRPr="009E35FC" w:rsidRDefault="001836A2" w:rsidP="001836A2">
      <w:pPr>
        <w:numPr>
          <w:ilvl w:val="0"/>
          <w:numId w:val="13"/>
        </w:numPr>
        <w:contextualSpacing/>
      </w:pPr>
      <w:r w:rsidRPr="009E35FC">
        <w:t>Deben publicarse los informes de auditoría y fiscalización elaborados por el Tribunal de Cuentas.</w:t>
      </w:r>
    </w:p>
    <w:p w:rsidR="001836A2" w:rsidRPr="009E35FC" w:rsidRDefault="001836A2" w:rsidP="001836A2">
      <w:pPr>
        <w:numPr>
          <w:ilvl w:val="0"/>
          <w:numId w:val="13"/>
        </w:numPr>
        <w:contextualSpacing/>
      </w:pPr>
      <w:r w:rsidRPr="009E35FC">
        <w:t xml:space="preserve">Debe </w:t>
      </w:r>
      <w:r w:rsidR="006249BD">
        <w:t>completarse la</w:t>
      </w:r>
      <w:r w:rsidRPr="009E35FC">
        <w:t xml:space="preserve"> información sobre las retribuciones percibidas por los máximos responsables</w:t>
      </w:r>
      <w:r w:rsidR="006249BD">
        <w:t>, publicando las correspondientes al Director de la Fundación.</w:t>
      </w:r>
    </w:p>
    <w:p w:rsidR="001836A2" w:rsidRPr="009E35FC" w:rsidRDefault="001836A2" w:rsidP="001836A2">
      <w:pPr>
        <w:numPr>
          <w:ilvl w:val="0"/>
          <w:numId w:val="13"/>
        </w:numPr>
        <w:contextualSpacing/>
      </w:pPr>
      <w:r w:rsidRPr="009E35FC">
        <w:t>Debe publicarse información sobre las indemnizaciones percibidas por altos cargos y máximos responsables con ocasión del cese.</w:t>
      </w:r>
    </w:p>
    <w:p w:rsidR="001836A2" w:rsidRPr="009E35FC" w:rsidRDefault="001836A2" w:rsidP="001836A2">
      <w:pPr>
        <w:numPr>
          <w:ilvl w:val="0"/>
          <w:numId w:val="13"/>
        </w:numPr>
        <w:contextualSpacing/>
      </w:pPr>
      <w:r w:rsidRPr="009E35FC">
        <w:t xml:space="preserve">Debe publicarse información sobre las autorizaciones de compatibilidad concedidas a empleados de </w:t>
      </w:r>
      <w:r>
        <w:t>CEMFI.</w:t>
      </w:r>
    </w:p>
    <w:p w:rsidR="001836A2" w:rsidRDefault="001836A2" w:rsidP="001836A2">
      <w:pPr>
        <w:numPr>
          <w:ilvl w:val="0"/>
          <w:numId w:val="13"/>
        </w:numPr>
        <w:contextualSpacing/>
      </w:pPr>
      <w:r w:rsidRPr="009E35FC">
        <w:t>Debe publicarse información sobre las autorizaciones para el ejercicio de actividades privadas concedidas a altos cargos.</w:t>
      </w:r>
    </w:p>
    <w:p w:rsidR="001836A2" w:rsidRPr="009E35FC" w:rsidRDefault="001836A2" w:rsidP="001836A2">
      <w:pPr>
        <w:ind w:left="720"/>
        <w:contextualSpacing/>
      </w:pPr>
    </w:p>
    <w:p w:rsidR="001836A2" w:rsidRPr="009E35FC" w:rsidRDefault="001836A2" w:rsidP="001836A2">
      <w:pPr>
        <w:spacing w:before="120" w:after="120" w:line="312" w:lineRule="auto"/>
        <w:jc w:val="both"/>
        <w:outlineLvl w:val="1"/>
        <w:rPr>
          <w:b/>
          <w:color w:val="00642D"/>
        </w:rPr>
      </w:pPr>
      <w:r w:rsidRPr="009E35FC">
        <w:rPr>
          <w:b/>
          <w:color w:val="00642D"/>
        </w:rPr>
        <w:t>Calidad de la Información.</w:t>
      </w:r>
    </w:p>
    <w:p w:rsidR="001836A2" w:rsidRPr="009E35FC" w:rsidRDefault="001836A2" w:rsidP="001836A2">
      <w:pPr>
        <w:numPr>
          <w:ilvl w:val="0"/>
          <w:numId w:val="14"/>
        </w:numPr>
        <w:contextualSpacing/>
        <w:jc w:val="both"/>
      </w:pPr>
      <w:r w:rsidRPr="009E35FC">
        <w:t xml:space="preserve">Deben incluirse referencias a la fecha en que se revisó o actualizó por última vez la información. Para ello bastaría con que esta fecha se publicase en la página inicial del Portal de Transparencia de </w:t>
      </w:r>
      <w:r>
        <w:t>CEMFI</w:t>
      </w:r>
      <w:r w:rsidRPr="009E35FC">
        <w:t>.</w:t>
      </w:r>
    </w:p>
    <w:p w:rsidR="001836A2" w:rsidRDefault="001836A2" w:rsidP="001836A2">
      <w:pPr>
        <w:numPr>
          <w:ilvl w:val="0"/>
          <w:numId w:val="14"/>
        </w:numPr>
        <w:contextualSpacing/>
        <w:jc w:val="both"/>
      </w:pPr>
      <w:r w:rsidRPr="009E35FC">
        <w:t xml:space="preserve">Deberían </w:t>
      </w:r>
      <w:r w:rsidR="006249BD">
        <w:t>publicarse</w:t>
      </w:r>
      <w:r w:rsidRPr="009E35FC">
        <w:t xml:space="preserve"> cuadros-resumen, incluyendo todos los ítems informativos que establece la LTAIBG</w:t>
      </w:r>
      <w:r>
        <w:t>,  para aquellas informaciones obligatorias que se publican a través de fuentes centralizadas, por ejemplo, la Plataforma de Contratación del Sector Público.</w:t>
      </w:r>
      <w:r w:rsidRPr="009E35FC">
        <w:t xml:space="preserve"> </w:t>
      </w:r>
    </w:p>
    <w:p w:rsidR="001836A2" w:rsidRPr="009E35FC" w:rsidRDefault="001836A2" w:rsidP="001836A2">
      <w:pPr>
        <w:numPr>
          <w:ilvl w:val="0"/>
          <w:numId w:val="14"/>
        </w:numPr>
        <w:contextualSpacing/>
        <w:jc w:val="both"/>
      </w:pPr>
      <w:r w:rsidRPr="009E35FC">
        <w:t>En la medida de lo posible, las denominaciones de los enlaces deben ajustarse a los contenidos a los que redirigen, para facilitar  la localización de la información.</w:t>
      </w:r>
    </w:p>
    <w:p w:rsidR="001836A2" w:rsidRPr="009E35FC" w:rsidRDefault="001836A2" w:rsidP="001836A2">
      <w:pPr>
        <w:numPr>
          <w:ilvl w:val="0"/>
          <w:numId w:val="14"/>
        </w:numPr>
        <w:contextualSpacing/>
        <w:jc w:val="both"/>
      </w:pPr>
      <w:r w:rsidRPr="009E35FC">
        <w:t>Se reitera la recomendación de que en el caso de que no hubiera información que publicar, se señale expresamente esta circunstancia.</w:t>
      </w:r>
    </w:p>
    <w:p w:rsidR="001836A2" w:rsidRPr="009E35FC" w:rsidRDefault="001836A2" w:rsidP="001836A2">
      <w:pPr>
        <w:numPr>
          <w:ilvl w:val="0"/>
          <w:numId w:val="14"/>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1836A2" w:rsidRDefault="006249BD" w:rsidP="001836A2">
      <w:pPr>
        <w:ind w:left="6372" w:firstLine="708"/>
      </w:pPr>
      <w:r>
        <w:t xml:space="preserve">    </w:t>
      </w:r>
      <w:r w:rsidR="001836A2" w:rsidRPr="009E35FC">
        <w:t xml:space="preserve">Madrid, </w:t>
      </w:r>
      <w:r w:rsidR="00C13808">
        <w:t>abril</w:t>
      </w:r>
      <w:r w:rsidR="001836A2" w:rsidRPr="009E35FC">
        <w:t xml:space="preserve"> de 2023</w:t>
      </w:r>
    </w:p>
    <w:p w:rsidR="005E417A" w:rsidRPr="009E35FC" w:rsidRDefault="005E417A" w:rsidP="001836A2">
      <w:pPr>
        <w:ind w:left="6372" w:firstLine="708"/>
      </w:pPr>
    </w:p>
    <w:p w:rsidR="00B40246" w:rsidRDefault="00B40246"/>
    <w:p w:rsidR="00121C30" w:rsidRDefault="00121C30">
      <w:r>
        <w:br w:type="page"/>
      </w:r>
    </w:p>
    <w:p w:rsidR="00121C30" w:rsidRPr="00121C30" w:rsidRDefault="00570D93"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D031D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D031D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 xml:space="preserve">Se obliga su publicación por la </w:t>
            </w:r>
            <w:proofErr w:type="spellStart"/>
            <w:r w:rsidRPr="00121C30">
              <w:rPr>
                <w:rFonts w:eastAsia="Times New Roman" w:cs="Calibri"/>
                <w:color w:val="000000"/>
                <w:sz w:val="16"/>
                <w:szCs w:val="16"/>
              </w:rPr>
              <w:t>Ley19</w:t>
            </w:r>
            <w:proofErr w:type="spellEnd"/>
            <w:r w:rsidRPr="00121C30">
              <w:rPr>
                <w:rFonts w:eastAsia="Times New Roman" w:cs="Calibri"/>
                <w:color w:val="000000"/>
                <w:sz w:val="16"/>
                <w:szCs w:val="16"/>
              </w:rPr>
              <w:t>/21013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D031D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D031D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D031D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D031D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D031D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pero NO ESTA ACTUALIZADO dentro de los tres meses</w:t>
            </w:r>
          </w:p>
        </w:tc>
      </w:tr>
      <w:tr w:rsidR="00121C30" w:rsidRPr="00121C30" w:rsidTr="00D031D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D031D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D031D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D031D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D031D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D031D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D031D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D031D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D031D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D031D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D031D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D031D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D031D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D031D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D031D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D031D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D031D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D031D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D031D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D5" w:rsidRDefault="00690AD5" w:rsidP="00932008">
      <w:pPr>
        <w:spacing w:after="0" w:line="240" w:lineRule="auto"/>
      </w:pPr>
      <w:r>
        <w:separator/>
      </w:r>
    </w:p>
  </w:endnote>
  <w:endnote w:type="continuationSeparator" w:id="0">
    <w:p w:rsidR="00690AD5" w:rsidRDefault="00690AD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D5" w:rsidRDefault="00690A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D5" w:rsidRDefault="00690A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D5" w:rsidRDefault="00690A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D5" w:rsidRDefault="00690AD5" w:rsidP="00932008">
      <w:pPr>
        <w:spacing w:after="0" w:line="240" w:lineRule="auto"/>
      </w:pPr>
      <w:r>
        <w:separator/>
      </w:r>
    </w:p>
  </w:footnote>
  <w:footnote w:type="continuationSeparator" w:id="0">
    <w:p w:rsidR="00690AD5" w:rsidRDefault="00690AD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D5" w:rsidRDefault="00690A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D5" w:rsidRDefault="00690AD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AD5" w:rsidRDefault="00690A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2" type="#_x0000_t75" style="width:11.25pt;height:11.25pt" o:bullet="t">
        <v:imagedata r:id="rId1" o:title="BD14654_"/>
      </v:shape>
    </w:pict>
  </w:numPicBullet>
  <w:numPicBullet w:numPicBulletId="1">
    <w:pict>
      <v:shape id="_x0000_i1653" type="#_x0000_t75" style="width:9pt;height:9pt" o:bullet="t">
        <v:imagedata r:id="rId2" o:title="BD14533_"/>
      </v:shape>
    </w:pict>
  </w:numPicBullet>
  <w:abstractNum w:abstractNumId="0">
    <w:nsid w:val="101821C8"/>
    <w:multiLevelType w:val="hybridMultilevel"/>
    <w:tmpl w:val="7CB257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C441C3"/>
    <w:multiLevelType w:val="hybridMultilevel"/>
    <w:tmpl w:val="D1F08A62"/>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691A54"/>
    <w:multiLevelType w:val="hybridMultilevel"/>
    <w:tmpl w:val="AD52A90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0C211D5"/>
    <w:multiLevelType w:val="hybridMultilevel"/>
    <w:tmpl w:val="EAF0B188"/>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49676ED"/>
    <w:multiLevelType w:val="hybridMultilevel"/>
    <w:tmpl w:val="6C1E55C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484D81"/>
    <w:multiLevelType w:val="hybridMultilevel"/>
    <w:tmpl w:val="D7708F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601560A"/>
    <w:multiLevelType w:val="hybridMultilevel"/>
    <w:tmpl w:val="13D8BB30"/>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A13067"/>
    <w:multiLevelType w:val="hybridMultilevel"/>
    <w:tmpl w:val="3AB8313A"/>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E333D03"/>
    <w:multiLevelType w:val="hybridMultilevel"/>
    <w:tmpl w:val="C4DA9C8A"/>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FB62D9A"/>
    <w:multiLevelType w:val="hybridMultilevel"/>
    <w:tmpl w:val="545225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1"/>
  </w:num>
  <w:num w:numId="6">
    <w:abstractNumId w:val="11"/>
  </w:num>
  <w:num w:numId="7">
    <w:abstractNumId w:val="0"/>
  </w:num>
  <w:num w:numId="8">
    <w:abstractNumId w:val="9"/>
  </w:num>
  <w:num w:numId="9">
    <w:abstractNumId w:val="10"/>
  </w:num>
  <w:num w:numId="10">
    <w:abstractNumId w:val="13"/>
  </w:num>
  <w:num w:numId="11">
    <w:abstractNumId w:val="5"/>
  </w:num>
  <w:num w:numId="12">
    <w:abstractNumId w:val="14"/>
  </w:num>
  <w:num w:numId="13">
    <w:abstractNumId w:val="8"/>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6666A"/>
    <w:rsid w:val="000965B3"/>
    <w:rsid w:val="000C6CFF"/>
    <w:rsid w:val="000D17A2"/>
    <w:rsid w:val="00102733"/>
    <w:rsid w:val="00121C30"/>
    <w:rsid w:val="001561A4"/>
    <w:rsid w:val="001836A2"/>
    <w:rsid w:val="002A154B"/>
    <w:rsid w:val="002A3BD9"/>
    <w:rsid w:val="00357641"/>
    <w:rsid w:val="003D6063"/>
    <w:rsid w:val="003F271E"/>
    <w:rsid w:val="003F572A"/>
    <w:rsid w:val="004F2655"/>
    <w:rsid w:val="00521DA9"/>
    <w:rsid w:val="00527FAA"/>
    <w:rsid w:val="00544E0C"/>
    <w:rsid w:val="005529B6"/>
    <w:rsid w:val="0056132B"/>
    <w:rsid w:val="00561402"/>
    <w:rsid w:val="00570D93"/>
    <w:rsid w:val="0057532F"/>
    <w:rsid w:val="005B13BD"/>
    <w:rsid w:val="005B6CF5"/>
    <w:rsid w:val="005E417A"/>
    <w:rsid w:val="005F29B8"/>
    <w:rsid w:val="006249BD"/>
    <w:rsid w:val="00674BD4"/>
    <w:rsid w:val="00690AD5"/>
    <w:rsid w:val="006A2766"/>
    <w:rsid w:val="00710031"/>
    <w:rsid w:val="00743756"/>
    <w:rsid w:val="007B0F99"/>
    <w:rsid w:val="007C0E01"/>
    <w:rsid w:val="00843911"/>
    <w:rsid w:val="00844FA9"/>
    <w:rsid w:val="0089373E"/>
    <w:rsid w:val="008C1E1E"/>
    <w:rsid w:val="008D7D81"/>
    <w:rsid w:val="00932008"/>
    <w:rsid w:val="009609E9"/>
    <w:rsid w:val="009D5FD0"/>
    <w:rsid w:val="009E39E6"/>
    <w:rsid w:val="00A8146B"/>
    <w:rsid w:val="00AD2022"/>
    <w:rsid w:val="00B40246"/>
    <w:rsid w:val="00B841AE"/>
    <w:rsid w:val="00BB6799"/>
    <w:rsid w:val="00BD4582"/>
    <w:rsid w:val="00BE6A46"/>
    <w:rsid w:val="00C13808"/>
    <w:rsid w:val="00C33A23"/>
    <w:rsid w:val="00C43711"/>
    <w:rsid w:val="00C5744D"/>
    <w:rsid w:val="00CB543F"/>
    <w:rsid w:val="00CB5511"/>
    <w:rsid w:val="00CC2049"/>
    <w:rsid w:val="00D031DD"/>
    <w:rsid w:val="00D96F84"/>
    <w:rsid w:val="00DC11F2"/>
    <w:rsid w:val="00DD58B3"/>
    <w:rsid w:val="00DF63E7"/>
    <w:rsid w:val="00E3088D"/>
    <w:rsid w:val="00E34195"/>
    <w:rsid w:val="00E47613"/>
    <w:rsid w:val="00F14DA4"/>
    <w:rsid w:val="00F47C3B"/>
    <w:rsid w:val="00F71D7D"/>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57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57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A4C21"/>
    <w:rsid w:val="003D088C"/>
    <w:rsid w:val="00A94DEF"/>
    <w:rsid w:val="00BF2C04"/>
    <w:rsid w:val="00D35513"/>
    <w:rsid w:val="00DC0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116EB8C-A91B-4E40-B78B-BEF5CBAA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11</Pages>
  <Words>2692</Words>
  <Characters>14807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2023-07-17T08:39:00Z</dcterms:created>
  <dcterms:modified xsi:type="dcterms:W3CDTF">2023-07-17T08:39:00Z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