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100330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8A7C35" w:rsidRDefault="008A7C35" w:rsidP="00B40246">
                                <w:pPr>
                                  <w:pStyle w:val="Ttulodelboletn"/>
                                  <w:jc w:val="center"/>
                                  <w:rPr>
                                    <w:rFonts w:ascii="Century Gothic" w:hAnsi="Century Gothic"/>
                                    <w:sz w:val="50"/>
                                    <w:szCs w:val="50"/>
                                  </w:rPr>
                                </w:pPr>
                              </w:p>
                              <w:p w:rsidR="008A7C35" w:rsidRPr="00006957" w:rsidRDefault="008A7C35"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7.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" filled="f" stroked="f">
                <v:textbox inset=",7.2pt,,7.2pt">
                  <w:txbxContent>
                    <w:sdt>
                      <w:sdtPr>
                        <w:rPr>
                          <w:rFonts w:ascii="Century Gothic" w:hAnsi="Century Gothic"/>
                          <w:sz w:val="50"/>
                          <w:szCs w:val="50"/>
                        </w:rPr>
                        <w:id w:val="228783080"/>
                      </w:sdtPr>
                      <w:sdtContent>
                        <w:p w:rsidR="00A52CEF" w:rsidRDefault="00A52CEF" w:rsidP="00B40246">
                          <w:pPr>
                            <w:pStyle w:val="Ttulodelboletn"/>
                            <w:jc w:val="center"/>
                            <w:rPr>
                              <w:rFonts w:ascii="Century Gothic" w:hAnsi="Century Gothic"/>
                              <w:sz w:val="50"/>
                              <w:szCs w:val="50"/>
                            </w:rPr>
                          </w:pPr>
                        </w:p>
                        <w:p w:rsidR="00A52CEF" w:rsidRPr="00006957" w:rsidRDefault="00A52CEF"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8A7C35" w:rsidRDefault="008A7C35"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A52CEF" w:rsidRDefault="00A52CEF"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Entidad evaluada</w:t>
            </w:r>
          </w:p>
        </w:tc>
        <w:tc>
          <w:tcPr>
            <w:tcW w:w="6954" w:type="dxa"/>
          </w:tcPr>
          <w:p w:rsidR="00531D64" w:rsidRPr="00CB5511" w:rsidRDefault="00014341" w:rsidP="002615D8">
            <w:pPr>
              <w:rPr>
                <w:sz w:val="24"/>
                <w:szCs w:val="24"/>
              </w:rPr>
            </w:pPr>
            <w:r>
              <w:rPr>
                <w:sz w:val="24"/>
                <w:szCs w:val="24"/>
              </w:rPr>
              <w:t>Biblioteca Nacional de España, O.A. (BNE)</w:t>
            </w:r>
          </w:p>
        </w:tc>
      </w:tr>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Fecha de la evaluación</w:t>
            </w:r>
          </w:p>
        </w:tc>
        <w:tc>
          <w:tcPr>
            <w:tcW w:w="6954" w:type="dxa"/>
          </w:tcPr>
          <w:p w:rsidR="00531D64" w:rsidRPr="00CB5511" w:rsidRDefault="00014341" w:rsidP="007F4BBB">
            <w:pPr>
              <w:rPr>
                <w:sz w:val="24"/>
                <w:szCs w:val="24"/>
              </w:rPr>
            </w:pPr>
            <w:r>
              <w:rPr>
                <w:sz w:val="24"/>
                <w:szCs w:val="24"/>
              </w:rPr>
              <w:t>01/06/2023</w:t>
            </w:r>
          </w:p>
        </w:tc>
      </w:tr>
    </w:tbl>
    <w:p w:rsidR="00BA266E" w:rsidRDefault="00BA266E"/>
    <w:p w:rsidR="00561402" w:rsidRPr="0012783F" w:rsidRDefault="00180DE0">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BA266E" w:rsidRDefault="00BA266E" w:rsidP="0012783F">
      <w:pPr>
        <w:pStyle w:val="Cuerpodelboletn"/>
        <w:spacing w:before="120" w:after="120" w:line="312" w:lineRule="auto"/>
        <w:ind w:left="360"/>
        <w:rPr>
          <w:bCs/>
          <w:color w:val="auto"/>
          <w:szCs w:val="22"/>
        </w:rPr>
      </w:pPr>
    </w:p>
    <w:p w:rsidR="0012783F" w:rsidRDefault="00BA266E" w:rsidP="0012783F">
      <w:pPr>
        <w:pStyle w:val="Cuerpodelboletn"/>
        <w:spacing w:before="120" w:after="120" w:line="312" w:lineRule="auto"/>
        <w:ind w:left="360"/>
        <w:rPr>
          <w:bCs/>
          <w:color w:val="auto"/>
          <w:szCs w:val="22"/>
        </w:rPr>
      </w:pPr>
      <w:r w:rsidRPr="001D4699">
        <w:rPr>
          <w:bCs/>
          <w:color w:val="auto"/>
          <w:szCs w:val="22"/>
        </w:rPr>
        <w:t xml:space="preserve">La gestión de las solicitudes de acceso se efectúa por </w:t>
      </w:r>
      <w:r w:rsidR="001D4699">
        <w:rPr>
          <w:bCs/>
          <w:color w:val="auto"/>
          <w:szCs w:val="22"/>
        </w:rPr>
        <w:t xml:space="preserve">el </w:t>
      </w:r>
      <w:r w:rsidR="009473AA">
        <w:rPr>
          <w:bCs/>
          <w:color w:val="auto"/>
          <w:szCs w:val="22"/>
        </w:rPr>
        <w:t>Área de Asuntos Jurídicos</w:t>
      </w:r>
      <w:r w:rsidR="001D4699">
        <w:rPr>
          <w:bCs/>
          <w:color w:val="auto"/>
          <w:szCs w:val="22"/>
        </w:rPr>
        <w:t>. Esta activid</w:t>
      </w:r>
      <w:r w:rsidR="009473AA">
        <w:rPr>
          <w:bCs/>
          <w:color w:val="auto"/>
          <w:szCs w:val="22"/>
        </w:rPr>
        <w:t>ad se asume por dos personas</w:t>
      </w:r>
      <w:r w:rsidRPr="001D4699">
        <w:rPr>
          <w:bCs/>
          <w:color w:val="auto"/>
          <w:szCs w:val="22"/>
        </w:rPr>
        <w:t xml:space="preserve">. Ninguna </w:t>
      </w:r>
      <w:r w:rsidR="00DF6C30" w:rsidRPr="001D4699">
        <w:rPr>
          <w:bCs/>
          <w:color w:val="auto"/>
          <w:szCs w:val="22"/>
        </w:rPr>
        <w:t>de</w:t>
      </w:r>
      <w:r w:rsidR="00076680" w:rsidRPr="001D4699">
        <w:rPr>
          <w:bCs/>
          <w:color w:val="auto"/>
          <w:szCs w:val="22"/>
        </w:rPr>
        <w:t xml:space="preserve"> e</w:t>
      </w:r>
      <w:r w:rsidR="00DF6C30" w:rsidRPr="001D4699">
        <w:rPr>
          <w:bCs/>
          <w:color w:val="auto"/>
          <w:szCs w:val="22"/>
        </w:rPr>
        <w:t>l</w:t>
      </w:r>
      <w:r w:rsidRPr="001D4699">
        <w:rPr>
          <w:bCs/>
          <w:color w:val="auto"/>
          <w:szCs w:val="22"/>
        </w:rPr>
        <w:t>las se dedica exclusivamente</w:t>
      </w:r>
      <w:r w:rsidR="00531D64" w:rsidRPr="001D4699">
        <w:rPr>
          <w:bCs/>
          <w:color w:val="auto"/>
          <w:szCs w:val="22"/>
        </w:rPr>
        <w:t xml:space="preserve"> </w:t>
      </w:r>
      <w:r w:rsidRPr="001D4699">
        <w:rPr>
          <w:bCs/>
          <w:color w:val="auto"/>
          <w:szCs w:val="22"/>
        </w:rPr>
        <w:t>a la gestión de las solicitudes</w:t>
      </w:r>
      <w:r w:rsidR="00626819" w:rsidRPr="001D4699">
        <w:rPr>
          <w:bCs/>
          <w:color w:val="auto"/>
          <w:szCs w:val="22"/>
        </w:rPr>
        <w:t>.</w:t>
      </w:r>
    </w:p>
    <w:p w:rsidR="00BA266E" w:rsidRPr="00BA266E" w:rsidRDefault="00BA266E" w:rsidP="0012783F">
      <w:pPr>
        <w:pStyle w:val="Cuerpodelboletn"/>
        <w:spacing w:before="120" w:after="120" w:line="312" w:lineRule="auto"/>
        <w:ind w:left="360"/>
        <w:rPr>
          <w:bCs/>
          <w:color w:val="auto"/>
          <w:szCs w:val="22"/>
        </w:rPr>
      </w:pPr>
    </w:p>
    <w:p w:rsidR="00B812AB" w:rsidRPr="0012783F" w:rsidRDefault="00180DE0" w:rsidP="001E1C29">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w:t>
          </w:r>
          <w:r w:rsidR="0001691A">
            <w:rPr>
              <w:b/>
              <w:color w:val="00642D"/>
              <w:sz w:val="30"/>
              <w:szCs w:val="30"/>
            </w:rPr>
            <w:t>22</w:t>
          </w:r>
          <w:r w:rsidR="00B812AB">
            <w:rPr>
              <w:b/>
              <w:color w:val="00642D"/>
              <w:sz w:val="30"/>
              <w:szCs w:val="30"/>
            </w:rPr>
            <w:t xml:space="preserve"> por las solicitudes de acceso a información pública</w:t>
          </w:r>
          <w:r w:rsidR="00531D64">
            <w:rPr>
              <w:b/>
              <w:color w:val="00642D"/>
              <w:sz w:val="30"/>
              <w:szCs w:val="30"/>
            </w:rPr>
            <w:t xml:space="preserve"> </w:t>
          </w:r>
        </w:sdtContent>
      </w:sdt>
    </w:p>
    <w:p w:rsidR="009473AA" w:rsidRDefault="009473AA" w:rsidP="009473AA">
      <w:pPr>
        <w:pStyle w:val="Cuerpodelboletn"/>
        <w:spacing w:before="120" w:after="120" w:line="312" w:lineRule="auto"/>
        <w:ind w:left="360"/>
        <w:rPr>
          <w:rStyle w:val="Ttulo2Car"/>
          <w:color w:val="00642D"/>
          <w:lang w:bidi="es-ES"/>
        </w:rPr>
      </w:pPr>
      <w:r w:rsidRPr="00A41DD5">
        <w:rPr>
          <w:rStyle w:val="Ttulo2Car"/>
          <w:color w:val="00642D"/>
          <w:lang w:bidi="es-ES"/>
        </w:rPr>
        <w:t>II.1</w:t>
      </w:r>
      <w:r>
        <w:rPr>
          <w:rStyle w:val="Ttulo2Car"/>
          <w:color w:val="00642D"/>
          <w:lang w:bidi="es-ES"/>
        </w:rPr>
        <w:t xml:space="preserve"> </w:t>
      </w:r>
      <w:r w:rsidRPr="00B812AB">
        <w:rPr>
          <w:rStyle w:val="Ttulo2Car"/>
          <w:color w:val="00642D"/>
          <w:lang w:bidi="es-ES"/>
        </w:rPr>
        <w:t xml:space="preserve">Solicitudes gestionadas en </w:t>
      </w:r>
      <w:r>
        <w:rPr>
          <w:rStyle w:val="Ttulo2Car"/>
          <w:color w:val="00642D"/>
          <w:lang w:bidi="es-ES"/>
        </w:rPr>
        <w:t>2022</w:t>
      </w:r>
    </w:p>
    <w:p w:rsidR="009473AA" w:rsidRDefault="009473AA" w:rsidP="009473AA">
      <w:pPr>
        <w:ind w:left="426"/>
        <w:jc w:val="both"/>
      </w:pPr>
      <w:r w:rsidRPr="00ED4A93">
        <w:t>En 202</w:t>
      </w:r>
      <w:r>
        <w:t>2</w:t>
      </w:r>
      <w:r w:rsidRPr="00ED4A93">
        <w:t xml:space="preserve"> </w:t>
      </w:r>
      <w:r>
        <w:t>la BNE recibió 12</w:t>
      </w:r>
      <w:r w:rsidRPr="00ED4A93">
        <w:t xml:space="preserve"> solicitudes de información</w:t>
      </w:r>
      <w:r>
        <w:t xml:space="preserve">, no había solicitudes pendientes a 31 de diciembre de 2021. Todas estas solicitudes  se tramitaron a lo largo del año. </w:t>
      </w:r>
    </w:p>
    <w:p w:rsidR="009473AA" w:rsidRDefault="009473AA" w:rsidP="009473AA">
      <w:pPr>
        <w:pStyle w:val="Cuerpodelboletn"/>
        <w:spacing w:before="120" w:after="120" w:line="312" w:lineRule="auto"/>
        <w:ind w:left="360"/>
        <w:rPr>
          <w:rStyle w:val="Ttulo2Car"/>
          <w:color w:val="00642D"/>
          <w:lang w:bidi="es-ES"/>
        </w:rPr>
      </w:pPr>
      <w:r w:rsidRPr="00A41DD5">
        <w:rPr>
          <w:rStyle w:val="Ttulo2Car"/>
          <w:color w:val="00642D"/>
          <w:lang w:bidi="es-ES"/>
        </w:rPr>
        <w:t>II.</w:t>
      </w:r>
      <w:r>
        <w:rPr>
          <w:rStyle w:val="Ttulo2Car"/>
          <w:color w:val="00642D"/>
          <w:lang w:bidi="es-ES"/>
        </w:rPr>
        <w:t>2 Indicadores de tramitación en 2022</w:t>
      </w:r>
    </w:p>
    <w:p w:rsidR="009473AA" w:rsidRPr="00ED4A93" w:rsidRDefault="009473AA" w:rsidP="009473AA">
      <w:pPr>
        <w:ind w:left="426"/>
        <w:jc w:val="both"/>
        <w:rPr>
          <w:rStyle w:val="Ttulo2Car"/>
          <w:b w:val="0"/>
          <w:color w:val="auto"/>
          <w:sz w:val="22"/>
          <w:szCs w:val="22"/>
          <w:lang w:bidi="es-ES"/>
        </w:rPr>
      </w:pPr>
      <w:r w:rsidRPr="00ED4A93">
        <w:rPr>
          <w:rStyle w:val="Ttulo2Car"/>
          <w:b w:val="0"/>
          <w:color w:val="auto"/>
          <w:sz w:val="22"/>
          <w:szCs w:val="22"/>
          <w:lang w:bidi="es-ES"/>
        </w:rPr>
        <w:t>En 202</w:t>
      </w:r>
      <w:r>
        <w:rPr>
          <w:rStyle w:val="Ttulo2Car"/>
          <w:b w:val="0"/>
          <w:color w:val="auto"/>
          <w:sz w:val="22"/>
          <w:szCs w:val="22"/>
          <w:lang w:bidi="es-ES"/>
        </w:rPr>
        <w:t>2</w:t>
      </w:r>
      <w:r w:rsidRPr="00ED4A93">
        <w:rPr>
          <w:rStyle w:val="Ttulo2Car"/>
          <w:b w:val="0"/>
          <w:color w:val="auto"/>
          <w:sz w:val="22"/>
          <w:szCs w:val="22"/>
          <w:lang w:bidi="es-ES"/>
        </w:rPr>
        <w:t xml:space="preserve">, en promedio, cada una de las personas asignadas a </w:t>
      </w:r>
      <w:r>
        <w:rPr>
          <w:rStyle w:val="Ttulo2Car"/>
          <w:b w:val="0"/>
          <w:color w:val="auto"/>
          <w:sz w:val="22"/>
          <w:szCs w:val="22"/>
          <w:lang w:bidi="es-ES"/>
        </w:rPr>
        <w:t xml:space="preserve">gestión de las solicitudes de acceso a información de la BNE, </w:t>
      </w:r>
      <w:r w:rsidRPr="00ED4A93">
        <w:rPr>
          <w:rStyle w:val="Ttulo2Car"/>
          <w:b w:val="0"/>
          <w:color w:val="auto"/>
          <w:sz w:val="22"/>
          <w:szCs w:val="22"/>
          <w:lang w:bidi="es-ES"/>
        </w:rPr>
        <w:t xml:space="preserve">asumió </w:t>
      </w:r>
      <w:r>
        <w:rPr>
          <w:rStyle w:val="Ttulo2Car"/>
          <w:b w:val="0"/>
          <w:color w:val="auto"/>
          <w:sz w:val="22"/>
          <w:szCs w:val="22"/>
          <w:lang w:bidi="es-ES"/>
        </w:rPr>
        <w:t xml:space="preserve">la gestión de </w:t>
      </w:r>
      <w:r w:rsidR="00572C18">
        <w:rPr>
          <w:rStyle w:val="Ttulo2Car"/>
          <w:b w:val="0"/>
          <w:color w:val="auto"/>
          <w:sz w:val="22"/>
          <w:szCs w:val="22"/>
          <w:lang w:bidi="es-ES"/>
        </w:rPr>
        <w:t>6</w:t>
      </w:r>
      <w:r>
        <w:rPr>
          <w:rStyle w:val="Ttulo2Car"/>
          <w:b w:val="0"/>
          <w:color w:val="auto"/>
          <w:sz w:val="22"/>
          <w:szCs w:val="22"/>
          <w:lang w:bidi="es-ES"/>
        </w:rPr>
        <w:t xml:space="preserve"> solicitudes</w:t>
      </w:r>
      <w:r w:rsidR="00572C18">
        <w:rPr>
          <w:rStyle w:val="Ttulo2Car"/>
          <w:b w:val="0"/>
          <w:color w:val="auto"/>
          <w:sz w:val="22"/>
          <w:szCs w:val="22"/>
          <w:lang w:bidi="es-ES"/>
        </w:rPr>
        <w:t>.</w:t>
      </w:r>
      <w:r w:rsidRPr="00ED4A93">
        <w:rPr>
          <w:rStyle w:val="Ttulo2Car"/>
          <w:b w:val="0"/>
          <w:color w:val="auto"/>
          <w:sz w:val="22"/>
          <w:szCs w:val="22"/>
          <w:lang w:bidi="es-ES"/>
        </w:rPr>
        <w:t xml:space="preserve"> </w:t>
      </w:r>
    </w:p>
    <w:p w:rsidR="009473AA" w:rsidRDefault="009473AA" w:rsidP="009473AA">
      <w:pPr>
        <w:ind w:left="426"/>
        <w:jc w:val="both"/>
        <w:rPr>
          <w:rStyle w:val="Ttulo2Car"/>
          <w:b w:val="0"/>
          <w:color w:val="auto"/>
          <w:sz w:val="22"/>
          <w:szCs w:val="22"/>
          <w:lang w:bidi="es-ES"/>
        </w:rPr>
      </w:pPr>
      <w:r>
        <w:rPr>
          <w:rStyle w:val="Ttulo2Car"/>
          <w:b w:val="0"/>
          <w:color w:val="auto"/>
          <w:sz w:val="22"/>
          <w:szCs w:val="22"/>
          <w:lang w:bidi="es-ES"/>
        </w:rPr>
        <w:t>Se</w:t>
      </w:r>
      <w:r w:rsidRPr="00ED4A93">
        <w:rPr>
          <w:rStyle w:val="Ttulo2Car"/>
          <w:b w:val="0"/>
          <w:color w:val="auto"/>
          <w:sz w:val="22"/>
          <w:szCs w:val="22"/>
          <w:lang w:bidi="es-ES"/>
        </w:rPr>
        <w:t xml:space="preserve"> tramitó </w:t>
      </w:r>
      <w:r>
        <w:rPr>
          <w:rStyle w:val="Ttulo2Car"/>
          <w:b w:val="0"/>
          <w:color w:val="auto"/>
          <w:sz w:val="22"/>
          <w:szCs w:val="22"/>
          <w:lang w:bidi="es-ES"/>
        </w:rPr>
        <w:t xml:space="preserve">el </w:t>
      </w:r>
      <w:r w:rsidR="00572C18">
        <w:rPr>
          <w:rStyle w:val="Ttulo2Car"/>
          <w:b w:val="0"/>
          <w:color w:val="auto"/>
          <w:sz w:val="22"/>
          <w:szCs w:val="22"/>
          <w:lang w:bidi="es-ES"/>
        </w:rPr>
        <w:t xml:space="preserve">100% de las solicitudes </w:t>
      </w:r>
      <w:r>
        <w:rPr>
          <w:rStyle w:val="Ttulo2Car"/>
          <w:b w:val="0"/>
          <w:color w:val="auto"/>
          <w:sz w:val="22"/>
          <w:szCs w:val="22"/>
          <w:lang w:bidi="es-ES"/>
        </w:rPr>
        <w:t>recibidas en el año</w:t>
      </w:r>
      <w:r w:rsidR="00572C18">
        <w:rPr>
          <w:rStyle w:val="Ttulo2Car"/>
          <w:b w:val="0"/>
          <w:color w:val="auto"/>
          <w:sz w:val="22"/>
          <w:szCs w:val="22"/>
          <w:lang w:bidi="es-ES"/>
        </w:rPr>
        <w:t xml:space="preserve"> y todas</w:t>
      </w:r>
      <w:r w:rsidRPr="00ED23E9">
        <w:rPr>
          <w:rStyle w:val="Ttulo2Car"/>
          <w:b w:val="0"/>
          <w:color w:val="auto"/>
          <w:sz w:val="22"/>
          <w:szCs w:val="22"/>
          <w:lang w:bidi="es-ES"/>
        </w:rPr>
        <w:t xml:space="preserve"> ellas fueron admitidas</w:t>
      </w:r>
      <w:r w:rsidRPr="00ED4A93">
        <w:rPr>
          <w:rStyle w:val="Ttulo2Car"/>
          <w:b w:val="0"/>
          <w:color w:val="auto"/>
          <w:sz w:val="22"/>
          <w:szCs w:val="22"/>
          <w:lang w:bidi="es-ES"/>
        </w:rPr>
        <w:t>.</w:t>
      </w:r>
    </w:p>
    <w:p w:rsidR="009473AA" w:rsidRDefault="009473AA" w:rsidP="009473AA">
      <w:pPr>
        <w:ind w:left="426"/>
        <w:jc w:val="both"/>
        <w:rPr>
          <w:rStyle w:val="Ttulo2Car"/>
          <w:b w:val="0"/>
          <w:color w:val="auto"/>
          <w:sz w:val="22"/>
          <w:szCs w:val="22"/>
          <w:lang w:bidi="es-ES"/>
        </w:rPr>
      </w:pPr>
    </w:p>
    <w:p w:rsidR="00572C18" w:rsidRDefault="00572C18" w:rsidP="009473AA">
      <w:pPr>
        <w:ind w:left="426"/>
        <w:jc w:val="both"/>
        <w:rPr>
          <w:rStyle w:val="Ttulo2Car"/>
          <w:b w:val="0"/>
          <w:color w:val="auto"/>
          <w:sz w:val="22"/>
          <w:szCs w:val="22"/>
          <w:lang w:bidi="es-ES"/>
        </w:rPr>
      </w:pPr>
    </w:p>
    <w:p w:rsidR="00572C18" w:rsidRDefault="00572C18" w:rsidP="009473AA">
      <w:pPr>
        <w:ind w:left="426"/>
        <w:jc w:val="both"/>
        <w:rPr>
          <w:rStyle w:val="Ttulo2Car"/>
          <w:b w:val="0"/>
          <w:color w:val="auto"/>
          <w:sz w:val="22"/>
          <w:szCs w:val="22"/>
          <w:lang w:bidi="es-ES"/>
        </w:rPr>
      </w:pPr>
    </w:p>
    <w:p w:rsidR="009473AA" w:rsidRPr="00647481" w:rsidRDefault="009473AA" w:rsidP="009473AA">
      <w:pPr>
        <w:pStyle w:val="Epgrafe"/>
        <w:keepNext/>
        <w:ind w:left="426"/>
        <w:rPr>
          <w:rStyle w:val="Ttulo2Car"/>
          <w:b/>
          <w:color w:val="00642D"/>
          <w:sz w:val="22"/>
          <w:szCs w:val="22"/>
          <w:lang w:bidi="es-ES"/>
        </w:rPr>
      </w:pPr>
      <w:r w:rsidRPr="00647481">
        <w:rPr>
          <w:rStyle w:val="Ttulo2Car"/>
          <w:b/>
          <w:color w:val="00642D"/>
          <w:sz w:val="22"/>
          <w:szCs w:val="22"/>
          <w:lang w:bidi="es-ES"/>
        </w:rPr>
        <w:lastRenderedPageBreak/>
        <w:t xml:space="preserve">Tabla </w:t>
      </w:r>
      <w:r w:rsidRPr="00647481">
        <w:rPr>
          <w:rStyle w:val="Ttulo2Car"/>
          <w:b/>
          <w:color w:val="00642D"/>
          <w:sz w:val="22"/>
          <w:szCs w:val="22"/>
          <w:lang w:bidi="es-ES"/>
        </w:rPr>
        <w:fldChar w:fldCharType="begin"/>
      </w:r>
      <w:r w:rsidRPr="00647481">
        <w:rPr>
          <w:rStyle w:val="Ttulo2Car"/>
          <w:b/>
          <w:color w:val="00642D"/>
          <w:sz w:val="22"/>
          <w:szCs w:val="22"/>
          <w:lang w:bidi="es-ES"/>
        </w:rPr>
        <w:instrText xml:space="preserve"> SEQ Tabla \* ARABIC </w:instrText>
      </w:r>
      <w:r w:rsidRPr="00647481">
        <w:rPr>
          <w:rStyle w:val="Ttulo2Car"/>
          <w:b/>
          <w:color w:val="00642D"/>
          <w:sz w:val="22"/>
          <w:szCs w:val="22"/>
          <w:lang w:bidi="es-ES"/>
        </w:rPr>
        <w:fldChar w:fldCharType="separate"/>
      </w:r>
      <w:r>
        <w:rPr>
          <w:rStyle w:val="Ttulo2Car"/>
          <w:b/>
          <w:noProof/>
          <w:color w:val="00642D"/>
          <w:sz w:val="22"/>
          <w:szCs w:val="22"/>
          <w:lang w:bidi="es-ES"/>
        </w:rPr>
        <w:t>1</w:t>
      </w:r>
      <w:r w:rsidRPr="00647481">
        <w:rPr>
          <w:rStyle w:val="Ttulo2Car"/>
          <w:b/>
          <w:color w:val="00642D"/>
          <w:sz w:val="22"/>
          <w:szCs w:val="22"/>
          <w:lang w:bidi="es-ES"/>
        </w:rPr>
        <w:fldChar w:fldCharType="end"/>
      </w:r>
      <w:r w:rsidRPr="00647481">
        <w:rPr>
          <w:rStyle w:val="Ttulo2Car"/>
          <w:b/>
          <w:color w:val="00642D"/>
          <w:sz w:val="22"/>
          <w:szCs w:val="22"/>
          <w:lang w:bidi="es-ES"/>
        </w:rPr>
        <w:t xml:space="preserve">: Indicadores de tramitación </w:t>
      </w:r>
      <w:r>
        <w:rPr>
          <w:rStyle w:val="Ttulo2Car"/>
          <w:b/>
          <w:color w:val="00642D"/>
          <w:sz w:val="22"/>
          <w:szCs w:val="22"/>
          <w:lang w:bidi="es-ES"/>
        </w:rPr>
        <w:t>2022</w:t>
      </w:r>
    </w:p>
    <w:tbl>
      <w:tblPr>
        <w:tblStyle w:val="Tablaconcuadrcula"/>
        <w:tblW w:w="0" w:type="auto"/>
        <w:tblInd w:w="534" w:type="dxa"/>
        <w:tblLook w:val="04A0" w:firstRow="1" w:lastRow="0" w:firstColumn="1" w:lastColumn="0" w:noHBand="0" w:noVBand="1"/>
      </w:tblPr>
      <w:tblGrid>
        <w:gridCol w:w="1299"/>
        <w:gridCol w:w="6322"/>
        <w:gridCol w:w="1559"/>
      </w:tblGrid>
      <w:tr w:rsidR="009473AA" w:rsidRPr="00706E04" w:rsidTr="009473AA">
        <w:tc>
          <w:tcPr>
            <w:tcW w:w="1299" w:type="dxa"/>
            <w:vMerge w:val="restart"/>
            <w:tcBorders>
              <w:top w:val="nil"/>
              <w:right w:val="nil"/>
            </w:tcBorders>
            <w:shd w:val="clear" w:color="auto" w:fill="4D7F52"/>
            <w:textDirection w:val="btLr"/>
          </w:tcPr>
          <w:p w:rsidR="009473AA" w:rsidRPr="005B3C15" w:rsidRDefault="009473AA" w:rsidP="009473AA">
            <w:pPr>
              <w:ind w:left="113" w:right="113"/>
              <w:jc w:val="center"/>
              <w:rPr>
                <w:b/>
                <w:color w:val="FFFFFF" w:themeColor="background1"/>
              </w:rPr>
            </w:pPr>
            <w:r w:rsidRPr="005B3C15">
              <w:rPr>
                <w:b/>
                <w:color w:val="FFFFFF" w:themeColor="background1"/>
              </w:rPr>
              <w:t>Indicadores de tramitación</w:t>
            </w:r>
          </w:p>
        </w:tc>
        <w:tc>
          <w:tcPr>
            <w:tcW w:w="6322" w:type="dxa"/>
            <w:tcBorders>
              <w:left w:val="nil"/>
            </w:tcBorders>
          </w:tcPr>
          <w:p w:rsidR="009473AA" w:rsidRPr="006A2E9A" w:rsidRDefault="009473AA" w:rsidP="009473AA">
            <w:pPr>
              <w:rPr>
                <w:sz w:val="20"/>
                <w:szCs w:val="20"/>
              </w:rPr>
            </w:pPr>
            <w:r w:rsidRPr="006A2E9A">
              <w:rPr>
                <w:sz w:val="20"/>
                <w:szCs w:val="20"/>
              </w:rPr>
              <w:t>Solicitudes/persona UIT</w:t>
            </w:r>
          </w:p>
        </w:tc>
        <w:tc>
          <w:tcPr>
            <w:tcW w:w="1559" w:type="dxa"/>
            <w:vAlign w:val="center"/>
          </w:tcPr>
          <w:p w:rsidR="009473AA" w:rsidRPr="00577A83" w:rsidRDefault="00572C18" w:rsidP="009473AA">
            <w:pPr>
              <w:jc w:val="center"/>
              <w:rPr>
                <w:sz w:val="20"/>
                <w:szCs w:val="20"/>
              </w:rPr>
            </w:pPr>
            <w:r>
              <w:rPr>
                <w:sz w:val="20"/>
                <w:szCs w:val="20"/>
              </w:rPr>
              <w:t>6</w:t>
            </w:r>
          </w:p>
        </w:tc>
      </w:tr>
      <w:tr w:rsidR="009473AA" w:rsidRPr="00706E04" w:rsidTr="009473AA">
        <w:tc>
          <w:tcPr>
            <w:tcW w:w="1299" w:type="dxa"/>
            <w:vMerge/>
            <w:tcBorders>
              <w:top w:val="nil"/>
              <w:right w:val="nil"/>
            </w:tcBorders>
            <w:shd w:val="clear" w:color="auto" w:fill="4D7F52"/>
            <w:textDirection w:val="btLr"/>
          </w:tcPr>
          <w:p w:rsidR="009473AA" w:rsidRPr="005B3C15" w:rsidRDefault="009473AA" w:rsidP="009473AA">
            <w:pPr>
              <w:ind w:left="113" w:right="113"/>
              <w:jc w:val="center"/>
              <w:rPr>
                <w:b/>
                <w:color w:val="FFFFFF" w:themeColor="background1"/>
              </w:rPr>
            </w:pPr>
          </w:p>
        </w:tc>
        <w:tc>
          <w:tcPr>
            <w:tcW w:w="6322" w:type="dxa"/>
            <w:tcBorders>
              <w:left w:val="nil"/>
            </w:tcBorders>
          </w:tcPr>
          <w:p w:rsidR="009473AA" w:rsidRPr="006A2E9A" w:rsidRDefault="009473AA" w:rsidP="009473AA">
            <w:pPr>
              <w:rPr>
                <w:sz w:val="20"/>
                <w:szCs w:val="20"/>
              </w:rPr>
            </w:pPr>
            <w:r w:rsidRPr="006A2E9A">
              <w:rPr>
                <w:sz w:val="20"/>
                <w:szCs w:val="20"/>
              </w:rPr>
              <w:t>Solicitudes tramitadas/persona UIT</w:t>
            </w:r>
          </w:p>
        </w:tc>
        <w:tc>
          <w:tcPr>
            <w:tcW w:w="1559" w:type="dxa"/>
            <w:vAlign w:val="center"/>
          </w:tcPr>
          <w:p w:rsidR="009473AA" w:rsidRPr="00577A83" w:rsidRDefault="009473AA" w:rsidP="009473AA">
            <w:pPr>
              <w:jc w:val="center"/>
              <w:rPr>
                <w:sz w:val="20"/>
                <w:szCs w:val="20"/>
              </w:rPr>
            </w:pPr>
            <w:r>
              <w:rPr>
                <w:sz w:val="20"/>
                <w:szCs w:val="20"/>
              </w:rPr>
              <w:t>6</w:t>
            </w:r>
          </w:p>
        </w:tc>
      </w:tr>
      <w:tr w:rsidR="009473AA" w:rsidRPr="00706E04" w:rsidTr="009473AA">
        <w:tc>
          <w:tcPr>
            <w:tcW w:w="1299" w:type="dxa"/>
            <w:vMerge/>
            <w:tcBorders>
              <w:right w:val="nil"/>
            </w:tcBorders>
            <w:shd w:val="clear" w:color="auto" w:fill="4D7F52"/>
            <w:textDirection w:val="btLr"/>
          </w:tcPr>
          <w:p w:rsidR="009473AA" w:rsidRPr="005B3C15" w:rsidRDefault="009473AA" w:rsidP="009473AA">
            <w:pPr>
              <w:ind w:left="113" w:right="113"/>
              <w:jc w:val="center"/>
              <w:rPr>
                <w:b/>
                <w:color w:val="FFFFFF" w:themeColor="background1"/>
              </w:rPr>
            </w:pPr>
          </w:p>
        </w:tc>
        <w:tc>
          <w:tcPr>
            <w:tcW w:w="6322" w:type="dxa"/>
            <w:tcBorders>
              <w:left w:val="nil"/>
            </w:tcBorders>
          </w:tcPr>
          <w:p w:rsidR="009473AA" w:rsidRPr="006A2E9A" w:rsidRDefault="009473AA" w:rsidP="009473AA">
            <w:pPr>
              <w:rPr>
                <w:sz w:val="20"/>
                <w:szCs w:val="20"/>
              </w:rPr>
            </w:pPr>
            <w:r w:rsidRPr="006A2E9A">
              <w:rPr>
                <w:sz w:val="20"/>
                <w:szCs w:val="20"/>
              </w:rPr>
              <w:t>Tasa de Tramitación (tramitadas/(pendientes a 31/12/20</w:t>
            </w:r>
            <w:r>
              <w:rPr>
                <w:sz w:val="20"/>
                <w:szCs w:val="20"/>
              </w:rPr>
              <w:t>21</w:t>
            </w:r>
            <w:r w:rsidRPr="006A2E9A">
              <w:rPr>
                <w:sz w:val="20"/>
                <w:szCs w:val="20"/>
              </w:rPr>
              <w:t xml:space="preserve"> + recibidas 202</w:t>
            </w:r>
            <w:r>
              <w:rPr>
                <w:sz w:val="20"/>
                <w:szCs w:val="20"/>
              </w:rPr>
              <w:t>2</w:t>
            </w:r>
            <w:r w:rsidRPr="006A2E9A">
              <w:rPr>
                <w:sz w:val="20"/>
                <w:szCs w:val="20"/>
              </w:rPr>
              <w:t>))</w:t>
            </w:r>
          </w:p>
        </w:tc>
        <w:tc>
          <w:tcPr>
            <w:tcW w:w="1559" w:type="dxa"/>
            <w:vAlign w:val="center"/>
          </w:tcPr>
          <w:p w:rsidR="009473AA" w:rsidRPr="00577A83" w:rsidRDefault="00572C18" w:rsidP="009473AA">
            <w:pPr>
              <w:jc w:val="center"/>
              <w:rPr>
                <w:sz w:val="20"/>
                <w:szCs w:val="20"/>
              </w:rPr>
            </w:pPr>
            <w:r>
              <w:rPr>
                <w:sz w:val="20"/>
                <w:szCs w:val="20"/>
              </w:rPr>
              <w:t>100</w:t>
            </w:r>
          </w:p>
        </w:tc>
      </w:tr>
      <w:tr w:rsidR="009473AA" w:rsidRPr="00706E04" w:rsidTr="009473AA">
        <w:tc>
          <w:tcPr>
            <w:tcW w:w="1299" w:type="dxa"/>
            <w:vMerge/>
            <w:tcBorders>
              <w:right w:val="nil"/>
            </w:tcBorders>
            <w:shd w:val="clear" w:color="auto" w:fill="4D7F52"/>
            <w:textDirection w:val="btLr"/>
          </w:tcPr>
          <w:p w:rsidR="009473AA" w:rsidRPr="005B3C15" w:rsidRDefault="009473AA" w:rsidP="009473AA">
            <w:pPr>
              <w:ind w:left="113" w:right="113"/>
              <w:jc w:val="center"/>
              <w:rPr>
                <w:b/>
                <w:color w:val="FFFFFF" w:themeColor="background1"/>
              </w:rPr>
            </w:pPr>
          </w:p>
        </w:tc>
        <w:tc>
          <w:tcPr>
            <w:tcW w:w="6322" w:type="dxa"/>
            <w:tcBorders>
              <w:left w:val="nil"/>
            </w:tcBorders>
          </w:tcPr>
          <w:p w:rsidR="009473AA" w:rsidRPr="006A2E9A" w:rsidRDefault="009473AA" w:rsidP="009473AA">
            <w:pPr>
              <w:rPr>
                <w:sz w:val="20"/>
                <w:szCs w:val="20"/>
              </w:rPr>
            </w:pPr>
            <w:r w:rsidRPr="006A2E9A">
              <w:rPr>
                <w:sz w:val="20"/>
                <w:szCs w:val="20"/>
              </w:rPr>
              <w:t>Tasa de pendencia (pendientes a 31/12/202</w:t>
            </w:r>
            <w:r>
              <w:rPr>
                <w:sz w:val="20"/>
                <w:szCs w:val="20"/>
              </w:rPr>
              <w:t>2</w:t>
            </w:r>
            <w:r w:rsidRPr="006A2E9A">
              <w:rPr>
                <w:sz w:val="20"/>
                <w:szCs w:val="20"/>
              </w:rPr>
              <w:t xml:space="preserve"> / tramitadas)</w:t>
            </w:r>
          </w:p>
        </w:tc>
        <w:tc>
          <w:tcPr>
            <w:tcW w:w="1559" w:type="dxa"/>
            <w:vAlign w:val="center"/>
          </w:tcPr>
          <w:p w:rsidR="009473AA" w:rsidRPr="00577A83" w:rsidRDefault="00572C18" w:rsidP="009473AA">
            <w:pPr>
              <w:jc w:val="center"/>
              <w:rPr>
                <w:sz w:val="20"/>
                <w:szCs w:val="20"/>
              </w:rPr>
            </w:pPr>
            <w:r>
              <w:rPr>
                <w:sz w:val="20"/>
                <w:szCs w:val="20"/>
              </w:rPr>
              <w:t>0</w:t>
            </w:r>
          </w:p>
        </w:tc>
      </w:tr>
      <w:tr w:rsidR="009473AA" w:rsidRPr="00706E04" w:rsidTr="009473AA">
        <w:tc>
          <w:tcPr>
            <w:tcW w:w="1299" w:type="dxa"/>
            <w:vMerge/>
            <w:tcBorders>
              <w:right w:val="nil"/>
            </w:tcBorders>
            <w:shd w:val="clear" w:color="auto" w:fill="4D7F52"/>
            <w:textDirection w:val="btLr"/>
          </w:tcPr>
          <w:p w:rsidR="009473AA" w:rsidRPr="005B3C15" w:rsidRDefault="009473AA" w:rsidP="009473AA">
            <w:pPr>
              <w:ind w:left="113" w:right="113"/>
              <w:jc w:val="center"/>
              <w:rPr>
                <w:b/>
                <w:color w:val="FFFFFF" w:themeColor="background1"/>
              </w:rPr>
            </w:pPr>
          </w:p>
        </w:tc>
        <w:tc>
          <w:tcPr>
            <w:tcW w:w="6322" w:type="dxa"/>
            <w:tcBorders>
              <w:left w:val="nil"/>
            </w:tcBorders>
          </w:tcPr>
          <w:p w:rsidR="009473AA" w:rsidRPr="006A2E9A" w:rsidRDefault="009473AA" w:rsidP="009473AA">
            <w:pPr>
              <w:rPr>
                <w:sz w:val="20"/>
                <w:szCs w:val="20"/>
              </w:rPr>
            </w:pPr>
            <w:r w:rsidRPr="006A2E9A">
              <w:rPr>
                <w:sz w:val="20"/>
                <w:szCs w:val="20"/>
              </w:rPr>
              <w:t>Tasa de resolución en la tramitación (tramitadas/entradas en 202</w:t>
            </w:r>
            <w:r>
              <w:rPr>
                <w:sz w:val="20"/>
                <w:szCs w:val="20"/>
              </w:rPr>
              <w:t>2</w:t>
            </w:r>
            <w:r w:rsidRPr="006A2E9A">
              <w:rPr>
                <w:sz w:val="20"/>
                <w:szCs w:val="20"/>
              </w:rPr>
              <w:t>)</w:t>
            </w:r>
          </w:p>
        </w:tc>
        <w:tc>
          <w:tcPr>
            <w:tcW w:w="1559" w:type="dxa"/>
            <w:vAlign w:val="center"/>
          </w:tcPr>
          <w:p w:rsidR="009473AA" w:rsidRPr="00577A83" w:rsidRDefault="00572C18" w:rsidP="009473AA">
            <w:pPr>
              <w:jc w:val="center"/>
              <w:rPr>
                <w:sz w:val="20"/>
                <w:szCs w:val="20"/>
              </w:rPr>
            </w:pPr>
            <w:r>
              <w:rPr>
                <w:sz w:val="20"/>
                <w:szCs w:val="20"/>
              </w:rPr>
              <w:t>100</w:t>
            </w:r>
          </w:p>
        </w:tc>
      </w:tr>
      <w:tr w:rsidR="009473AA" w:rsidRPr="00706E04" w:rsidTr="009473AA">
        <w:tc>
          <w:tcPr>
            <w:tcW w:w="1299" w:type="dxa"/>
            <w:vMerge/>
            <w:tcBorders>
              <w:right w:val="nil"/>
            </w:tcBorders>
            <w:shd w:val="clear" w:color="auto" w:fill="4D7F52"/>
            <w:textDirection w:val="btLr"/>
          </w:tcPr>
          <w:p w:rsidR="009473AA" w:rsidRPr="005B3C15" w:rsidRDefault="009473AA" w:rsidP="009473AA">
            <w:pPr>
              <w:ind w:left="113" w:right="113"/>
              <w:jc w:val="center"/>
              <w:rPr>
                <w:b/>
                <w:color w:val="FFFFFF" w:themeColor="background1"/>
              </w:rPr>
            </w:pPr>
          </w:p>
        </w:tc>
        <w:tc>
          <w:tcPr>
            <w:tcW w:w="6322" w:type="dxa"/>
            <w:tcBorders>
              <w:left w:val="nil"/>
            </w:tcBorders>
          </w:tcPr>
          <w:p w:rsidR="009473AA" w:rsidRPr="006A2E9A" w:rsidRDefault="009473AA" w:rsidP="009473AA">
            <w:pPr>
              <w:rPr>
                <w:sz w:val="20"/>
                <w:szCs w:val="20"/>
              </w:rPr>
            </w:pPr>
            <w:r w:rsidRPr="006A2E9A">
              <w:rPr>
                <w:sz w:val="20"/>
                <w:szCs w:val="20"/>
              </w:rPr>
              <w:t>Tasa de congestión ((pendientes a 31/12/20</w:t>
            </w:r>
            <w:r>
              <w:rPr>
                <w:sz w:val="20"/>
                <w:szCs w:val="20"/>
              </w:rPr>
              <w:t>21</w:t>
            </w:r>
            <w:r w:rsidRPr="006A2E9A">
              <w:rPr>
                <w:sz w:val="20"/>
                <w:szCs w:val="20"/>
              </w:rPr>
              <w:t xml:space="preserve"> + entradas 202</w:t>
            </w:r>
            <w:r>
              <w:rPr>
                <w:sz w:val="20"/>
                <w:szCs w:val="20"/>
              </w:rPr>
              <w:t>2</w:t>
            </w:r>
            <w:r w:rsidRPr="006A2E9A">
              <w:rPr>
                <w:sz w:val="20"/>
                <w:szCs w:val="20"/>
              </w:rPr>
              <w:t>) / tramitadas</w:t>
            </w:r>
          </w:p>
        </w:tc>
        <w:tc>
          <w:tcPr>
            <w:tcW w:w="1559" w:type="dxa"/>
            <w:vAlign w:val="center"/>
          </w:tcPr>
          <w:p w:rsidR="009473AA" w:rsidRPr="00577A83" w:rsidRDefault="00572C18" w:rsidP="009473AA">
            <w:pPr>
              <w:jc w:val="center"/>
              <w:rPr>
                <w:sz w:val="20"/>
                <w:szCs w:val="20"/>
              </w:rPr>
            </w:pPr>
            <w:r>
              <w:rPr>
                <w:sz w:val="20"/>
                <w:szCs w:val="20"/>
              </w:rPr>
              <w:t>1</w:t>
            </w:r>
          </w:p>
        </w:tc>
      </w:tr>
      <w:tr w:rsidR="009473AA" w:rsidRPr="00706E04" w:rsidTr="009473AA">
        <w:tc>
          <w:tcPr>
            <w:tcW w:w="1299" w:type="dxa"/>
            <w:vMerge/>
            <w:tcBorders>
              <w:right w:val="nil"/>
            </w:tcBorders>
            <w:shd w:val="clear" w:color="auto" w:fill="4D7F52"/>
            <w:textDirection w:val="btLr"/>
          </w:tcPr>
          <w:p w:rsidR="009473AA" w:rsidRPr="005B3C15" w:rsidRDefault="009473AA" w:rsidP="009473AA">
            <w:pPr>
              <w:ind w:left="113" w:right="113"/>
              <w:jc w:val="center"/>
              <w:rPr>
                <w:b/>
                <w:color w:val="FFFFFF" w:themeColor="background1"/>
              </w:rPr>
            </w:pPr>
          </w:p>
        </w:tc>
        <w:tc>
          <w:tcPr>
            <w:tcW w:w="6322" w:type="dxa"/>
            <w:tcBorders>
              <w:left w:val="nil"/>
            </w:tcBorders>
          </w:tcPr>
          <w:p w:rsidR="009473AA" w:rsidRPr="006A2E9A" w:rsidRDefault="009473AA" w:rsidP="009473AA">
            <w:pPr>
              <w:rPr>
                <w:sz w:val="20"/>
                <w:szCs w:val="20"/>
              </w:rPr>
            </w:pPr>
            <w:r w:rsidRPr="006A2E9A">
              <w:rPr>
                <w:sz w:val="20"/>
                <w:szCs w:val="20"/>
              </w:rPr>
              <w:t>Tiempo medio estimado para la tramitación de las solicitudes pendientes (pendientes a 31/12/202</w:t>
            </w:r>
            <w:r>
              <w:rPr>
                <w:sz w:val="20"/>
                <w:szCs w:val="20"/>
              </w:rPr>
              <w:t>1</w:t>
            </w:r>
            <w:r w:rsidRPr="006A2E9A">
              <w:rPr>
                <w:sz w:val="20"/>
                <w:szCs w:val="20"/>
              </w:rPr>
              <w:t xml:space="preserve"> / tramitadas)*365 </w:t>
            </w:r>
          </w:p>
        </w:tc>
        <w:tc>
          <w:tcPr>
            <w:tcW w:w="1559" w:type="dxa"/>
            <w:vAlign w:val="center"/>
          </w:tcPr>
          <w:p w:rsidR="009473AA" w:rsidRPr="00577A83" w:rsidRDefault="00572C18" w:rsidP="009473AA">
            <w:pPr>
              <w:jc w:val="center"/>
              <w:rPr>
                <w:sz w:val="20"/>
                <w:szCs w:val="20"/>
              </w:rPr>
            </w:pPr>
            <w:r>
              <w:rPr>
                <w:sz w:val="20"/>
                <w:szCs w:val="20"/>
              </w:rPr>
              <w:t>0</w:t>
            </w:r>
          </w:p>
        </w:tc>
      </w:tr>
      <w:tr w:rsidR="00572C18" w:rsidRPr="00706E04" w:rsidTr="00572C18">
        <w:tc>
          <w:tcPr>
            <w:tcW w:w="1299" w:type="dxa"/>
            <w:vMerge/>
            <w:tcBorders>
              <w:right w:val="nil"/>
            </w:tcBorders>
            <w:shd w:val="clear" w:color="auto" w:fill="4D7F52"/>
            <w:textDirection w:val="btLr"/>
          </w:tcPr>
          <w:p w:rsidR="00572C18" w:rsidRPr="005B3C15" w:rsidRDefault="00572C18" w:rsidP="009473AA">
            <w:pPr>
              <w:ind w:left="113" w:right="113"/>
              <w:jc w:val="center"/>
              <w:rPr>
                <w:b/>
                <w:color w:val="FFFFFF" w:themeColor="background1"/>
              </w:rPr>
            </w:pPr>
          </w:p>
        </w:tc>
        <w:tc>
          <w:tcPr>
            <w:tcW w:w="6322" w:type="dxa"/>
            <w:tcBorders>
              <w:left w:val="nil"/>
            </w:tcBorders>
          </w:tcPr>
          <w:p w:rsidR="00572C18" w:rsidRPr="006A2E9A" w:rsidRDefault="00572C18" w:rsidP="009473AA">
            <w:pPr>
              <w:rPr>
                <w:sz w:val="20"/>
                <w:szCs w:val="20"/>
              </w:rPr>
            </w:pPr>
            <w:r w:rsidRPr="006A2E9A">
              <w:rPr>
                <w:sz w:val="20"/>
                <w:szCs w:val="20"/>
              </w:rPr>
              <w:t>Tasa de admisión (admitidas/tramitadas)</w:t>
            </w:r>
          </w:p>
        </w:tc>
        <w:tc>
          <w:tcPr>
            <w:tcW w:w="1559" w:type="dxa"/>
          </w:tcPr>
          <w:p w:rsidR="00572C18" w:rsidRPr="00572C18" w:rsidRDefault="00572C18" w:rsidP="00572C18">
            <w:pPr>
              <w:jc w:val="center"/>
              <w:rPr>
                <w:sz w:val="20"/>
              </w:rPr>
            </w:pPr>
            <w:r w:rsidRPr="00572C18">
              <w:rPr>
                <w:sz w:val="20"/>
              </w:rPr>
              <w:t>0</w:t>
            </w:r>
          </w:p>
        </w:tc>
      </w:tr>
      <w:tr w:rsidR="00572C18" w:rsidRPr="00706E04" w:rsidTr="00572C18">
        <w:tc>
          <w:tcPr>
            <w:tcW w:w="1299" w:type="dxa"/>
            <w:vMerge/>
            <w:tcBorders>
              <w:right w:val="nil"/>
            </w:tcBorders>
            <w:shd w:val="clear" w:color="auto" w:fill="4D7F52"/>
            <w:textDirection w:val="btLr"/>
          </w:tcPr>
          <w:p w:rsidR="00572C18" w:rsidRPr="005B3C15" w:rsidRDefault="00572C18" w:rsidP="009473AA">
            <w:pPr>
              <w:ind w:left="113" w:right="113"/>
              <w:jc w:val="center"/>
              <w:rPr>
                <w:b/>
                <w:color w:val="FFFFFF" w:themeColor="background1"/>
              </w:rPr>
            </w:pPr>
          </w:p>
        </w:tc>
        <w:tc>
          <w:tcPr>
            <w:tcW w:w="6322" w:type="dxa"/>
            <w:tcBorders>
              <w:left w:val="nil"/>
            </w:tcBorders>
          </w:tcPr>
          <w:p w:rsidR="00572C18" w:rsidRPr="006A2E9A" w:rsidRDefault="00572C18" w:rsidP="009473AA">
            <w:pPr>
              <w:rPr>
                <w:sz w:val="20"/>
                <w:szCs w:val="20"/>
              </w:rPr>
            </w:pPr>
            <w:r w:rsidRPr="006A2E9A">
              <w:rPr>
                <w:sz w:val="20"/>
                <w:szCs w:val="20"/>
              </w:rPr>
              <w:t>Tasa de inadmisión (inadmitidas/ tramitadas)</w:t>
            </w:r>
          </w:p>
        </w:tc>
        <w:tc>
          <w:tcPr>
            <w:tcW w:w="1559" w:type="dxa"/>
          </w:tcPr>
          <w:p w:rsidR="00572C18" w:rsidRPr="00572C18" w:rsidRDefault="00572C18" w:rsidP="00572C18">
            <w:pPr>
              <w:jc w:val="center"/>
              <w:rPr>
                <w:sz w:val="20"/>
              </w:rPr>
            </w:pPr>
            <w:r w:rsidRPr="00572C18">
              <w:rPr>
                <w:sz w:val="20"/>
              </w:rPr>
              <w:t>0</w:t>
            </w:r>
          </w:p>
        </w:tc>
      </w:tr>
      <w:tr w:rsidR="00572C18" w:rsidRPr="00706E04" w:rsidTr="00572C18">
        <w:tc>
          <w:tcPr>
            <w:tcW w:w="1299" w:type="dxa"/>
            <w:vMerge/>
            <w:tcBorders>
              <w:right w:val="nil"/>
            </w:tcBorders>
            <w:shd w:val="clear" w:color="auto" w:fill="4D7F52"/>
            <w:textDirection w:val="btLr"/>
          </w:tcPr>
          <w:p w:rsidR="00572C18" w:rsidRPr="005B3C15" w:rsidRDefault="00572C18" w:rsidP="009473AA">
            <w:pPr>
              <w:ind w:left="113" w:right="113"/>
              <w:jc w:val="center"/>
              <w:rPr>
                <w:b/>
                <w:color w:val="FFFFFF" w:themeColor="background1"/>
              </w:rPr>
            </w:pPr>
          </w:p>
        </w:tc>
        <w:tc>
          <w:tcPr>
            <w:tcW w:w="6322" w:type="dxa"/>
            <w:tcBorders>
              <w:left w:val="nil"/>
            </w:tcBorders>
          </w:tcPr>
          <w:p w:rsidR="00572C18" w:rsidRPr="006A2E9A" w:rsidRDefault="00572C18" w:rsidP="009473AA">
            <w:pPr>
              <w:rPr>
                <w:sz w:val="20"/>
                <w:szCs w:val="20"/>
              </w:rPr>
            </w:pPr>
            <w:r w:rsidRPr="006A2E9A">
              <w:rPr>
                <w:sz w:val="20"/>
                <w:szCs w:val="20"/>
              </w:rPr>
              <w:t>Tasa de archivo (archivadas/tramitadas)</w:t>
            </w:r>
          </w:p>
        </w:tc>
        <w:tc>
          <w:tcPr>
            <w:tcW w:w="1559" w:type="dxa"/>
          </w:tcPr>
          <w:p w:rsidR="00572C18" w:rsidRPr="00572C18" w:rsidRDefault="00572C18" w:rsidP="00572C18">
            <w:pPr>
              <w:jc w:val="center"/>
              <w:rPr>
                <w:sz w:val="20"/>
              </w:rPr>
            </w:pPr>
            <w:r w:rsidRPr="00572C18">
              <w:rPr>
                <w:sz w:val="20"/>
              </w:rPr>
              <w:t>0</w:t>
            </w:r>
          </w:p>
        </w:tc>
      </w:tr>
    </w:tbl>
    <w:p w:rsidR="009473AA" w:rsidRDefault="009473AA" w:rsidP="009473AA"/>
    <w:p w:rsidR="009473AA" w:rsidRDefault="009473AA" w:rsidP="009473AA">
      <w:pPr>
        <w:rPr>
          <w:rStyle w:val="Ttulo2Car"/>
          <w:color w:val="00642D"/>
          <w:lang w:bidi="es-ES"/>
        </w:rPr>
      </w:pPr>
      <w:r>
        <w:tab/>
      </w:r>
      <w:r w:rsidRPr="00A41DD5">
        <w:rPr>
          <w:rStyle w:val="Ttulo2Car"/>
          <w:color w:val="00642D"/>
          <w:lang w:bidi="es-ES"/>
        </w:rPr>
        <w:t>II.</w:t>
      </w:r>
      <w:r>
        <w:rPr>
          <w:rStyle w:val="Ttulo2Car"/>
          <w:color w:val="00642D"/>
          <w:lang w:bidi="es-ES"/>
        </w:rPr>
        <w:t xml:space="preserve">3 </w:t>
      </w:r>
      <w:r w:rsidRPr="00055B15">
        <w:rPr>
          <w:rStyle w:val="Ttulo2Car"/>
          <w:color w:val="00642D"/>
          <w:lang w:bidi="es-ES"/>
        </w:rPr>
        <w:t xml:space="preserve">Resoluciones </w:t>
      </w:r>
      <w:r>
        <w:rPr>
          <w:rStyle w:val="Ttulo2Car"/>
          <w:color w:val="00642D"/>
          <w:lang w:bidi="es-ES"/>
        </w:rPr>
        <w:t>dictadas</w:t>
      </w:r>
      <w:r w:rsidRPr="00055B15">
        <w:rPr>
          <w:rStyle w:val="Ttulo2Car"/>
          <w:color w:val="00642D"/>
          <w:lang w:bidi="es-ES"/>
        </w:rPr>
        <w:t xml:space="preserve"> en 202</w:t>
      </w:r>
      <w:r>
        <w:rPr>
          <w:rStyle w:val="Ttulo2Car"/>
          <w:color w:val="00642D"/>
          <w:lang w:bidi="es-ES"/>
        </w:rPr>
        <w:t>2</w:t>
      </w:r>
    </w:p>
    <w:p w:rsidR="009473AA" w:rsidRPr="00507DB5" w:rsidRDefault="009473AA" w:rsidP="009473AA">
      <w:pPr>
        <w:ind w:left="426"/>
        <w:jc w:val="both"/>
        <w:rPr>
          <w:rStyle w:val="Ttulo2Car"/>
          <w:color w:val="00642D"/>
          <w:lang w:bidi="es-ES"/>
        </w:rPr>
      </w:pPr>
      <w:r w:rsidRPr="00507DB5">
        <w:rPr>
          <w:rStyle w:val="Ttulo2Car"/>
          <w:b w:val="0"/>
          <w:color w:val="auto"/>
          <w:sz w:val="22"/>
          <w:szCs w:val="22"/>
          <w:lang w:bidi="es-ES"/>
        </w:rPr>
        <w:t>Respecto de las resoluciones dictadas en 202</w:t>
      </w:r>
      <w:r w:rsidR="00507DB5">
        <w:rPr>
          <w:rStyle w:val="Ttulo2Car"/>
          <w:b w:val="0"/>
          <w:color w:val="auto"/>
          <w:sz w:val="22"/>
          <w:szCs w:val="22"/>
          <w:lang w:bidi="es-ES"/>
        </w:rPr>
        <w:t>2</w:t>
      </w:r>
      <w:r w:rsidRPr="00507DB5">
        <w:rPr>
          <w:rStyle w:val="Ttulo2Car"/>
          <w:b w:val="0"/>
          <w:color w:val="auto"/>
          <w:sz w:val="22"/>
          <w:szCs w:val="22"/>
          <w:lang w:bidi="es-ES"/>
        </w:rPr>
        <w:t xml:space="preserve">, </w:t>
      </w:r>
      <w:r w:rsidR="00507DB5">
        <w:rPr>
          <w:rStyle w:val="Ttulo2Car"/>
          <w:b w:val="0"/>
          <w:color w:val="auto"/>
          <w:sz w:val="22"/>
          <w:szCs w:val="22"/>
          <w:lang w:bidi="es-ES"/>
        </w:rPr>
        <w:t>todas</w:t>
      </w:r>
      <w:r w:rsidRPr="00507DB5">
        <w:rPr>
          <w:rStyle w:val="Ttulo2Car"/>
          <w:b w:val="0"/>
          <w:color w:val="auto"/>
          <w:sz w:val="22"/>
          <w:szCs w:val="22"/>
          <w:lang w:bidi="es-ES"/>
        </w:rPr>
        <w:t xml:space="preserve"> concedieron acceso a la información, </w:t>
      </w:r>
      <w:r w:rsidR="00507DB5">
        <w:rPr>
          <w:rStyle w:val="Ttulo2Car"/>
          <w:b w:val="0"/>
          <w:color w:val="auto"/>
          <w:sz w:val="22"/>
          <w:szCs w:val="22"/>
          <w:lang w:bidi="es-ES"/>
        </w:rPr>
        <w:t>una</w:t>
      </w:r>
      <w:r w:rsidRPr="00507DB5">
        <w:rPr>
          <w:rStyle w:val="Ttulo2Car"/>
          <w:b w:val="0"/>
          <w:color w:val="auto"/>
          <w:sz w:val="22"/>
          <w:szCs w:val="22"/>
          <w:lang w:bidi="es-ES"/>
        </w:rPr>
        <w:t xml:space="preserve"> de ellas de manera parcial. Ninguna solicitud fue desestimada expresamente o por silencio administrativo.</w:t>
      </w:r>
    </w:p>
    <w:p w:rsidR="009473AA" w:rsidRDefault="00507DB5" w:rsidP="009473AA">
      <w:pPr>
        <w:pStyle w:val="Cuerpodelboletn"/>
        <w:spacing w:before="120" w:after="120" w:line="276" w:lineRule="auto"/>
        <w:ind w:left="426"/>
        <w:rPr>
          <w:rStyle w:val="Ttulo2Car"/>
          <w:b w:val="0"/>
          <w:color w:val="auto"/>
          <w:sz w:val="22"/>
          <w:szCs w:val="22"/>
          <w:lang w:bidi="es-ES"/>
        </w:rPr>
      </w:pPr>
      <w:r>
        <w:rPr>
          <w:rStyle w:val="Ttulo2Car"/>
          <w:b w:val="0"/>
          <w:color w:val="auto"/>
          <w:sz w:val="22"/>
          <w:szCs w:val="22"/>
          <w:lang w:bidi="es-ES"/>
        </w:rPr>
        <w:t>La BNE</w:t>
      </w:r>
      <w:r w:rsidR="009473AA" w:rsidRPr="00507DB5">
        <w:rPr>
          <w:rStyle w:val="Ttulo2Car"/>
          <w:b w:val="0"/>
          <w:color w:val="auto"/>
          <w:sz w:val="22"/>
          <w:szCs w:val="22"/>
          <w:lang w:bidi="es-ES"/>
        </w:rPr>
        <w:t xml:space="preserve"> no publica  en su Portal de Transparencia, las resoluciones denegatorias por aplicación de los límites del artículo 14 de la LTAIBG, tal y como establece el artículo 14.3 de la norma, que obliga a la publicación de estas resoluciones previa disociación de los datos de carácter personal.</w:t>
      </w:r>
      <w:r w:rsidR="009473AA" w:rsidRPr="00C25AF5">
        <w:rPr>
          <w:rStyle w:val="Ttulo2Car"/>
          <w:b w:val="0"/>
          <w:color w:val="auto"/>
          <w:sz w:val="22"/>
          <w:szCs w:val="22"/>
          <w:lang w:bidi="es-ES"/>
        </w:rPr>
        <w:t xml:space="preserve"> </w:t>
      </w:r>
    </w:p>
    <w:p w:rsidR="009473AA" w:rsidRPr="009079EA" w:rsidRDefault="009473AA" w:rsidP="009473AA">
      <w:pPr>
        <w:pStyle w:val="Cuerpodelboletn"/>
        <w:spacing w:before="120" w:after="120" w:line="276" w:lineRule="auto"/>
        <w:ind w:left="426"/>
        <w:rPr>
          <w:rStyle w:val="Ttulo2Car"/>
          <w:b w:val="0"/>
          <w:color w:val="auto"/>
          <w:sz w:val="22"/>
          <w:szCs w:val="22"/>
          <w:lang w:bidi="es-ES"/>
        </w:rPr>
      </w:pPr>
    </w:p>
    <w:p w:rsidR="009473AA" w:rsidRDefault="009473AA" w:rsidP="009473AA">
      <w:pPr>
        <w:pStyle w:val="Cuerpodelboletn"/>
        <w:spacing w:before="120" w:after="120" w:line="312" w:lineRule="auto"/>
        <w:ind w:left="360"/>
        <w:rPr>
          <w:rStyle w:val="Ttulo2Car"/>
          <w:color w:val="00642D"/>
          <w:lang w:bidi="es-ES"/>
        </w:rPr>
      </w:pPr>
      <w:r w:rsidRPr="00A41DD5">
        <w:rPr>
          <w:rStyle w:val="Ttulo2Car"/>
          <w:color w:val="00642D"/>
          <w:lang w:bidi="es-ES"/>
        </w:rPr>
        <w:t>II.</w:t>
      </w:r>
      <w:r>
        <w:rPr>
          <w:rStyle w:val="Ttulo2Car"/>
          <w:color w:val="00642D"/>
          <w:lang w:bidi="es-ES"/>
        </w:rPr>
        <w:t>4 Indicadores de resolución en 2022</w:t>
      </w:r>
    </w:p>
    <w:p w:rsidR="009473AA" w:rsidRDefault="009473AA" w:rsidP="009473AA">
      <w:pPr>
        <w:ind w:left="426"/>
        <w:jc w:val="both"/>
      </w:pPr>
    </w:p>
    <w:p w:rsidR="009473AA" w:rsidRPr="00296731" w:rsidRDefault="00507DB5" w:rsidP="009473AA">
      <w:pPr>
        <w:ind w:left="426"/>
        <w:jc w:val="both"/>
      </w:pPr>
      <w:r>
        <w:t>La BNE</w:t>
      </w:r>
      <w:r w:rsidR="009473AA" w:rsidRPr="00296731">
        <w:t xml:space="preserve"> </w:t>
      </w:r>
      <w:r w:rsidR="009473AA">
        <w:t>dicta</w:t>
      </w:r>
      <w:r w:rsidR="009473AA" w:rsidRPr="00296731">
        <w:t xml:space="preserve"> resoluciones expresas para la totalidad de las solicitudes admitidas. </w:t>
      </w:r>
      <w:r w:rsidR="009473AA">
        <w:t>El 100</w:t>
      </w:r>
      <w:r w:rsidR="009473AA" w:rsidRPr="00296731">
        <w:t xml:space="preserve">% de las resoluciones </w:t>
      </w:r>
      <w:r w:rsidR="009473AA">
        <w:t>dictadas</w:t>
      </w:r>
      <w:r w:rsidR="009473AA" w:rsidRPr="00296731">
        <w:t xml:space="preserve"> concede el acceso a la información, de estas el </w:t>
      </w:r>
      <w:r>
        <w:t>91,67</w:t>
      </w:r>
      <w:r w:rsidR="009473AA" w:rsidRPr="00296731">
        <w:t xml:space="preserve">% concede acceso total. </w:t>
      </w:r>
      <w:r w:rsidR="009473AA">
        <w:t>Ninguna</w:t>
      </w:r>
      <w:r w:rsidR="009473AA" w:rsidRPr="00296731">
        <w:t xml:space="preserve"> resoluci</w:t>
      </w:r>
      <w:r w:rsidR="009473AA">
        <w:t>ón</w:t>
      </w:r>
      <w:r w:rsidR="009473AA" w:rsidRPr="00296731">
        <w:t xml:space="preserve"> deniega la información solicitada aplicando los límites del artículo 14 de la LTAIBG. </w:t>
      </w:r>
    </w:p>
    <w:p w:rsidR="009473AA" w:rsidRPr="00296731" w:rsidRDefault="009473AA" w:rsidP="009473AA">
      <w:pPr>
        <w:pStyle w:val="Epgrafe"/>
        <w:keepNext/>
        <w:ind w:left="426"/>
        <w:rPr>
          <w:rStyle w:val="Ttulo2Car"/>
          <w:b/>
          <w:color w:val="00642D"/>
          <w:sz w:val="22"/>
          <w:szCs w:val="22"/>
          <w:lang w:bidi="es-ES"/>
        </w:rPr>
      </w:pPr>
      <w:r w:rsidRPr="00296731">
        <w:rPr>
          <w:rStyle w:val="Ttulo2Car"/>
          <w:b/>
          <w:color w:val="00642D"/>
          <w:sz w:val="22"/>
          <w:szCs w:val="22"/>
          <w:lang w:bidi="es-ES"/>
        </w:rPr>
        <w:t xml:space="preserve">Tabla </w:t>
      </w:r>
      <w:r w:rsidRPr="00296731">
        <w:rPr>
          <w:rStyle w:val="Ttulo2Car"/>
          <w:b/>
          <w:color w:val="00642D"/>
          <w:sz w:val="22"/>
          <w:szCs w:val="22"/>
          <w:lang w:bidi="es-ES"/>
        </w:rPr>
        <w:fldChar w:fldCharType="begin"/>
      </w:r>
      <w:r w:rsidRPr="00296731">
        <w:rPr>
          <w:rStyle w:val="Ttulo2Car"/>
          <w:b/>
          <w:color w:val="00642D"/>
          <w:sz w:val="22"/>
          <w:szCs w:val="22"/>
          <w:lang w:bidi="es-ES"/>
        </w:rPr>
        <w:instrText xml:space="preserve"> SEQ Tabla \* ARABIC </w:instrText>
      </w:r>
      <w:r w:rsidRPr="00296731">
        <w:rPr>
          <w:rStyle w:val="Ttulo2Car"/>
          <w:b/>
          <w:color w:val="00642D"/>
          <w:sz w:val="22"/>
          <w:szCs w:val="22"/>
          <w:lang w:bidi="es-ES"/>
        </w:rPr>
        <w:fldChar w:fldCharType="separate"/>
      </w:r>
      <w:r w:rsidRPr="00296731">
        <w:rPr>
          <w:rStyle w:val="Ttulo2Car"/>
          <w:b/>
          <w:color w:val="00642D"/>
          <w:sz w:val="22"/>
          <w:szCs w:val="22"/>
          <w:lang w:bidi="es-ES"/>
        </w:rPr>
        <w:t>2</w:t>
      </w:r>
      <w:r w:rsidRPr="00296731">
        <w:rPr>
          <w:rStyle w:val="Ttulo2Car"/>
          <w:b/>
          <w:color w:val="00642D"/>
          <w:sz w:val="22"/>
          <w:szCs w:val="22"/>
          <w:lang w:bidi="es-ES"/>
        </w:rPr>
        <w:fldChar w:fldCharType="end"/>
      </w:r>
      <w:r w:rsidRPr="00296731">
        <w:rPr>
          <w:rStyle w:val="Ttulo2Car"/>
          <w:b/>
          <w:color w:val="00642D"/>
          <w:sz w:val="22"/>
          <w:szCs w:val="22"/>
          <w:lang w:bidi="es-ES"/>
        </w:rPr>
        <w:t>: Indicadores de Resolución 2020</w:t>
      </w:r>
    </w:p>
    <w:tbl>
      <w:tblPr>
        <w:tblStyle w:val="Tablaconcuadrcula"/>
        <w:tblW w:w="0" w:type="auto"/>
        <w:tblInd w:w="534" w:type="dxa"/>
        <w:tblLook w:val="04A0" w:firstRow="1" w:lastRow="0" w:firstColumn="1" w:lastColumn="0" w:noHBand="0" w:noVBand="1"/>
      </w:tblPr>
      <w:tblGrid>
        <w:gridCol w:w="1299"/>
        <w:gridCol w:w="6322"/>
        <w:gridCol w:w="1559"/>
      </w:tblGrid>
      <w:tr w:rsidR="009473AA" w:rsidRPr="00296731" w:rsidTr="009473AA">
        <w:tc>
          <w:tcPr>
            <w:tcW w:w="1299" w:type="dxa"/>
            <w:vMerge w:val="restart"/>
            <w:tcBorders>
              <w:top w:val="nil"/>
              <w:right w:val="nil"/>
            </w:tcBorders>
            <w:shd w:val="clear" w:color="auto" w:fill="4D7F52"/>
            <w:textDirection w:val="btLr"/>
          </w:tcPr>
          <w:p w:rsidR="009473AA" w:rsidRPr="00296731" w:rsidRDefault="009473AA" w:rsidP="009473AA">
            <w:pPr>
              <w:ind w:left="113" w:right="113"/>
              <w:jc w:val="center"/>
              <w:rPr>
                <w:b/>
                <w:color w:val="FFFFFF" w:themeColor="background1"/>
              </w:rPr>
            </w:pPr>
            <w:r w:rsidRPr="00296731">
              <w:rPr>
                <w:b/>
                <w:color w:val="FFFFFF" w:themeColor="background1"/>
              </w:rPr>
              <w:t>Indicadores de resolución</w:t>
            </w:r>
          </w:p>
        </w:tc>
        <w:tc>
          <w:tcPr>
            <w:tcW w:w="6322" w:type="dxa"/>
            <w:tcBorders>
              <w:left w:val="nil"/>
            </w:tcBorders>
          </w:tcPr>
          <w:p w:rsidR="009473AA" w:rsidRPr="00296731" w:rsidRDefault="009473AA" w:rsidP="009473AA">
            <w:pPr>
              <w:rPr>
                <w:sz w:val="20"/>
                <w:szCs w:val="20"/>
              </w:rPr>
            </w:pPr>
            <w:r w:rsidRPr="00296731">
              <w:rPr>
                <w:sz w:val="20"/>
                <w:szCs w:val="20"/>
              </w:rPr>
              <w:t>Tasa de resolución (resoluciones expresas /solicitudes admitidas)</w:t>
            </w:r>
          </w:p>
        </w:tc>
        <w:tc>
          <w:tcPr>
            <w:tcW w:w="1559" w:type="dxa"/>
          </w:tcPr>
          <w:p w:rsidR="009473AA" w:rsidRPr="00296731" w:rsidRDefault="009473AA" w:rsidP="009473AA">
            <w:pPr>
              <w:jc w:val="center"/>
              <w:rPr>
                <w:sz w:val="20"/>
                <w:szCs w:val="20"/>
              </w:rPr>
            </w:pPr>
            <w:r w:rsidRPr="00296731">
              <w:rPr>
                <w:sz w:val="20"/>
                <w:szCs w:val="20"/>
              </w:rPr>
              <w:t>100,00</w:t>
            </w:r>
          </w:p>
        </w:tc>
      </w:tr>
      <w:tr w:rsidR="009473AA" w:rsidRPr="00296731" w:rsidTr="009473AA">
        <w:tc>
          <w:tcPr>
            <w:tcW w:w="1299" w:type="dxa"/>
            <w:vMerge/>
            <w:tcBorders>
              <w:right w:val="nil"/>
            </w:tcBorders>
            <w:shd w:val="clear" w:color="auto" w:fill="4D7F52"/>
            <w:textDirection w:val="btLr"/>
          </w:tcPr>
          <w:p w:rsidR="009473AA" w:rsidRPr="00296731" w:rsidRDefault="009473AA" w:rsidP="009473AA">
            <w:pPr>
              <w:ind w:left="113" w:right="113"/>
              <w:jc w:val="center"/>
              <w:rPr>
                <w:b/>
                <w:color w:val="FFFFFF" w:themeColor="background1"/>
              </w:rPr>
            </w:pPr>
          </w:p>
        </w:tc>
        <w:tc>
          <w:tcPr>
            <w:tcW w:w="6322" w:type="dxa"/>
            <w:tcBorders>
              <w:left w:val="nil"/>
            </w:tcBorders>
          </w:tcPr>
          <w:p w:rsidR="009473AA" w:rsidRPr="00296731" w:rsidRDefault="009473AA" w:rsidP="009473AA">
            <w:pPr>
              <w:rPr>
                <w:sz w:val="20"/>
                <w:szCs w:val="20"/>
              </w:rPr>
            </w:pPr>
            <w:r w:rsidRPr="00296731">
              <w:rPr>
                <w:sz w:val="20"/>
                <w:szCs w:val="20"/>
              </w:rPr>
              <w:t>Porcentaje de resoluciones que conceden el acceso</w:t>
            </w:r>
          </w:p>
        </w:tc>
        <w:tc>
          <w:tcPr>
            <w:tcW w:w="1559" w:type="dxa"/>
          </w:tcPr>
          <w:p w:rsidR="009473AA" w:rsidRPr="00296731" w:rsidRDefault="009473AA" w:rsidP="009473AA">
            <w:pPr>
              <w:jc w:val="center"/>
              <w:rPr>
                <w:sz w:val="20"/>
                <w:szCs w:val="20"/>
              </w:rPr>
            </w:pPr>
            <w:r w:rsidRPr="00296731">
              <w:rPr>
                <w:sz w:val="20"/>
                <w:szCs w:val="20"/>
              </w:rPr>
              <w:t>100,00</w:t>
            </w:r>
          </w:p>
        </w:tc>
      </w:tr>
      <w:tr w:rsidR="009473AA" w:rsidRPr="00296731" w:rsidTr="009473AA">
        <w:tc>
          <w:tcPr>
            <w:tcW w:w="1299" w:type="dxa"/>
            <w:vMerge/>
            <w:tcBorders>
              <w:right w:val="nil"/>
            </w:tcBorders>
            <w:shd w:val="clear" w:color="auto" w:fill="4D7F52"/>
            <w:textDirection w:val="btLr"/>
          </w:tcPr>
          <w:p w:rsidR="009473AA" w:rsidRPr="00296731" w:rsidRDefault="009473AA" w:rsidP="009473AA">
            <w:pPr>
              <w:ind w:left="113" w:right="113"/>
              <w:jc w:val="center"/>
              <w:rPr>
                <w:b/>
                <w:color w:val="FFFFFF" w:themeColor="background1"/>
              </w:rPr>
            </w:pPr>
          </w:p>
        </w:tc>
        <w:tc>
          <w:tcPr>
            <w:tcW w:w="6322" w:type="dxa"/>
            <w:tcBorders>
              <w:left w:val="nil"/>
            </w:tcBorders>
          </w:tcPr>
          <w:p w:rsidR="009473AA" w:rsidRPr="00296731" w:rsidRDefault="009473AA" w:rsidP="009473AA">
            <w:pPr>
              <w:rPr>
                <w:sz w:val="20"/>
                <w:szCs w:val="20"/>
              </w:rPr>
            </w:pPr>
            <w:r w:rsidRPr="00296731">
              <w:rPr>
                <w:sz w:val="20"/>
                <w:szCs w:val="20"/>
              </w:rPr>
              <w:t>Porcentaje de resoluciones que conceden acceso parcial</w:t>
            </w:r>
          </w:p>
        </w:tc>
        <w:tc>
          <w:tcPr>
            <w:tcW w:w="1559" w:type="dxa"/>
          </w:tcPr>
          <w:p w:rsidR="009473AA" w:rsidRPr="00296731" w:rsidRDefault="00507DB5" w:rsidP="009473AA">
            <w:pPr>
              <w:jc w:val="center"/>
              <w:rPr>
                <w:sz w:val="20"/>
                <w:szCs w:val="20"/>
              </w:rPr>
            </w:pPr>
            <w:r>
              <w:rPr>
                <w:sz w:val="20"/>
                <w:szCs w:val="20"/>
              </w:rPr>
              <w:t>8,33</w:t>
            </w:r>
          </w:p>
        </w:tc>
      </w:tr>
      <w:tr w:rsidR="009473AA" w:rsidRPr="00296731" w:rsidTr="009473AA">
        <w:tc>
          <w:tcPr>
            <w:tcW w:w="1299" w:type="dxa"/>
            <w:vMerge/>
            <w:tcBorders>
              <w:right w:val="nil"/>
            </w:tcBorders>
            <w:shd w:val="clear" w:color="auto" w:fill="4D7F52"/>
            <w:textDirection w:val="btLr"/>
          </w:tcPr>
          <w:p w:rsidR="009473AA" w:rsidRPr="00296731" w:rsidRDefault="009473AA" w:rsidP="009473AA">
            <w:pPr>
              <w:ind w:left="113" w:right="113"/>
              <w:jc w:val="center"/>
              <w:rPr>
                <w:b/>
                <w:color w:val="FFFFFF" w:themeColor="background1"/>
              </w:rPr>
            </w:pPr>
          </w:p>
        </w:tc>
        <w:tc>
          <w:tcPr>
            <w:tcW w:w="6322" w:type="dxa"/>
            <w:tcBorders>
              <w:left w:val="nil"/>
            </w:tcBorders>
          </w:tcPr>
          <w:p w:rsidR="009473AA" w:rsidRPr="00296731" w:rsidRDefault="009473AA" w:rsidP="009473AA">
            <w:pPr>
              <w:rPr>
                <w:sz w:val="20"/>
                <w:szCs w:val="20"/>
              </w:rPr>
            </w:pPr>
            <w:r w:rsidRPr="00296731">
              <w:rPr>
                <w:sz w:val="20"/>
                <w:szCs w:val="20"/>
              </w:rPr>
              <w:t>Porcentaje de resoluciones que conceden acceso total</w:t>
            </w:r>
          </w:p>
        </w:tc>
        <w:tc>
          <w:tcPr>
            <w:tcW w:w="1559" w:type="dxa"/>
          </w:tcPr>
          <w:p w:rsidR="009473AA" w:rsidRPr="00296731" w:rsidRDefault="00507DB5" w:rsidP="009473AA">
            <w:pPr>
              <w:jc w:val="center"/>
              <w:rPr>
                <w:sz w:val="20"/>
                <w:szCs w:val="20"/>
              </w:rPr>
            </w:pPr>
            <w:r>
              <w:rPr>
                <w:sz w:val="20"/>
                <w:szCs w:val="20"/>
              </w:rPr>
              <w:t>91,67</w:t>
            </w:r>
          </w:p>
        </w:tc>
      </w:tr>
      <w:tr w:rsidR="009473AA" w:rsidRPr="00296731" w:rsidTr="009473AA">
        <w:tc>
          <w:tcPr>
            <w:tcW w:w="1299" w:type="dxa"/>
            <w:vMerge/>
            <w:tcBorders>
              <w:right w:val="nil"/>
            </w:tcBorders>
            <w:shd w:val="clear" w:color="auto" w:fill="4D7F52"/>
            <w:textDirection w:val="btLr"/>
          </w:tcPr>
          <w:p w:rsidR="009473AA" w:rsidRPr="00296731" w:rsidRDefault="009473AA" w:rsidP="009473AA">
            <w:pPr>
              <w:ind w:left="113" w:right="113"/>
              <w:jc w:val="center"/>
              <w:rPr>
                <w:b/>
                <w:color w:val="FFFFFF" w:themeColor="background1"/>
              </w:rPr>
            </w:pPr>
          </w:p>
        </w:tc>
        <w:tc>
          <w:tcPr>
            <w:tcW w:w="6322" w:type="dxa"/>
            <w:tcBorders>
              <w:left w:val="nil"/>
            </w:tcBorders>
          </w:tcPr>
          <w:p w:rsidR="009473AA" w:rsidRPr="00296731" w:rsidRDefault="009473AA" w:rsidP="009473AA">
            <w:pPr>
              <w:rPr>
                <w:sz w:val="20"/>
                <w:szCs w:val="20"/>
              </w:rPr>
            </w:pPr>
            <w:r w:rsidRPr="00296731">
              <w:rPr>
                <w:sz w:val="20"/>
                <w:szCs w:val="20"/>
              </w:rPr>
              <w:t>Porcentaje de resoluciones</w:t>
            </w:r>
            <w:r w:rsidR="00507DB5">
              <w:rPr>
                <w:sz w:val="20"/>
                <w:szCs w:val="20"/>
              </w:rPr>
              <w:t xml:space="preserve"> expresas</w:t>
            </w:r>
            <w:r w:rsidRPr="00296731">
              <w:rPr>
                <w:sz w:val="20"/>
                <w:szCs w:val="20"/>
              </w:rPr>
              <w:t xml:space="preserve"> que deniegan el acceso</w:t>
            </w:r>
          </w:p>
        </w:tc>
        <w:tc>
          <w:tcPr>
            <w:tcW w:w="1559" w:type="dxa"/>
          </w:tcPr>
          <w:p w:rsidR="009473AA" w:rsidRPr="00296731" w:rsidRDefault="009473AA" w:rsidP="009473AA">
            <w:pPr>
              <w:jc w:val="center"/>
              <w:rPr>
                <w:sz w:val="20"/>
                <w:szCs w:val="20"/>
              </w:rPr>
            </w:pPr>
            <w:r w:rsidRPr="00296731">
              <w:rPr>
                <w:sz w:val="20"/>
                <w:szCs w:val="20"/>
              </w:rPr>
              <w:t>,00</w:t>
            </w:r>
          </w:p>
        </w:tc>
      </w:tr>
      <w:tr w:rsidR="009473AA" w:rsidRPr="00296731" w:rsidTr="009473AA">
        <w:tc>
          <w:tcPr>
            <w:tcW w:w="1299" w:type="dxa"/>
            <w:vMerge/>
            <w:tcBorders>
              <w:right w:val="nil"/>
            </w:tcBorders>
            <w:shd w:val="clear" w:color="auto" w:fill="4D7F52"/>
            <w:textDirection w:val="btLr"/>
          </w:tcPr>
          <w:p w:rsidR="009473AA" w:rsidRPr="00296731" w:rsidRDefault="009473AA" w:rsidP="009473AA">
            <w:pPr>
              <w:ind w:left="113" w:right="113"/>
              <w:jc w:val="center"/>
              <w:rPr>
                <w:b/>
                <w:color w:val="FFFFFF" w:themeColor="background1"/>
              </w:rPr>
            </w:pPr>
          </w:p>
        </w:tc>
        <w:tc>
          <w:tcPr>
            <w:tcW w:w="6322" w:type="dxa"/>
            <w:tcBorders>
              <w:left w:val="nil"/>
            </w:tcBorders>
          </w:tcPr>
          <w:p w:rsidR="009473AA" w:rsidRPr="00296731" w:rsidRDefault="009473AA" w:rsidP="00507DB5">
            <w:pPr>
              <w:rPr>
                <w:sz w:val="20"/>
                <w:szCs w:val="20"/>
              </w:rPr>
            </w:pPr>
            <w:r w:rsidRPr="00296731">
              <w:rPr>
                <w:sz w:val="20"/>
                <w:szCs w:val="20"/>
              </w:rPr>
              <w:t xml:space="preserve">Porcentaje de </w:t>
            </w:r>
            <w:r w:rsidR="00507DB5">
              <w:rPr>
                <w:sz w:val="20"/>
                <w:szCs w:val="20"/>
              </w:rPr>
              <w:t>solicitudes</w:t>
            </w:r>
            <w:r w:rsidRPr="00296731">
              <w:rPr>
                <w:sz w:val="20"/>
                <w:szCs w:val="20"/>
              </w:rPr>
              <w:t xml:space="preserve"> </w:t>
            </w:r>
            <w:r w:rsidR="00507DB5">
              <w:rPr>
                <w:sz w:val="20"/>
                <w:szCs w:val="20"/>
              </w:rPr>
              <w:t>denegadas</w:t>
            </w:r>
            <w:r w:rsidRPr="00296731">
              <w:rPr>
                <w:sz w:val="20"/>
                <w:szCs w:val="20"/>
              </w:rPr>
              <w:t xml:space="preserve"> por silencio administrativo</w:t>
            </w:r>
          </w:p>
        </w:tc>
        <w:tc>
          <w:tcPr>
            <w:tcW w:w="1559" w:type="dxa"/>
          </w:tcPr>
          <w:p w:rsidR="009473AA" w:rsidRPr="00296731" w:rsidRDefault="009473AA" w:rsidP="009473AA">
            <w:pPr>
              <w:jc w:val="center"/>
              <w:rPr>
                <w:sz w:val="20"/>
                <w:szCs w:val="20"/>
              </w:rPr>
            </w:pPr>
            <w:r w:rsidRPr="00296731">
              <w:rPr>
                <w:sz w:val="20"/>
                <w:szCs w:val="20"/>
              </w:rPr>
              <w:t>,00</w:t>
            </w:r>
          </w:p>
        </w:tc>
      </w:tr>
      <w:tr w:rsidR="009473AA" w:rsidRPr="00296731" w:rsidTr="009473AA">
        <w:tc>
          <w:tcPr>
            <w:tcW w:w="1299" w:type="dxa"/>
            <w:vMerge/>
            <w:tcBorders>
              <w:right w:val="nil"/>
            </w:tcBorders>
            <w:shd w:val="clear" w:color="auto" w:fill="4D7F52"/>
            <w:textDirection w:val="btLr"/>
          </w:tcPr>
          <w:p w:rsidR="009473AA" w:rsidRPr="00296731" w:rsidRDefault="009473AA" w:rsidP="009473AA">
            <w:pPr>
              <w:ind w:left="113" w:right="113"/>
              <w:jc w:val="center"/>
              <w:rPr>
                <w:b/>
                <w:color w:val="FFFFFF" w:themeColor="background1"/>
              </w:rPr>
            </w:pPr>
          </w:p>
        </w:tc>
        <w:tc>
          <w:tcPr>
            <w:tcW w:w="6322" w:type="dxa"/>
            <w:tcBorders>
              <w:left w:val="nil"/>
            </w:tcBorders>
          </w:tcPr>
          <w:p w:rsidR="009473AA" w:rsidRPr="00296731" w:rsidRDefault="009473AA" w:rsidP="009473AA">
            <w:pPr>
              <w:rPr>
                <w:sz w:val="20"/>
                <w:szCs w:val="20"/>
              </w:rPr>
            </w:pPr>
            <w:r w:rsidRPr="00296731">
              <w:rPr>
                <w:sz w:val="20"/>
                <w:szCs w:val="20"/>
              </w:rPr>
              <w:t>Porcentaje de solicitudes finalizadas por desistimiento y otras causas</w:t>
            </w:r>
          </w:p>
        </w:tc>
        <w:tc>
          <w:tcPr>
            <w:tcW w:w="1559" w:type="dxa"/>
          </w:tcPr>
          <w:p w:rsidR="009473AA" w:rsidRPr="00296731" w:rsidRDefault="009473AA" w:rsidP="009473AA">
            <w:pPr>
              <w:jc w:val="center"/>
              <w:rPr>
                <w:sz w:val="20"/>
                <w:szCs w:val="20"/>
              </w:rPr>
            </w:pPr>
            <w:r w:rsidRPr="00296731">
              <w:rPr>
                <w:sz w:val="20"/>
                <w:szCs w:val="20"/>
              </w:rPr>
              <w:t>,00</w:t>
            </w:r>
          </w:p>
        </w:tc>
      </w:tr>
    </w:tbl>
    <w:p w:rsidR="009473AA" w:rsidRDefault="009473AA" w:rsidP="009473AA"/>
    <w:p w:rsidR="00BA266E" w:rsidRDefault="00BA266E" w:rsidP="00F7263F">
      <w:pPr>
        <w:pStyle w:val="Cuerpodelboletn"/>
        <w:spacing w:before="120" w:after="120" w:line="312" w:lineRule="auto"/>
        <w:ind w:left="360"/>
        <w:rPr>
          <w:rStyle w:val="Ttulo2Car"/>
          <w:color w:val="00642D"/>
          <w:lang w:bidi="es-ES"/>
        </w:rPr>
      </w:pPr>
    </w:p>
    <w:p w:rsidR="00B812AB" w:rsidRPr="00E34195" w:rsidRDefault="00180DE0" w:rsidP="00B812AB">
      <w:pPr>
        <w:pStyle w:val="Titulardelboletn"/>
        <w:spacing w:before="120" w:after="120" w:line="312" w:lineRule="auto"/>
        <w:ind w:left="720" w:hanging="360"/>
        <w:rPr>
          <w:rFonts w:ascii="Century Gothic" w:hAnsi="Century Gothic"/>
          <w:color w:val="00642D"/>
        </w:rPr>
      </w:pPr>
      <w:sdt>
        <w:sdtPr>
          <w:rPr>
            <w:rFonts w:ascii="Century Gothic" w:eastAsiaTheme="majorEastAsia" w:hAnsi="Century Gothic" w:cstheme="majorBidi"/>
            <w:b w:val="0"/>
            <w:bCs/>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531D64">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A351F7" w:rsidRDefault="00507DB5" w:rsidP="00507DB5">
      <w:pPr>
        <w:ind w:left="426"/>
        <w:jc w:val="both"/>
        <w:rPr>
          <w:rStyle w:val="Ttulo2Car"/>
          <w:b w:val="0"/>
          <w:color w:val="auto"/>
          <w:sz w:val="22"/>
          <w:szCs w:val="22"/>
          <w:lang w:bidi="es-ES"/>
        </w:rPr>
      </w:pPr>
      <w:r>
        <w:rPr>
          <w:rStyle w:val="Ttulo2Car"/>
          <w:b w:val="0"/>
          <w:color w:val="auto"/>
          <w:sz w:val="22"/>
          <w:szCs w:val="22"/>
          <w:lang w:bidi="es-ES"/>
        </w:rPr>
        <w:t>La BNE</w:t>
      </w:r>
      <w:r w:rsidR="00B378E2">
        <w:rPr>
          <w:rStyle w:val="Ttulo2Car"/>
          <w:b w:val="0"/>
          <w:color w:val="auto"/>
          <w:sz w:val="22"/>
          <w:szCs w:val="22"/>
          <w:lang w:bidi="es-ES"/>
        </w:rPr>
        <w:t xml:space="preserve"> </w:t>
      </w:r>
      <w:r w:rsidR="00411640" w:rsidRPr="00411640">
        <w:rPr>
          <w:rStyle w:val="Ttulo2Car"/>
          <w:b w:val="0"/>
          <w:color w:val="auto"/>
          <w:sz w:val="22"/>
          <w:szCs w:val="22"/>
          <w:lang w:bidi="es-ES"/>
        </w:rPr>
        <w:t>cuenta</w:t>
      </w:r>
      <w:r w:rsidR="00411640">
        <w:rPr>
          <w:rStyle w:val="Ttulo2Car"/>
          <w:b w:val="0"/>
          <w:color w:val="auto"/>
          <w:sz w:val="22"/>
          <w:szCs w:val="22"/>
          <w:lang w:bidi="es-ES"/>
        </w:rPr>
        <w:t xml:space="preserve"> </w:t>
      </w:r>
      <w:r w:rsidR="00411640" w:rsidRPr="00411640">
        <w:rPr>
          <w:rStyle w:val="Ttulo2Car"/>
          <w:b w:val="0"/>
          <w:color w:val="auto"/>
          <w:sz w:val="22"/>
          <w:szCs w:val="22"/>
          <w:lang w:bidi="es-ES"/>
        </w:rPr>
        <w:t xml:space="preserve">con un apartado específico </w:t>
      </w:r>
      <w:r w:rsidR="001D4699" w:rsidRPr="001D4699">
        <w:rPr>
          <w:rStyle w:val="Ttulo2Car"/>
          <w:b w:val="0"/>
          <w:color w:val="auto"/>
          <w:sz w:val="22"/>
          <w:szCs w:val="22"/>
          <w:lang w:bidi="es-ES"/>
        </w:rPr>
        <w:t xml:space="preserve">en su web institucional </w:t>
      </w:r>
      <w:r w:rsidR="008839AB">
        <w:rPr>
          <w:rStyle w:val="Ttulo2Car"/>
          <w:b w:val="0"/>
          <w:color w:val="auto"/>
          <w:sz w:val="22"/>
          <w:szCs w:val="22"/>
          <w:lang w:bidi="es-ES"/>
        </w:rPr>
        <w:t xml:space="preserve">para la presentación de las solicitudes de acceso a información pública de la entidad. </w:t>
      </w:r>
      <w:r>
        <w:rPr>
          <w:rStyle w:val="Ttulo2Car"/>
          <w:b w:val="0"/>
          <w:color w:val="auto"/>
          <w:sz w:val="22"/>
          <w:szCs w:val="22"/>
          <w:lang w:bidi="es-ES"/>
        </w:rPr>
        <w:t>Este apartado, que se localiza a través del acceso “Información adicional sobre transparencia”, incluye un enlace que redirige a la página habilitada en el Portal de Transparencia de la AGE, para la presentación de solicitudes de información. Por esta razón, es posible acceder a información sobre canales de presentación, requisitos y otras informaciones y ayudas.</w:t>
      </w:r>
    </w:p>
    <w:p w:rsidR="00B40246" w:rsidRPr="00E34195" w:rsidRDefault="00180DE0" w:rsidP="000C6CFF">
      <w:pPr>
        <w:pStyle w:val="Titulardelboletn"/>
        <w:spacing w:before="120" w:after="120" w:line="312" w:lineRule="auto"/>
        <w:ind w:left="720" w:hanging="360"/>
        <w:rPr>
          <w:rFonts w:ascii="Century Gothic" w:hAnsi="Century Gothic"/>
          <w:color w:val="00642D"/>
        </w:rPr>
      </w:pPr>
      <w:sdt>
        <w:sdtPr>
          <w:rPr>
            <w:rFonts w:ascii="Century Gothic" w:eastAsiaTheme="majorEastAsia" w:hAnsi="Century Gothic" w:cstheme="majorBidi"/>
            <w:b w:val="0"/>
            <w:bCs/>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046805" w:rsidRDefault="00E3088D" w:rsidP="00046805">
      <w:pPr>
        <w:pStyle w:val="Cuerpodelboletn"/>
        <w:spacing w:before="120" w:after="120" w:line="312" w:lineRule="auto"/>
        <w:ind w:left="360"/>
        <w:rPr>
          <w:color w:val="00642D"/>
          <w:lang w:bidi="es-ES"/>
        </w:rPr>
      </w:pPr>
      <w:r w:rsidRPr="00C33A23">
        <w:rPr>
          <w:color w:val="00642D"/>
          <w:lang w:bidi="es-ES"/>
        </w:rPr>
        <w:t xml:space="preserve"> </w:t>
      </w:r>
    </w:p>
    <w:p w:rsidR="00F34803" w:rsidRPr="008A7C35" w:rsidRDefault="00F34803" w:rsidP="00046805">
      <w:pPr>
        <w:pStyle w:val="Cuerpodelboletn"/>
        <w:spacing w:before="120" w:after="120" w:line="312" w:lineRule="auto"/>
        <w:ind w:left="360"/>
        <w:rPr>
          <w:color w:val="auto"/>
          <w:lang w:bidi="es-ES"/>
        </w:rPr>
      </w:pPr>
      <w:r w:rsidRPr="008A7C35">
        <w:rPr>
          <w:rStyle w:val="Ttulo2Car"/>
          <w:sz w:val="22"/>
          <w:szCs w:val="22"/>
        </w:rPr>
        <w:t>Inicio del procedimiento</w:t>
      </w:r>
      <w:r w:rsidRPr="008A7C35">
        <w:rPr>
          <w:color w:val="auto"/>
          <w:lang w:bidi="es-ES"/>
        </w:rPr>
        <w:t xml:space="preserve">. </w:t>
      </w:r>
    </w:p>
    <w:p w:rsidR="001E1C29" w:rsidRPr="008A7C35" w:rsidRDefault="00F34803" w:rsidP="00A915A2">
      <w:pPr>
        <w:pStyle w:val="Cuerpodelboletn"/>
        <w:spacing w:before="120" w:after="120" w:line="276" w:lineRule="auto"/>
        <w:ind w:left="426"/>
        <w:rPr>
          <w:rStyle w:val="Ttulo2Car"/>
          <w:sz w:val="22"/>
          <w:szCs w:val="22"/>
        </w:rPr>
      </w:pPr>
      <w:r w:rsidRPr="008A7C35">
        <w:rPr>
          <w:color w:val="auto"/>
          <w:lang w:bidi="es-ES"/>
        </w:rPr>
        <w:t xml:space="preserve">Con fecha </w:t>
      </w:r>
      <w:r w:rsidR="00DE6A97" w:rsidRPr="008A7C35">
        <w:rPr>
          <w:color w:val="auto"/>
          <w:lang w:bidi="es-ES"/>
        </w:rPr>
        <w:t>0</w:t>
      </w:r>
      <w:r w:rsidR="008A7C35">
        <w:rPr>
          <w:color w:val="auto"/>
          <w:lang w:bidi="es-ES"/>
        </w:rPr>
        <w:t>4</w:t>
      </w:r>
      <w:r w:rsidR="00FC2FB9" w:rsidRPr="008A7C35">
        <w:rPr>
          <w:color w:val="auto"/>
          <w:lang w:bidi="es-ES"/>
        </w:rPr>
        <w:t>/0</w:t>
      </w:r>
      <w:r w:rsidR="00E57E17" w:rsidRPr="008A7C35">
        <w:rPr>
          <w:color w:val="auto"/>
          <w:lang w:bidi="es-ES"/>
        </w:rPr>
        <w:t>5</w:t>
      </w:r>
      <w:r w:rsidR="000B2A81" w:rsidRPr="008A7C35">
        <w:rPr>
          <w:color w:val="auto"/>
          <w:lang w:bidi="es-ES"/>
        </w:rPr>
        <w:t>/</w:t>
      </w:r>
      <w:r w:rsidRPr="008A7C35">
        <w:rPr>
          <w:color w:val="auto"/>
          <w:lang w:bidi="es-ES"/>
        </w:rPr>
        <w:t>202</w:t>
      </w:r>
      <w:r w:rsidR="008839AB" w:rsidRPr="008A7C35">
        <w:rPr>
          <w:color w:val="auto"/>
          <w:lang w:bidi="es-ES"/>
        </w:rPr>
        <w:t>3</w:t>
      </w:r>
      <w:r w:rsidRPr="008A7C35">
        <w:rPr>
          <w:color w:val="auto"/>
          <w:lang w:bidi="es-ES"/>
        </w:rPr>
        <w:t xml:space="preserve"> se presentó </w:t>
      </w:r>
      <w:r w:rsidR="00904E47" w:rsidRPr="008A7C35">
        <w:rPr>
          <w:color w:val="auto"/>
          <w:lang w:bidi="es-ES"/>
        </w:rPr>
        <w:t xml:space="preserve">a través </w:t>
      </w:r>
      <w:r w:rsidR="00E57E17" w:rsidRPr="008A7C35">
        <w:rPr>
          <w:color w:val="auto"/>
          <w:lang w:bidi="es-ES"/>
        </w:rPr>
        <w:t xml:space="preserve">del </w:t>
      </w:r>
      <w:r w:rsidR="008A7C35">
        <w:rPr>
          <w:color w:val="auto"/>
          <w:lang w:bidi="es-ES"/>
        </w:rPr>
        <w:t>Registro Electrónico General</w:t>
      </w:r>
      <w:r w:rsidR="00E57E17" w:rsidRPr="008A7C35">
        <w:rPr>
          <w:color w:val="auto"/>
          <w:lang w:bidi="es-ES"/>
        </w:rPr>
        <w:t xml:space="preserve"> una solicitud de acceso a información pública de la entidad</w:t>
      </w:r>
      <w:r w:rsidRPr="008A7C35">
        <w:rPr>
          <w:color w:val="auto"/>
          <w:lang w:bidi="es-ES"/>
        </w:rPr>
        <w:t xml:space="preserve">. </w:t>
      </w:r>
      <w:r w:rsidR="00EE3509" w:rsidRPr="008A7C35">
        <w:rPr>
          <w:color w:val="auto"/>
          <w:lang w:bidi="es-ES"/>
        </w:rPr>
        <w:t>En la misma fecha se emite un acuse de recibo.</w:t>
      </w:r>
    </w:p>
    <w:p w:rsidR="00F34803" w:rsidRPr="008A7C35" w:rsidRDefault="00F34803" w:rsidP="00A915A2">
      <w:pPr>
        <w:pStyle w:val="Cuerpodelboletn"/>
        <w:spacing w:before="120" w:after="120" w:line="276" w:lineRule="auto"/>
        <w:ind w:left="426"/>
        <w:rPr>
          <w:color w:val="auto"/>
          <w:lang w:bidi="es-ES"/>
        </w:rPr>
      </w:pPr>
      <w:r w:rsidRPr="008A7C35">
        <w:rPr>
          <w:rStyle w:val="Ttulo2Car"/>
          <w:sz w:val="22"/>
          <w:szCs w:val="22"/>
        </w:rPr>
        <w:t>Tramitación</w:t>
      </w:r>
    </w:p>
    <w:p w:rsidR="00AB4742" w:rsidRPr="008A7C35" w:rsidRDefault="008A7C35" w:rsidP="00741849">
      <w:pPr>
        <w:pStyle w:val="Cuerpodelboletn"/>
        <w:spacing w:before="120" w:after="120" w:line="276" w:lineRule="auto"/>
        <w:ind w:left="426"/>
        <w:rPr>
          <w:color w:val="auto"/>
          <w:lang w:bidi="es-ES"/>
        </w:rPr>
      </w:pPr>
      <w:r>
        <w:rPr>
          <w:color w:val="auto"/>
          <w:lang w:bidi="es-ES"/>
        </w:rPr>
        <w:t xml:space="preserve">Mediante correo electrónico </w:t>
      </w:r>
      <w:r w:rsidR="00F34803" w:rsidRPr="008A7C35">
        <w:rPr>
          <w:color w:val="auto"/>
          <w:lang w:bidi="es-ES"/>
        </w:rPr>
        <w:t xml:space="preserve"> </w:t>
      </w:r>
      <w:r>
        <w:rPr>
          <w:color w:val="auto"/>
          <w:lang w:bidi="es-ES"/>
        </w:rPr>
        <w:t xml:space="preserve">de fecha 22/05/2023, </w:t>
      </w:r>
      <w:r w:rsidR="000D0D25">
        <w:rPr>
          <w:color w:val="auto"/>
          <w:lang w:bidi="es-ES"/>
        </w:rPr>
        <w:t>el área de asuntos jurídicos se dirige a la persona solicitante indicando que la solicitud debe presentarse a través del Portal de Transparencia de la AGE.</w:t>
      </w:r>
    </w:p>
    <w:p w:rsidR="00AB4742" w:rsidRPr="008A7C35" w:rsidRDefault="00AB4742" w:rsidP="00A915A2">
      <w:pPr>
        <w:pStyle w:val="Cuerpodelboletn"/>
        <w:spacing w:before="120" w:after="120" w:line="276" w:lineRule="auto"/>
        <w:ind w:left="426"/>
        <w:rPr>
          <w:color w:val="auto"/>
          <w:lang w:bidi="es-ES"/>
        </w:rPr>
      </w:pPr>
    </w:p>
    <w:p w:rsidR="00F34803" w:rsidRPr="008A7C35" w:rsidRDefault="00F34803" w:rsidP="00A915A2">
      <w:pPr>
        <w:pStyle w:val="Cuerpodelboletn"/>
        <w:spacing w:before="120" w:after="120" w:line="276" w:lineRule="auto"/>
        <w:ind w:left="426"/>
        <w:rPr>
          <w:color w:val="auto"/>
          <w:lang w:bidi="es-ES"/>
        </w:rPr>
      </w:pPr>
      <w:r w:rsidRPr="008A7C35">
        <w:rPr>
          <w:rStyle w:val="Ttulo2Car"/>
          <w:sz w:val="22"/>
          <w:szCs w:val="22"/>
        </w:rPr>
        <w:t>Resolución</w:t>
      </w:r>
    </w:p>
    <w:p w:rsidR="00904E47" w:rsidRPr="008A7C35" w:rsidRDefault="00D41FBA" w:rsidP="00AC715D">
      <w:pPr>
        <w:pStyle w:val="Cuerpodelboletn"/>
        <w:numPr>
          <w:ilvl w:val="0"/>
          <w:numId w:val="6"/>
        </w:numPr>
        <w:spacing w:before="120" w:after="120" w:line="276" w:lineRule="auto"/>
        <w:rPr>
          <w:color w:val="auto"/>
          <w:lang w:bidi="es-ES"/>
        </w:rPr>
      </w:pPr>
      <w:r w:rsidRPr="008A7C35">
        <w:rPr>
          <w:color w:val="auto"/>
          <w:lang w:bidi="es-ES"/>
        </w:rPr>
        <w:t>S</w:t>
      </w:r>
      <w:r w:rsidR="00AC715D" w:rsidRPr="008A7C35">
        <w:rPr>
          <w:color w:val="auto"/>
          <w:lang w:bidi="es-ES"/>
        </w:rPr>
        <w:t>e</w:t>
      </w:r>
      <w:r w:rsidR="00626819" w:rsidRPr="008A7C35">
        <w:rPr>
          <w:color w:val="auto"/>
          <w:lang w:bidi="es-ES"/>
        </w:rPr>
        <w:t xml:space="preserve"> dicta </w:t>
      </w:r>
      <w:r w:rsidR="00F34803" w:rsidRPr="008A7C35">
        <w:rPr>
          <w:color w:val="auto"/>
          <w:lang w:bidi="es-ES"/>
        </w:rPr>
        <w:t>resolución expresa</w:t>
      </w:r>
      <w:r w:rsidR="00741849" w:rsidRPr="008A7C35">
        <w:rPr>
          <w:color w:val="auto"/>
          <w:lang w:bidi="es-ES"/>
        </w:rPr>
        <w:t xml:space="preserve"> c</w:t>
      </w:r>
      <w:r w:rsidR="00AC715D" w:rsidRPr="008A7C35">
        <w:rPr>
          <w:color w:val="auto"/>
          <w:lang w:bidi="es-ES"/>
        </w:rPr>
        <w:t xml:space="preserve">on fecha </w:t>
      </w:r>
      <w:r w:rsidR="000D0D25">
        <w:rPr>
          <w:color w:val="auto"/>
          <w:lang w:bidi="es-ES"/>
        </w:rPr>
        <w:t>30</w:t>
      </w:r>
      <w:r w:rsidR="00DE6A97" w:rsidRPr="008A7C35">
        <w:rPr>
          <w:color w:val="auto"/>
          <w:lang w:bidi="es-ES"/>
        </w:rPr>
        <w:t>/05/2023</w:t>
      </w:r>
      <w:r w:rsidR="00904E47" w:rsidRPr="008A7C35">
        <w:rPr>
          <w:color w:val="auto"/>
          <w:lang w:bidi="es-ES"/>
        </w:rPr>
        <w:t>.</w:t>
      </w:r>
      <w:r w:rsidR="00531D64" w:rsidRPr="008A7C35">
        <w:rPr>
          <w:color w:val="auto"/>
          <w:lang w:bidi="es-ES"/>
        </w:rPr>
        <w:t xml:space="preserve"> </w:t>
      </w:r>
    </w:p>
    <w:p w:rsidR="004A133A" w:rsidRPr="008A7C35" w:rsidRDefault="004A133A" w:rsidP="00A915A2">
      <w:pPr>
        <w:pStyle w:val="Cuerpodelboletn"/>
        <w:numPr>
          <w:ilvl w:val="0"/>
          <w:numId w:val="6"/>
        </w:numPr>
        <w:spacing w:before="120" w:after="120" w:line="276" w:lineRule="auto"/>
        <w:rPr>
          <w:color w:val="auto"/>
          <w:lang w:bidi="es-ES"/>
        </w:rPr>
      </w:pPr>
      <w:r w:rsidRPr="008A7C35">
        <w:rPr>
          <w:color w:val="auto"/>
          <w:lang w:bidi="es-ES"/>
        </w:rPr>
        <w:t xml:space="preserve">La resolución está firmada por </w:t>
      </w:r>
      <w:r w:rsidR="000D0D25">
        <w:rPr>
          <w:color w:val="auto"/>
          <w:lang w:bidi="es-ES"/>
        </w:rPr>
        <w:t>la Directora</w:t>
      </w:r>
      <w:r w:rsidR="00DE6A97" w:rsidRPr="008A7C35">
        <w:rPr>
          <w:color w:val="auto"/>
          <w:lang w:bidi="es-ES"/>
        </w:rPr>
        <w:t>.</w:t>
      </w:r>
    </w:p>
    <w:p w:rsidR="00F34803" w:rsidRPr="008A7C35" w:rsidRDefault="004A133A" w:rsidP="00A915A2">
      <w:pPr>
        <w:pStyle w:val="Cuerpodelboletn"/>
        <w:numPr>
          <w:ilvl w:val="0"/>
          <w:numId w:val="6"/>
        </w:numPr>
        <w:spacing w:before="120" w:after="120" w:line="276" w:lineRule="auto"/>
        <w:rPr>
          <w:color w:val="auto"/>
          <w:lang w:bidi="es-ES"/>
        </w:rPr>
      </w:pPr>
      <w:r w:rsidRPr="008A7C35">
        <w:rPr>
          <w:color w:val="auto"/>
          <w:lang w:bidi="es-ES"/>
        </w:rPr>
        <w:t>La resolución está completa, es clara y está estructurada. S</w:t>
      </w:r>
      <w:r w:rsidR="001C238B" w:rsidRPr="008A7C35">
        <w:rPr>
          <w:color w:val="auto"/>
          <w:lang w:bidi="es-ES"/>
        </w:rPr>
        <w:t xml:space="preserve">e </w:t>
      </w:r>
      <w:r w:rsidR="00904E47" w:rsidRPr="008A7C35">
        <w:rPr>
          <w:color w:val="auto"/>
          <w:lang w:bidi="es-ES"/>
        </w:rPr>
        <w:t>informa de los posibles recursos que el solicitante puede interponer en caso de disconformidad con la información recibida.</w:t>
      </w:r>
    </w:p>
    <w:p w:rsidR="00447511" w:rsidRPr="008A7C35" w:rsidRDefault="00046805" w:rsidP="001E1C29">
      <w:pPr>
        <w:pStyle w:val="Cuerpodelboletn"/>
        <w:numPr>
          <w:ilvl w:val="0"/>
          <w:numId w:val="6"/>
        </w:numPr>
        <w:spacing w:before="120" w:after="120" w:line="312" w:lineRule="auto"/>
        <w:rPr>
          <w:color w:val="auto"/>
          <w:lang w:bidi="es-ES"/>
        </w:rPr>
      </w:pPr>
      <w:r w:rsidRPr="008A7C35">
        <w:rPr>
          <w:color w:val="auto"/>
          <w:lang w:bidi="es-ES"/>
        </w:rPr>
        <w:t xml:space="preserve">La información </w:t>
      </w:r>
      <w:r w:rsidR="00AC715D" w:rsidRPr="008A7C35">
        <w:rPr>
          <w:color w:val="auto"/>
          <w:lang w:bidi="es-ES"/>
        </w:rPr>
        <w:t>se proporciona</w:t>
      </w:r>
      <w:r w:rsidR="001E1C29" w:rsidRPr="008A7C35">
        <w:rPr>
          <w:color w:val="auto"/>
          <w:lang w:bidi="es-ES"/>
        </w:rPr>
        <w:t xml:space="preserve"> </w:t>
      </w:r>
      <w:r w:rsidR="0038280F" w:rsidRPr="008A7C35">
        <w:rPr>
          <w:color w:val="auto"/>
          <w:lang w:bidi="es-ES"/>
        </w:rPr>
        <w:t xml:space="preserve">en </w:t>
      </w:r>
      <w:r w:rsidR="00A52CEF" w:rsidRPr="008A7C35">
        <w:rPr>
          <w:color w:val="auto"/>
          <w:lang w:bidi="es-ES"/>
        </w:rPr>
        <w:t xml:space="preserve">el cuerpo de la </w:t>
      </w:r>
      <w:r w:rsidR="0038280F" w:rsidRPr="008A7C35">
        <w:rPr>
          <w:color w:val="auto"/>
          <w:lang w:bidi="es-ES"/>
        </w:rPr>
        <w:t xml:space="preserve"> resolución</w:t>
      </w:r>
      <w:r w:rsidRPr="008A7C35">
        <w:rPr>
          <w:color w:val="auto"/>
          <w:lang w:bidi="es-ES"/>
        </w:rPr>
        <w:t>.</w:t>
      </w:r>
      <w:r w:rsidR="009913A5" w:rsidRPr="008A7C35">
        <w:rPr>
          <w:color w:val="auto"/>
          <w:lang w:bidi="es-ES"/>
        </w:rPr>
        <w:t xml:space="preserve"> </w:t>
      </w:r>
    </w:p>
    <w:p w:rsidR="00DE6A97" w:rsidRDefault="00DE6A97" w:rsidP="001E1C29">
      <w:pPr>
        <w:pStyle w:val="Cuerpodelboletn"/>
        <w:spacing w:before="120" w:after="120" w:line="312" w:lineRule="auto"/>
        <w:ind w:left="1146"/>
        <w:rPr>
          <w:color w:val="auto"/>
          <w:lang w:bidi="es-ES"/>
        </w:rPr>
      </w:pPr>
    </w:p>
    <w:sdt>
      <w:sdtPr>
        <w:rPr>
          <w:rFonts w:eastAsiaTheme="majorEastAsia" w:cstheme="majorBidi"/>
          <w:b/>
          <w:bCs/>
          <w:color w:val="00642D"/>
          <w:sz w:val="30"/>
          <w:szCs w:val="30"/>
        </w:rPr>
        <w:id w:val="219174856"/>
        <w:placeholder>
          <w:docPart w:val="0D1B12810E674B789E9273833A80B3B3"/>
        </w:placeholder>
      </w:sdtPr>
      <w:sdtEndPr>
        <w:rPr>
          <w:sz w:val="22"/>
          <w:szCs w:val="24"/>
        </w:rPr>
      </w:sdtEndPr>
      <w:sdtContent>
        <w:p w:rsidR="00256215" w:rsidRPr="00256215" w:rsidRDefault="00256215" w:rsidP="00E57E17">
          <w:pPr>
            <w:pStyle w:val="Cuerpodelboletn"/>
            <w:spacing w:before="120" w:after="120" w:line="312" w:lineRule="auto"/>
            <w:rPr>
              <w:b/>
              <w:color w:val="00642D"/>
              <w:sz w:val="32"/>
            </w:rPr>
          </w:pPr>
          <w:r w:rsidRPr="00256215">
            <w:rPr>
              <w:b/>
              <w:color w:val="00642D"/>
              <w:sz w:val="30"/>
              <w:szCs w:val="30"/>
            </w:rPr>
            <w:t xml:space="preserve">IV. </w:t>
          </w:r>
          <w:r>
            <w:rPr>
              <w:b/>
              <w:color w:val="00642D"/>
              <w:sz w:val="30"/>
              <w:szCs w:val="30"/>
            </w:rPr>
            <w:t>Reclamaciones ante el Consejo de Transparencia</w:t>
          </w:r>
          <w:r w:rsidR="00EE5BDF">
            <w:rPr>
              <w:b/>
              <w:color w:val="00642D"/>
              <w:sz w:val="30"/>
              <w:szCs w:val="30"/>
            </w:rPr>
            <w:t xml:space="preserve"> y Buen Gobierno</w:t>
          </w:r>
          <w:r w:rsidRPr="00256215">
            <w:rPr>
              <w:b/>
              <w:color w:val="00642D"/>
              <w:sz w:val="30"/>
              <w:szCs w:val="30"/>
            </w:rPr>
            <w:t xml:space="preserve"> </w:t>
          </w:r>
          <w:r w:rsidR="00AC715D">
            <w:rPr>
              <w:b/>
              <w:color w:val="00642D"/>
              <w:sz w:val="30"/>
              <w:szCs w:val="30"/>
            </w:rPr>
            <w:t>en el periodo 2015-202</w:t>
          </w:r>
          <w:r w:rsidR="005D006A">
            <w:rPr>
              <w:b/>
              <w:color w:val="00642D"/>
              <w:sz w:val="30"/>
              <w:szCs w:val="30"/>
            </w:rPr>
            <w:t>2</w:t>
          </w:r>
        </w:p>
      </w:sdtContent>
    </w:sdt>
    <w:p w:rsidR="00256215" w:rsidRDefault="00256215" w:rsidP="00256215">
      <w:pPr>
        <w:pStyle w:val="Cuerpodelboletn"/>
      </w:pPr>
    </w:p>
    <w:p w:rsidR="00DF6C30" w:rsidRDefault="005D006A" w:rsidP="00DF6C30">
      <w:pPr>
        <w:pStyle w:val="Cuerpodelboletn"/>
        <w:spacing w:before="120" w:after="120" w:line="276" w:lineRule="auto"/>
        <w:ind w:left="425"/>
      </w:pPr>
      <w:r>
        <w:t xml:space="preserve">El Consejo de Transparencia y Buen Gobierno no ha recibido reclamaciones contra resoluciones de </w:t>
      </w:r>
      <w:r w:rsidR="00507DB5">
        <w:t>la BNE</w:t>
      </w:r>
      <w:r>
        <w:t>.</w:t>
      </w:r>
    </w:p>
    <w:p w:rsidR="001D4699" w:rsidRPr="004A133A" w:rsidRDefault="001D4699" w:rsidP="00DF6C30">
      <w:pPr>
        <w:pStyle w:val="Cuerpodelboletn"/>
        <w:spacing w:before="120" w:after="120" w:line="276" w:lineRule="auto"/>
        <w:ind w:left="425"/>
      </w:pPr>
    </w:p>
    <w:p w:rsidR="001F251B" w:rsidRPr="00256215" w:rsidRDefault="00180DE0"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 xml:space="preserve">V. </w:t>
          </w:r>
          <w:r w:rsidR="001F251B">
            <w:rPr>
              <w:b/>
              <w:color w:val="00642D"/>
              <w:sz w:val="30"/>
              <w:szCs w:val="30"/>
            </w:rPr>
            <w:t>Buenas prácticas</w:t>
          </w:r>
          <w:r w:rsidR="001F251B" w:rsidRPr="00256215">
            <w:rPr>
              <w:b/>
              <w:color w:val="00642D"/>
              <w:sz w:val="30"/>
              <w:szCs w:val="30"/>
            </w:rPr>
            <w:t xml:space="preserve"> </w:t>
          </w:r>
        </w:sdtContent>
      </w:sdt>
    </w:p>
    <w:p w:rsidR="00A52CEF" w:rsidRDefault="00507DB5" w:rsidP="00A52CEF">
      <w:pPr>
        <w:spacing w:before="120" w:after="120"/>
        <w:ind w:left="426"/>
        <w:jc w:val="both"/>
      </w:pPr>
      <w:r>
        <w:t>La BNE</w:t>
      </w:r>
      <w:r w:rsidR="00A52CEF">
        <w:t xml:space="preserve"> presenta en la gestión de las solicitudes de acceso a información pública buenas prácticas que podrían ser aplicadas por otras instituciones y organizaciones públicas. Entre ellas cabe destacar:</w:t>
      </w:r>
    </w:p>
    <w:p w:rsidR="00A52CEF" w:rsidRPr="004A5655" w:rsidRDefault="00A52CEF" w:rsidP="00A52CEF">
      <w:pPr>
        <w:pStyle w:val="Prrafodelista"/>
        <w:numPr>
          <w:ilvl w:val="0"/>
          <w:numId w:val="10"/>
        </w:numPr>
        <w:spacing w:before="120" w:after="120"/>
        <w:ind w:left="1134"/>
        <w:contextualSpacing w:val="0"/>
        <w:jc w:val="both"/>
      </w:pPr>
      <w:r>
        <w:lastRenderedPageBreak/>
        <w:t>La disponibilidad de un espacio específico para el ejercicio del derecho de acceso</w:t>
      </w:r>
      <w:r w:rsidRPr="004A5655">
        <w:t>.</w:t>
      </w:r>
    </w:p>
    <w:p w:rsidR="00A52CEF" w:rsidRDefault="00A52CEF" w:rsidP="00A52CEF">
      <w:pPr>
        <w:pStyle w:val="Prrafodelista"/>
        <w:spacing w:before="120" w:after="120"/>
        <w:ind w:left="1134"/>
        <w:contextualSpacing w:val="0"/>
        <w:jc w:val="both"/>
      </w:pPr>
    </w:p>
    <w:p w:rsidR="00256215" w:rsidRDefault="00180DE0"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V</w:t>
          </w:r>
          <w:r w:rsidR="001F251B">
            <w:rPr>
              <w:b/>
              <w:color w:val="00642D"/>
              <w:sz w:val="30"/>
              <w:szCs w:val="30"/>
            </w:rPr>
            <w:t>I</w:t>
          </w:r>
          <w:r w:rsidR="00256215" w:rsidRPr="00256215">
            <w:rPr>
              <w:b/>
              <w:color w:val="00642D"/>
              <w:sz w:val="30"/>
              <w:szCs w:val="30"/>
            </w:rPr>
            <w:t xml:space="preserve">. </w:t>
          </w:r>
          <w:r w:rsidR="00256215">
            <w:rPr>
              <w:b/>
              <w:color w:val="00642D"/>
              <w:sz w:val="30"/>
              <w:szCs w:val="30"/>
            </w:rPr>
            <w:t>Conclusiones y recomendaciones</w:t>
          </w:r>
          <w:r w:rsidR="00256215" w:rsidRPr="00256215">
            <w:rPr>
              <w:b/>
              <w:color w:val="00642D"/>
              <w:sz w:val="30"/>
              <w:szCs w:val="30"/>
            </w:rPr>
            <w:t xml:space="preserve"> </w:t>
          </w:r>
        </w:sdtContent>
      </w:sdt>
    </w:p>
    <w:p w:rsidR="00B40246" w:rsidRDefault="00B40246"/>
    <w:p w:rsidR="00F34803" w:rsidRPr="00B70DBD" w:rsidRDefault="00F34803" w:rsidP="005A0354">
      <w:pPr>
        <w:pStyle w:val="Prrafodelista"/>
        <w:numPr>
          <w:ilvl w:val="0"/>
          <w:numId w:val="9"/>
        </w:numPr>
        <w:ind w:left="709"/>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34803" w:rsidRDefault="00F34803" w:rsidP="00F34803">
      <w:pPr>
        <w:pStyle w:val="Prrafodelista"/>
        <w:ind w:left="644"/>
        <w:rPr>
          <w:rStyle w:val="Ttulo2Car"/>
          <w:color w:val="00642D"/>
          <w:sz w:val="22"/>
          <w:szCs w:val="22"/>
          <w:lang w:bidi="es-ES"/>
        </w:rPr>
      </w:pPr>
    </w:p>
    <w:p w:rsidR="00D74E79" w:rsidRDefault="00507DB5" w:rsidP="00507DB5">
      <w:pPr>
        <w:pStyle w:val="Prrafodelista"/>
        <w:ind w:left="709"/>
        <w:jc w:val="both"/>
        <w:rPr>
          <w:bCs/>
        </w:rPr>
      </w:pPr>
      <w:r>
        <w:rPr>
          <w:bCs/>
        </w:rPr>
        <w:t xml:space="preserve">En 2022 la BNE tramitó la totalidad de las solicitudes de información que recibe en el año, todas ellas fueron admitidas a trámite y </w:t>
      </w:r>
      <w:r w:rsidR="00F01FF9">
        <w:rPr>
          <w:bCs/>
        </w:rPr>
        <w:t xml:space="preserve">se dictó resolución expresa en todos los casos. Todas las resoluciones conceden el acceso a la información, sólo en un caso dicho acceso fue parcial. </w:t>
      </w:r>
    </w:p>
    <w:p w:rsidR="00507DB5" w:rsidRDefault="00507DB5" w:rsidP="00507DB5">
      <w:pPr>
        <w:pStyle w:val="Prrafodelista"/>
        <w:ind w:left="709"/>
        <w:jc w:val="both"/>
        <w:rPr>
          <w:bCs/>
        </w:rPr>
      </w:pPr>
    </w:p>
    <w:p w:rsidR="005D006A" w:rsidRDefault="005D006A" w:rsidP="005D006A">
      <w:pPr>
        <w:pStyle w:val="Prrafodelista"/>
        <w:ind w:left="644"/>
        <w:jc w:val="both"/>
        <w:rPr>
          <w:bCs/>
        </w:rPr>
      </w:pPr>
      <w:r w:rsidRPr="00D74E79">
        <w:rPr>
          <w:bCs/>
        </w:rPr>
        <w:t>Una cuestión adicional es que no se publican las resoluciones que deniegan el acceso a la información en aplicación de los límites del artículo 14.</w:t>
      </w:r>
    </w:p>
    <w:p w:rsidR="005D006A" w:rsidRDefault="005D006A" w:rsidP="005D006A">
      <w:pPr>
        <w:pStyle w:val="Prrafodelista"/>
        <w:ind w:left="644"/>
        <w:jc w:val="both"/>
        <w:rPr>
          <w:bCs/>
        </w:rPr>
      </w:pPr>
    </w:p>
    <w:p w:rsidR="005D006A" w:rsidRDefault="00F01FF9" w:rsidP="005D006A">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La BNE</w:t>
      </w:r>
      <w:r w:rsidR="005D006A" w:rsidRPr="00F33EF2">
        <w:rPr>
          <w:bCs/>
        </w:rPr>
        <w:t xml:space="preserve"> </w:t>
      </w:r>
      <w:r w:rsidR="005D006A">
        <w:rPr>
          <w:bCs/>
        </w:rPr>
        <w:t xml:space="preserve">debería publicar en su </w:t>
      </w:r>
      <w:r w:rsidR="00236AF5">
        <w:rPr>
          <w:bCs/>
        </w:rPr>
        <w:t>web institucional</w:t>
      </w:r>
      <w:r w:rsidR="005D006A">
        <w:rPr>
          <w:bCs/>
        </w:rPr>
        <w:t xml:space="preserve"> las resoluciones que deniegan el acceso a la información por aplicación de los límites del artículo 14, según lo dispuesto por el artículo 14.3 de la LTAIBG.</w:t>
      </w:r>
    </w:p>
    <w:p w:rsidR="00180DE0" w:rsidRDefault="00180DE0" w:rsidP="005D006A">
      <w:pPr>
        <w:pStyle w:val="Prrafodelista"/>
        <w:pBdr>
          <w:top w:val="single" w:sz="4" w:space="1" w:color="008000"/>
          <w:left w:val="single" w:sz="4" w:space="4" w:color="008000"/>
          <w:bottom w:val="single" w:sz="4" w:space="1" w:color="008000"/>
          <w:right w:val="single" w:sz="4" w:space="4" w:color="008000"/>
        </w:pBdr>
        <w:ind w:left="644"/>
        <w:jc w:val="both"/>
        <w:rPr>
          <w:bCs/>
        </w:rPr>
      </w:pPr>
    </w:p>
    <w:p w:rsidR="00180DE0" w:rsidRDefault="00180DE0" w:rsidP="00180DE0">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 xml:space="preserve">El problema que lleva a este CTBG a plantear esta recomendación, es que el Portal, publica las resoluciones denegatorias por aplicación de los límites del artículo 14 para el conjunto de Ministerios, y no permite la búsqueda por organismo o entidad dependiente o vinculada, lo que implica que la búsqueda de registros en el </w:t>
      </w:r>
      <w:proofErr w:type="spellStart"/>
      <w:r>
        <w:rPr>
          <w:bCs/>
        </w:rPr>
        <w:t>excel</w:t>
      </w:r>
      <w:proofErr w:type="spellEnd"/>
      <w:r>
        <w:rPr>
          <w:bCs/>
        </w:rPr>
        <w:t xml:space="preserve"> que se proporciona deba efectuarse por el Ministerio de adscripción de la entidad, información de la que no siempre dispone la ciudadanía. Una cuestión adicional es que en el caso de </w:t>
      </w:r>
      <w:r>
        <w:rPr>
          <w:bCs/>
        </w:rPr>
        <w:t>la BNE</w:t>
      </w:r>
      <w:r>
        <w:rPr>
          <w:bCs/>
        </w:rPr>
        <w:t xml:space="preserve">, su Ministerio de adscripción ha cambiado de denominación en los últimos años, lo que dificulta aún más la localización de la información.   </w:t>
      </w:r>
    </w:p>
    <w:p w:rsidR="00180DE0" w:rsidRDefault="00180DE0" w:rsidP="00180DE0">
      <w:pPr>
        <w:pStyle w:val="Prrafodelista"/>
        <w:pBdr>
          <w:top w:val="single" w:sz="4" w:space="1" w:color="008000"/>
          <w:left w:val="single" w:sz="4" w:space="4" w:color="008000"/>
          <w:bottom w:val="single" w:sz="4" w:space="1" w:color="008000"/>
          <w:right w:val="single" w:sz="4" w:space="4" w:color="008000"/>
        </w:pBdr>
        <w:ind w:left="644"/>
        <w:jc w:val="both"/>
        <w:rPr>
          <w:bCs/>
        </w:rPr>
      </w:pPr>
    </w:p>
    <w:p w:rsidR="005D006A" w:rsidRPr="008648E8" w:rsidRDefault="005D006A" w:rsidP="005D006A">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En el caso de que no hubiese solicitudes denegadas por aplicación de estos límites debería indicarse expresamente esta circunstancia.</w:t>
      </w:r>
    </w:p>
    <w:p w:rsidR="00F34803" w:rsidRDefault="00F34803" w:rsidP="00F34803">
      <w:pPr>
        <w:pStyle w:val="Prrafodelista"/>
        <w:ind w:left="644"/>
      </w:pPr>
    </w:p>
    <w:p w:rsidR="00DE6A97" w:rsidRDefault="00DE6A97" w:rsidP="00F34803">
      <w:pPr>
        <w:pStyle w:val="Prrafodelista"/>
        <w:ind w:left="644"/>
      </w:pPr>
    </w:p>
    <w:p w:rsidR="00F34803" w:rsidRPr="001018C9" w:rsidRDefault="00F34803" w:rsidP="005A0354">
      <w:pPr>
        <w:pStyle w:val="Prrafodelista"/>
        <w:numPr>
          <w:ilvl w:val="0"/>
          <w:numId w:val="9"/>
        </w:numPr>
        <w:ind w:left="709"/>
      </w:pPr>
      <w:r w:rsidRPr="00B70DBD">
        <w:rPr>
          <w:rStyle w:val="Ttulo2Car"/>
          <w:color w:val="00642D"/>
          <w:sz w:val="22"/>
          <w:szCs w:val="22"/>
          <w:lang w:bidi="es-ES"/>
        </w:rPr>
        <w:t>Respecto de la localización de la información y facilidad de acceso al ejercicio del derecho.</w:t>
      </w:r>
    </w:p>
    <w:p w:rsidR="00F34803" w:rsidRDefault="00F34803" w:rsidP="00F34803">
      <w:pPr>
        <w:pStyle w:val="Prrafodelista"/>
        <w:ind w:left="644"/>
      </w:pPr>
    </w:p>
    <w:p w:rsidR="005D006A" w:rsidRDefault="00F34803" w:rsidP="00A52CEF">
      <w:pPr>
        <w:pStyle w:val="Prrafodelista"/>
        <w:ind w:left="644"/>
        <w:jc w:val="both"/>
      </w:pPr>
      <w:r>
        <w:t xml:space="preserve">Como se ha indicado, </w:t>
      </w:r>
      <w:r w:rsidR="00F01FF9">
        <w:t>La BNE</w:t>
      </w:r>
      <w:r w:rsidR="005D006A">
        <w:t xml:space="preserve"> dispone de un espacio en su web institucional que facilit</w:t>
      </w:r>
      <w:r w:rsidR="00DE6A97">
        <w:t>a</w:t>
      </w:r>
      <w:r w:rsidR="005D006A">
        <w:t xml:space="preserve"> el ejercicio del derecho de acceso a la información. </w:t>
      </w:r>
      <w:r w:rsidR="00F01FF9">
        <w:t>Este espacio consiste en un enlace al Portal de Transparencia de la AGE, por lo que parece que este es el único canal de presentación de solicitudes habilitado por el org</w:t>
      </w:r>
      <w:bookmarkStart w:id="0" w:name="_GoBack"/>
      <w:bookmarkEnd w:id="0"/>
      <w:r w:rsidR="00F01FF9">
        <w:t>anismo.</w:t>
      </w:r>
    </w:p>
    <w:p w:rsidR="00F01FF9" w:rsidRPr="009D7822" w:rsidRDefault="00F01FF9" w:rsidP="00F01FF9">
      <w:pPr>
        <w:pBdr>
          <w:top w:val="single" w:sz="4" w:space="1" w:color="00B050"/>
          <w:left w:val="single" w:sz="4" w:space="4" w:color="00B050"/>
          <w:bottom w:val="single" w:sz="4" w:space="1" w:color="00B050"/>
          <w:right w:val="single" w:sz="4" w:space="4" w:color="00B050"/>
        </w:pBdr>
        <w:ind w:left="644"/>
        <w:contextualSpacing/>
        <w:jc w:val="both"/>
      </w:pPr>
      <w:r w:rsidRPr="009D7822">
        <w:t xml:space="preserve">La Ley 39/2015, fija los medios a través de los cuales los ciudadanos pueden relacionarse con las administraciones y el derecho de éstos a relacionarse por el medio que consideren oportuno y a modificar en el transcurso del </w:t>
      </w:r>
      <w:r>
        <w:t xml:space="preserve">procedimiento el medio elegido, por lo que sería conveniente que se informase a los ciudadanos sobre esta cuestión. </w:t>
      </w:r>
    </w:p>
    <w:p w:rsidR="00F01FF9" w:rsidRPr="009D7822" w:rsidRDefault="00F01FF9" w:rsidP="00F01FF9">
      <w:pPr>
        <w:ind w:left="644"/>
        <w:contextualSpacing/>
        <w:jc w:val="both"/>
      </w:pPr>
    </w:p>
    <w:p w:rsidR="00F34803" w:rsidRPr="00B70DBD" w:rsidRDefault="00F34803" w:rsidP="005A0354">
      <w:pPr>
        <w:pStyle w:val="Prrafodelista"/>
        <w:numPr>
          <w:ilvl w:val="0"/>
          <w:numId w:val="8"/>
        </w:numPr>
        <w:ind w:left="709"/>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F34803" w:rsidRDefault="00F34803" w:rsidP="00F34803">
      <w:pPr>
        <w:pStyle w:val="Prrafodelista"/>
        <w:ind w:left="644"/>
        <w:jc w:val="both"/>
      </w:pPr>
    </w:p>
    <w:p w:rsidR="00B31C4E" w:rsidRPr="000D0D25" w:rsidRDefault="00F34803" w:rsidP="002E0A33">
      <w:pPr>
        <w:pStyle w:val="Prrafodelista"/>
        <w:ind w:left="426"/>
        <w:jc w:val="both"/>
      </w:pPr>
      <w:r w:rsidRPr="000D0D25">
        <w:t>La gestión de la solicitud de acceso presentada se ha ajustado al procedimiento establecido po</w:t>
      </w:r>
      <w:r w:rsidR="00A915A2" w:rsidRPr="000D0D25">
        <w:t xml:space="preserve">r la LTAIBG. </w:t>
      </w:r>
      <w:r w:rsidR="002E0A33" w:rsidRPr="000D0D25">
        <w:t xml:space="preserve">La resolución </w:t>
      </w:r>
      <w:r w:rsidR="00393F8C" w:rsidRPr="000D0D25">
        <w:t>dictada</w:t>
      </w:r>
      <w:r w:rsidR="002E0A33" w:rsidRPr="000D0D25">
        <w:t xml:space="preserve"> </w:t>
      </w:r>
      <w:r w:rsidR="00393F8C" w:rsidRPr="000D0D25">
        <w:t xml:space="preserve">por </w:t>
      </w:r>
      <w:r w:rsidR="000D0D25">
        <w:rPr>
          <w:lang w:bidi="es-ES"/>
        </w:rPr>
        <w:t>la Directora</w:t>
      </w:r>
      <w:r w:rsidR="003A260E" w:rsidRPr="000D0D25">
        <w:t xml:space="preserve"> </w:t>
      </w:r>
      <w:r w:rsidR="002E0A33" w:rsidRPr="000D0D25">
        <w:t>está motivada y correctamente estructurada, es clara y compr</w:t>
      </w:r>
      <w:r w:rsidR="0063118A" w:rsidRPr="000D0D25">
        <w:t>ensible</w:t>
      </w:r>
      <w:r w:rsidR="00FC2FB9" w:rsidRPr="000D0D25">
        <w:t xml:space="preserve"> e</w:t>
      </w:r>
      <w:r w:rsidR="0063118A" w:rsidRPr="000D0D25">
        <w:t xml:space="preserve"> incluye pie de recurso.</w:t>
      </w:r>
      <w:r w:rsidR="00DF6C30" w:rsidRPr="000D0D25">
        <w:t xml:space="preserve"> </w:t>
      </w:r>
    </w:p>
    <w:p w:rsidR="00D84B7B" w:rsidRPr="000D0D25" w:rsidRDefault="0063118A" w:rsidP="00D84B7B">
      <w:pPr>
        <w:tabs>
          <w:tab w:val="left" w:pos="426"/>
        </w:tabs>
        <w:ind w:left="426"/>
        <w:contextualSpacing/>
        <w:jc w:val="both"/>
      </w:pPr>
      <w:r w:rsidRPr="000D0D25">
        <w:t>L</w:t>
      </w:r>
      <w:r w:rsidR="00D84B7B" w:rsidRPr="000D0D25">
        <w:t xml:space="preserve">a información se proporciona </w:t>
      </w:r>
      <w:r w:rsidR="003A260E" w:rsidRPr="000D0D25">
        <w:t xml:space="preserve">en el momento de la notificación </w:t>
      </w:r>
      <w:r w:rsidR="00AF6C5C" w:rsidRPr="000D0D25">
        <w:t>aunque no en el formato solicitado</w:t>
      </w:r>
      <w:r w:rsidR="00A52CEF" w:rsidRPr="000D0D25">
        <w:t>.</w:t>
      </w:r>
    </w:p>
    <w:p w:rsidR="00E541AF" w:rsidRPr="00D84B7B" w:rsidRDefault="000D0D25" w:rsidP="007B7889">
      <w:pPr>
        <w:pStyle w:val="Prrafodelista"/>
        <w:pBdr>
          <w:top w:val="single" w:sz="4" w:space="1" w:color="00B050"/>
          <w:left w:val="single" w:sz="4" w:space="4" w:color="00B050"/>
          <w:bottom w:val="single" w:sz="4" w:space="1" w:color="00B050"/>
          <w:right w:val="single" w:sz="4" w:space="4" w:color="00B050"/>
        </w:pBdr>
        <w:ind w:left="644"/>
        <w:jc w:val="both"/>
      </w:pPr>
      <w:r>
        <w:t>En la medida de lo posible la información debería proporcionarse en el formato indicado por los solicitantes</w:t>
      </w:r>
      <w:r w:rsidR="00A52CEF" w:rsidRPr="000D0D25">
        <w:t>.</w:t>
      </w:r>
    </w:p>
    <w:p w:rsidR="00B40246" w:rsidRDefault="00B40246" w:rsidP="00D84B7B">
      <w:pPr>
        <w:pStyle w:val="Prrafodelista"/>
        <w:ind w:left="644"/>
        <w:jc w:val="both"/>
      </w:pPr>
    </w:p>
    <w:p w:rsidR="007B7889" w:rsidRDefault="007B7889" w:rsidP="007B7889">
      <w:pPr>
        <w:pStyle w:val="Prrafodelista"/>
        <w:ind w:left="7724" w:firstLine="64"/>
        <w:jc w:val="both"/>
      </w:pPr>
      <w:r>
        <w:t xml:space="preserve">Madrid, </w:t>
      </w:r>
      <w:r w:rsidR="00F01FF9">
        <w:t>junio</w:t>
      </w:r>
      <w:r>
        <w:t xml:space="preserve"> de 2023</w:t>
      </w:r>
    </w:p>
    <w:sectPr w:rsidR="007B7889" w:rsidSect="00DF63E7">
      <w:footerReference w:type="default" r:id="rId12"/>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C35" w:rsidRDefault="008A7C35" w:rsidP="00932008">
      <w:pPr>
        <w:spacing w:after="0" w:line="240" w:lineRule="auto"/>
      </w:pPr>
      <w:r>
        <w:separator/>
      </w:r>
    </w:p>
  </w:endnote>
  <w:endnote w:type="continuationSeparator" w:id="0">
    <w:p w:rsidR="008A7C35" w:rsidRDefault="008A7C35"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407109"/>
      <w:docPartObj>
        <w:docPartGallery w:val="Page Numbers (Bottom of Page)"/>
        <w:docPartUnique/>
      </w:docPartObj>
    </w:sdtPr>
    <w:sdtEndPr>
      <w:rPr>
        <w:sz w:val="18"/>
        <w:szCs w:val="18"/>
      </w:rPr>
    </w:sdtEndPr>
    <w:sdtContent>
      <w:p w:rsidR="008A7C35" w:rsidRPr="00C533E7" w:rsidRDefault="008A7C35">
        <w:pPr>
          <w:pStyle w:val="Piedepgina"/>
          <w:jc w:val="right"/>
          <w:rPr>
            <w:sz w:val="18"/>
            <w:szCs w:val="18"/>
          </w:rPr>
        </w:pPr>
        <w:r w:rsidRPr="00C533E7">
          <w:rPr>
            <w:sz w:val="18"/>
            <w:szCs w:val="18"/>
          </w:rPr>
          <w:fldChar w:fldCharType="begin"/>
        </w:r>
        <w:r w:rsidRPr="00C533E7">
          <w:rPr>
            <w:sz w:val="18"/>
            <w:szCs w:val="18"/>
          </w:rPr>
          <w:instrText>PAGE   \* MERGEFORMAT</w:instrText>
        </w:r>
        <w:r w:rsidRPr="00C533E7">
          <w:rPr>
            <w:sz w:val="18"/>
            <w:szCs w:val="18"/>
          </w:rPr>
          <w:fldChar w:fldCharType="separate"/>
        </w:r>
        <w:r w:rsidR="00180DE0">
          <w:rPr>
            <w:noProof/>
            <w:sz w:val="18"/>
            <w:szCs w:val="18"/>
          </w:rPr>
          <w:t>4</w:t>
        </w:r>
        <w:r w:rsidRPr="00C533E7">
          <w:rPr>
            <w:sz w:val="18"/>
            <w:szCs w:val="18"/>
          </w:rPr>
          <w:fldChar w:fldCharType="end"/>
        </w:r>
      </w:p>
    </w:sdtContent>
  </w:sdt>
  <w:p w:rsidR="008A7C35" w:rsidRDefault="008A7C3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C35" w:rsidRDefault="008A7C35" w:rsidP="00932008">
      <w:pPr>
        <w:spacing w:after="0" w:line="240" w:lineRule="auto"/>
      </w:pPr>
      <w:r>
        <w:separator/>
      </w:r>
    </w:p>
  </w:footnote>
  <w:footnote w:type="continuationSeparator" w:id="0">
    <w:p w:rsidR="008A7C35" w:rsidRDefault="008A7C35"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1" type="#_x0000_t75" style="width:9pt;height:9pt" o:bullet="t">
        <v:imagedata r:id="rId1" o:title="BD14533_"/>
      </v:shape>
    </w:pict>
  </w:numPicBullet>
  <w:abstractNum w:abstractNumId="0">
    <w:nsid w:val="00212285"/>
    <w:multiLevelType w:val="hybridMultilevel"/>
    <w:tmpl w:val="0810C892"/>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4127FA"/>
    <w:multiLevelType w:val="hybridMultilevel"/>
    <w:tmpl w:val="07C0C4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nsid w:val="41BB51E8"/>
    <w:multiLevelType w:val="hybridMultilevel"/>
    <w:tmpl w:val="0914B1B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7">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3"/>
  </w:num>
  <w:num w:numId="5">
    <w:abstractNumId w:val="2"/>
  </w:num>
  <w:num w:numId="6">
    <w:abstractNumId w:val="4"/>
  </w:num>
  <w:num w:numId="7">
    <w:abstractNumId w:val="0"/>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4341"/>
    <w:rsid w:val="0001691A"/>
    <w:rsid w:val="000262A3"/>
    <w:rsid w:val="000266FD"/>
    <w:rsid w:val="00032FA6"/>
    <w:rsid w:val="00046805"/>
    <w:rsid w:val="00055B15"/>
    <w:rsid w:val="00056B19"/>
    <w:rsid w:val="00076680"/>
    <w:rsid w:val="000965B3"/>
    <w:rsid w:val="000A1C07"/>
    <w:rsid w:val="000B0A0D"/>
    <w:rsid w:val="000B2A81"/>
    <w:rsid w:val="000C6CFF"/>
    <w:rsid w:val="000D0D25"/>
    <w:rsid w:val="00102733"/>
    <w:rsid w:val="001252EE"/>
    <w:rsid w:val="0012783F"/>
    <w:rsid w:val="001561A4"/>
    <w:rsid w:val="00176A94"/>
    <w:rsid w:val="00180DE0"/>
    <w:rsid w:val="00194000"/>
    <w:rsid w:val="001B3D6A"/>
    <w:rsid w:val="001C238B"/>
    <w:rsid w:val="001D4699"/>
    <w:rsid w:val="001E1C29"/>
    <w:rsid w:val="001F251B"/>
    <w:rsid w:val="001F25E4"/>
    <w:rsid w:val="002260CC"/>
    <w:rsid w:val="00236AF5"/>
    <w:rsid w:val="00241D7A"/>
    <w:rsid w:val="00255A7E"/>
    <w:rsid w:val="00256215"/>
    <w:rsid w:val="002615D8"/>
    <w:rsid w:val="0026281C"/>
    <w:rsid w:val="002A154B"/>
    <w:rsid w:val="002A479C"/>
    <w:rsid w:val="002E0A33"/>
    <w:rsid w:val="003145AD"/>
    <w:rsid w:val="00334115"/>
    <w:rsid w:val="00340559"/>
    <w:rsid w:val="00341F8F"/>
    <w:rsid w:val="0038280F"/>
    <w:rsid w:val="00393F8C"/>
    <w:rsid w:val="003A260E"/>
    <w:rsid w:val="003B5288"/>
    <w:rsid w:val="003F271E"/>
    <w:rsid w:val="003F572A"/>
    <w:rsid w:val="00411640"/>
    <w:rsid w:val="00447511"/>
    <w:rsid w:val="004537FB"/>
    <w:rsid w:val="004A123A"/>
    <w:rsid w:val="004A133A"/>
    <w:rsid w:val="004A706B"/>
    <w:rsid w:val="004B4DC3"/>
    <w:rsid w:val="004D6E73"/>
    <w:rsid w:val="004F2655"/>
    <w:rsid w:val="00507DB5"/>
    <w:rsid w:val="0052651D"/>
    <w:rsid w:val="00531D64"/>
    <w:rsid w:val="005446A8"/>
    <w:rsid w:val="00561402"/>
    <w:rsid w:val="00572C18"/>
    <w:rsid w:val="0057532F"/>
    <w:rsid w:val="00577A83"/>
    <w:rsid w:val="00595AAF"/>
    <w:rsid w:val="005A0354"/>
    <w:rsid w:val="005A2AD2"/>
    <w:rsid w:val="005B1F0E"/>
    <w:rsid w:val="005B3C15"/>
    <w:rsid w:val="005D006A"/>
    <w:rsid w:val="005E37C8"/>
    <w:rsid w:val="00610D8A"/>
    <w:rsid w:val="00626819"/>
    <w:rsid w:val="0063118A"/>
    <w:rsid w:val="00654162"/>
    <w:rsid w:val="006A2766"/>
    <w:rsid w:val="006A2E9A"/>
    <w:rsid w:val="00706E04"/>
    <w:rsid w:val="00707CFE"/>
    <w:rsid w:val="00710031"/>
    <w:rsid w:val="00727BA2"/>
    <w:rsid w:val="00741849"/>
    <w:rsid w:val="00743756"/>
    <w:rsid w:val="00786832"/>
    <w:rsid w:val="007932E6"/>
    <w:rsid w:val="007B0F99"/>
    <w:rsid w:val="007B1EF0"/>
    <w:rsid w:val="007B7889"/>
    <w:rsid w:val="007C57AB"/>
    <w:rsid w:val="007C5F74"/>
    <w:rsid w:val="007D6B40"/>
    <w:rsid w:val="007F4BBB"/>
    <w:rsid w:val="00815659"/>
    <w:rsid w:val="008207D9"/>
    <w:rsid w:val="00832D4F"/>
    <w:rsid w:val="00833900"/>
    <w:rsid w:val="00844FA9"/>
    <w:rsid w:val="008839AB"/>
    <w:rsid w:val="008A7C35"/>
    <w:rsid w:val="008C1E1E"/>
    <w:rsid w:val="00904E47"/>
    <w:rsid w:val="00923092"/>
    <w:rsid w:val="009239D9"/>
    <w:rsid w:val="00930638"/>
    <w:rsid w:val="00932008"/>
    <w:rsid w:val="009473AA"/>
    <w:rsid w:val="009609E9"/>
    <w:rsid w:val="0096522C"/>
    <w:rsid w:val="00983919"/>
    <w:rsid w:val="009913A5"/>
    <w:rsid w:val="00A351F7"/>
    <w:rsid w:val="00A41DD5"/>
    <w:rsid w:val="00A52CEF"/>
    <w:rsid w:val="00A544D3"/>
    <w:rsid w:val="00A8003E"/>
    <w:rsid w:val="00A915A2"/>
    <w:rsid w:val="00AB4742"/>
    <w:rsid w:val="00AC109E"/>
    <w:rsid w:val="00AC715D"/>
    <w:rsid w:val="00AC7259"/>
    <w:rsid w:val="00AD1B67"/>
    <w:rsid w:val="00AD1DBF"/>
    <w:rsid w:val="00AE1CBE"/>
    <w:rsid w:val="00AE788F"/>
    <w:rsid w:val="00AF6C5C"/>
    <w:rsid w:val="00B108F0"/>
    <w:rsid w:val="00B31C4E"/>
    <w:rsid w:val="00B378E2"/>
    <w:rsid w:val="00B40246"/>
    <w:rsid w:val="00B5583D"/>
    <w:rsid w:val="00B812AB"/>
    <w:rsid w:val="00B841AE"/>
    <w:rsid w:val="00B84669"/>
    <w:rsid w:val="00BA266E"/>
    <w:rsid w:val="00BB63C9"/>
    <w:rsid w:val="00BB6799"/>
    <w:rsid w:val="00BD41F9"/>
    <w:rsid w:val="00BD4582"/>
    <w:rsid w:val="00BE6A46"/>
    <w:rsid w:val="00BF5EDE"/>
    <w:rsid w:val="00C02768"/>
    <w:rsid w:val="00C25AF5"/>
    <w:rsid w:val="00C33A23"/>
    <w:rsid w:val="00C34BB5"/>
    <w:rsid w:val="00C4479B"/>
    <w:rsid w:val="00C533E7"/>
    <w:rsid w:val="00C5744D"/>
    <w:rsid w:val="00C627FB"/>
    <w:rsid w:val="00CB5511"/>
    <w:rsid w:val="00CB7518"/>
    <w:rsid w:val="00CC2049"/>
    <w:rsid w:val="00CC587B"/>
    <w:rsid w:val="00CC610D"/>
    <w:rsid w:val="00CD0605"/>
    <w:rsid w:val="00D41FBA"/>
    <w:rsid w:val="00D445A7"/>
    <w:rsid w:val="00D52E43"/>
    <w:rsid w:val="00D74E79"/>
    <w:rsid w:val="00D84B7B"/>
    <w:rsid w:val="00D93A14"/>
    <w:rsid w:val="00D96F84"/>
    <w:rsid w:val="00DA4FE5"/>
    <w:rsid w:val="00DA5100"/>
    <w:rsid w:val="00DB76AF"/>
    <w:rsid w:val="00DC0848"/>
    <w:rsid w:val="00DD3E02"/>
    <w:rsid w:val="00DE4AA9"/>
    <w:rsid w:val="00DE6A97"/>
    <w:rsid w:val="00DF2ACE"/>
    <w:rsid w:val="00DF4D57"/>
    <w:rsid w:val="00DF63E7"/>
    <w:rsid w:val="00DF6C30"/>
    <w:rsid w:val="00E3088D"/>
    <w:rsid w:val="00E34195"/>
    <w:rsid w:val="00E4702F"/>
    <w:rsid w:val="00E47613"/>
    <w:rsid w:val="00E541AF"/>
    <w:rsid w:val="00E569FD"/>
    <w:rsid w:val="00E57E17"/>
    <w:rsid w:val="00ED3EAD"/>
    <w:rsid w:val="00EE3509"/>
    <w:rsid w:val="00EE5BDF"/>
    <w:rsid w:val="00F01FF9"/>
    <w:rsid w:val="00F14DA4"/>
    <w:rsid w:val="00F34803"/>
    <w:rsid w:val="00F47C3B"/>
    <w:rsid w:val="00F50AE2"/>
    <w:rsid w:val="00F71D7D"/>
    <w:rsid w:val="00F7263F"/>
    <w:rsid w:val="00F76499"/>
    <w:rsid w:val="00F900E1"/>
    <w:rsid w:val="00F95C49"/>
    <w:rsid w:val="00FC2FB9"/>
    <w:rsid w:val="00FD5B2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0D1B12810E674B789E9273833A80B3B3"/>
        <w:category>
          <w:name w:val="General"/>
          <w:gallery w:val="placeholder"/>
        </w:category>
        <w:types>
          <w:type w:val="bbPlcHdr"/>
        </w:types>
        <w:behaviors>
          <w:behavior w:val="content"/>
        </w:behaviors>
        <w:guid w:val="{1A7847B3-43C0-463E-9818-9F75A372C2C5}"/>
      </w:docPartPr>
      <w:docPartBody>
        <w:p w:rsidR="002C7AFA" w:rsidRDefault="002C7AFA" w:rsidP="002C7AFA">
          <w:pPr>
            <w:pStyle w:val="0D1B12810E674B789E9273833A80B3B3"/>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74CEE"/>
    <w:rsid w:val="002A5B0E"/>
    <w:rsid w:val="002A69E7"/>
    <w:rsid w:val="002C1748"/>
    <w:rsid w:val="002C7AFA"/>
    <w:rsid w:val="00317E39"/>
    <w:rsid w:val="003D088C"/>
    <w:rsid w:val="004437AC"/>
    <w:rsid w:val="00501182"/>
    <w:rsid w:val="00537688"/>
    <w:rsid w:val="00543A52"/>
    <w:rsid w:val="00546DCA"/>
    <w:rsid w:val="00602B9C"/>
    <w:rsid w:val="006D7969"/>
    <w:rsid w:val="0087096B"/>
    <w:rsid w:val="00A80EAD"/>
    <w:rsid w:val="00AB1850"/>
    <w:rsid w:val="00AB757F"/>
    <w:rsid w:val="00C20906"/>
    <w:rsid w:val="00C26568"/>
    <w:rsid w:val="00C60DC9"/>
    <w:rsid w:val="00D35513"/>
    <w:rsid w:val="00DC5AD7"/>
    <w:rsid w:val="00E147F2"/>
    <w:rsid w:val="00E16D50"/>
    <w:rsid w:val="00E30568"/>
    <w:rsid w:val="00E5085E"/>
    <w:rsid w:val="00E83D79"/>
    <w:rsid w:val="00F61404"/>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C375E9B9-76A4-4A19-9163-EEF90A021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70</TotalTime>
  <Pages>5</Pages>
  <Words>1222</Words>
  <Characters>6723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6</cp:revision>
  <cp:lastPrinted>2007-10-26T10:03:00Z</cp:lastPrinted>
  <dcterms:created xsi:type="dcterms:W3CDTF">2023-06-01T09:07:00Z</dcterms:created>
  <dcterms:modified xsi:type="dcterms:W3CDTF">2023-06-29T08:52:00Z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