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E43948" w:rsidRDefault="00E4394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E43948" w:rsidRPr="00006957" w:rsidRDefault="00E4394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43948" w:rsidRDefault="00E4394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43948" w:rsidRPr="00006957" w:rsidRDefault="00E4394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948" w:rsidRDefault="00E4394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43948" w:rsidRDefault="00E4394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0F3790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Confederación Hidrográfica del Segura (CHS)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0F3790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52161">
              <w:rPr>
                <w:sz w:val="24"/>
                <w:szCs w:val="24"/>
              </w:rPr>
              <w:t>/06/2023</w:t>
            </w:r>
          </w:p>
        </w:tc>
      </w:tr>
    </w:tbl>
    <w:p w:rsidR="00BA266E" w:rsidRDefault="00BA266E"/>
    <w:p w:rsidR="00561402" w:rsidRPr="0012783F" w:rsidRDefault="000F3790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8452CA" w:rsidRDefault="008452CA" w:rsidP="008452CA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5F1157">
        <w:rPr>
          <w:bCs/>
          <w:color w:val="auto"/>
          <w:szCs w:val="22"/>
        </w:rPr>
        <w:t xml:space="preserve">La gestión de las solicitudes de acceso se efectúa por la </w:t>
      </w:r>
      <w:r>
        <w:rPr>
          <w:bCs/>
          <w:color w:val="auto"/>
          <w:szCs w:val="22"/>
        </w:rPr>
        <w:t>Secretaría General</w:t>
      </w:r>
      <w:r w:rsidRPr="005F1157">
        <w:rPr>
          <w:bCs/>
          <w:color w:val="auto"/>
          <w:szCs w:val="22"/>
        </w:rPr>
        <w:t xml:space="preserve">, que cuenta con </w:t>
      </w:r>
      <w:r>
        <w:rPr>
          <w:bCs/>
          <w:color w:val="auto"/>
          <w:szCs w:val="22"/>
        </w:rPr>
        <w:t>una</w:t>
      </w:r>
      <w:r w:rsidRPr="005F1157">
        <w:rPr>
          <w:bCs/>
          <w:color w:val="auto"/>
          <w:szCs w:val="22"/>
        </w:rPr>
        <w:t xml:space="preserve"> persona</w:t>
      </w:r>
      <w:r>
        <w:rPr>
          <w:bCs/>
          <w:color w:val="auto"/>
          <w:szCs w:val="22"/>
        </w:rPr>
        <w:t xml:space="preserve"> para abordar esta actividad, compatibilizándola con otras tareas.</w:t>
      </w:r>
      <w:r w:rsidRPr="005F1157">
        <w:rPr>
          <w:bCs/>
          <w:color w:val="auto"/>
          <w:szCs w:val="22"/>
        </w:rPr>
        <w:t xml:space="preserve"> </w:t>
      </w:r>
    </w:p>
    <w:p w:rsidR="00E85A64" w:rsidRPr="00BA266E" w:rsidRDefault="00E85A6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0F3790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452CA" w:rsidRDefault="008452CA" w:rsidP="008452CA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>
        <w:rPr>
          <w:rStyle w:val="Ttulo2Car"/>
          <w:color w:val="00642D"/>
          <w:lang w:bidi="es-ES"/>
        </w:rPr>
        <w:t xml:space="preserve"> </w:t>
      </w:r>
      <w:r w:rsidRPr="00B812AB">
        <w:rPr>
          <w:rStyle w:val="Ttulo2Car"/>
          <w:color w:val="00642D"/>
          <w:lang w:bidi="es-ES"/>
        </w:rPr>
        <w:t xml:space="preserve">Solicitudes gestionadas en </w:t>
      </w:r>
      <w:r>
        <w:rPr>
          <w:rStyle w:val="Ttulo2Car"/>
          <w:color w:val="00642D"/>
          <w:lang w:bidi="es-ES"/>
        </w:rPr>
        <w:t>2022</w:t>
      </w:r>
    </w:p>
    <w:p w:rsidR="008452CA" w:rsidRDefault="008452CA" w:rsidP="008452CA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452CA" w:rsidRDefault="008452CA" w:rsidP="008452CA">
      <w:pPr>
        <w:ind w:left="426"/>
        <w:jc w:val="both"/>
      </w:pPr>
      <w:r w:rsidRPr="00CB13F4">
        <w:t>En 202</w:t>
      </w:r>
      <w:r>
        <w:t>2</w:t>
      </w:r>
      <w:r w:rsidRPr="00CB13F4">
        <w:t xml:space="preserve"> </w:t>
      </w:r>
      <w:r>
        <w:t>la CHS</w:t>
      </w:r>
      <w:r w:rsidRPr="00CB13F4">
        <w:t xml:space="preserve"> recibió </w:t>
      </w:r>
      <w:r>
        <w:t>20</w:t>
      </w:r>
      <w:r w:rsidRPr="00CB13F4">
        <w:t xml:space="preserve"> solicitudes de información. </w:t>
      </w:r>
      <w:r>
        <w:t>A 31 de diciembre de 2022 quedó pendiente de tramitación 1 solicitud de información</w:t>
      </w:r>
      <w:r w:rsidRPr="00CB13F4">
        <w:t>.</w:t>
      </w:r>
      <w:r>
        <w:t xml:space="preserve"> </w:t>
      </w:r>
    </w:p>
    <w:p w:rsidR="008452CA" w:rsidRDefault="008452CA" w:rsidP="008452CA">
      <w:pPr>
        <w:ind w:left="426"/>
        <w:jc w:val="both"/>
      </w:pPr>
    </w:p>
    <w:p w:rsidR="008452CA" w:rsidRDefault="008452CA" w:rsidP="008452CA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2 Indicadores de tramitación en 2022</w:t>
      </w:r>
    </w:p>
    <w:p w:rsidR="008452CA" w:rsidRDefault="008452CA" w:rsidP="008452CA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En 2022 se tramitó por la CHS el </w:t>
      </w:r>
      <w:r w:rsidR="000F3790">
        <w:rPr>
          <w:rStyle w:val="Ttulo2Car"/>
          <w:b w:val="0"/>
          <w:color w:val="auto"/>
          <w:sz w:val="22"/>
          <w:szCs w:val="22"/>
          <w:lang w:bidi="es-ES"/>
        </w:rPr>
        <w:t>95</w:t>
      </w:r>
      <w:r>
        <w:rPr>
          <w:rStyle w:val="Ttulo2Car"/>
          <w:b w:val="0"/>
          <w:color w:val="auto"/>
          <w:sz w:val="22"/>
          <w:szCs w:val="22"/>
          <w:lang w:bidi="es-ES"/>
        </w:rPr>
        <w:t>% de las solicitudes de información</w:t>
      </w:r>
      <w:r w:rsidRPr="002A34B3">
        <w:rPr>
          <w:rStyle w:val="Ttulo2Car"/>
          <w:b w:val="0"/>
          <w:color w:val="auto"/>
          <w:sz w:val="22"/>
          <w:szCs w:val="22"/>
          <w:lang w:bidi="es-ES"/>
        </w:rPr>
        <w:t>. De ellas</w:t>
      </w:r>
      <w:r w:rsidR="000F3790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Pr="002A34B3">
        <w:rPr>
          <w:rStyle w:val="Ttulo2Car"/>
          <w:b w:val="0"/>
          <w:color w:val="auto"/>
          <w:sz w:val="22"/>
          <w:szCs w:val="22"/>
          <w:lang w:bidi="es-ES"/>
        </w:rPr>
        <w:t xml:space="preserve"> fueron admitidas </w:t>
      </w:r>
      <w:r w:rsidR="00876A9D">
        <w:rPr>
          <w:rStyle w:val="Ttulo2Car"/>
          <w:b w:val="0"/>
          <w:color w:val="auto"/>
          <w:sz w:val="22"/>
          <w:szCs w:val="22"/>
          <w:lang w:bidi="es-ES"/>
        </w:rPr>
        <w:t>el</w:t>
      </w:r>
      <w:r w:rsidRPr="002A34B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F3790">
        <w:rPr>
          <w:rStyle w:val="Ttulo2Car"/>
          <w:b w:val="0"/>
          <w:color w:val="auto"/>
          <w:sz w:val="22"/>
          <w:szCs w:val="22"/>
          <w:lang w:bidi="es-ES"/>
        </w:rPr>
        <w:t>42,1</w:t>
      </w:r>
      <w:r w:rsidRPr="002A34B3">
        <w:rPr>
          <w:rStyle w:val="Ttulo2Car"/>
          <w:b w:val="0"/>
          <w:color w:val="auto"/>
          <w:sz w:val="22"/>
          <w:szCs w:val="22"/>
          <w:lang w:bidi="es-ES"/>
        </w:rPr>
        <w:t xml:space="preserve">% e inadmitidas el </w:t>
      </w:r>
      <w:r w:rsidR="000F3790">
        <w:rPr>
          <w:rStyle w:val="Ttulo2Car"/>
          <w:b w:val="0"/>
          <w:color w:val="auto"/>
          <w:sz w:val="22"/>
          <w:szCs w:val="22"/>
          <w:lang w:bidi="es-ES"/>
        </w:rPr>
        <w:t xml:space="preserve">57,9%. </w:t>
      </w:r>
      <w:r w:rsidR="00876A9D">
        <w:rPr>
          <w:rStyle w:val="Ttulo2Car"/>
          <w:b w:val="0"/>
          <w:color w:val="auto"/>
          <w:sz w:val="22"/>
          <w:szCs w:val="22"/>
          <w:lang w:bidi="es-ES"/>
        </w:rPr>
        <w:t>En todos los casos, l</w:t>
      </w:r>
      <w:r w:rsidR="000F3790">
        <w:rPr>
          <w:rStyle w:val="Ttulo2Car"/>
          <w:b w:val="0"/>
          <w:color w:val="auto"/>
          <w:sz w:val="22"/>
          <w:szCs w:val="22"/>
          <w:lang w:bidi="es-ES"/>
        </w:rPr>
        <w:t>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2A34B3">
        <w:rPr>
          <w:rStyle w:val="Ttulo2Car"/>
          <w:b w:val="0"/>
          <w:color w:val="auto"/>
          <w:sz w:val="22"/>
          <w:szCs w:val="22"/>
          <w:lang w:bidi="es-ES"/>
        </w:rPr>
        <w:t>causa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inadmisión fue que la información solicitada tenía un régimen específico de acceso</w:t>
      </w:r>
      <w:r w:rsidRPr="002A34B3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8452CA" w:rsidRDefault="008452CA" w:rsidP="008452CA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452CA" w:rsidRDefault="008452CA" w:rsidP="008452CA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452CA" w:rsidRPr="00647481" w:rsidRDefault="008452CA" w:rsidP="008452CA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lastRenderedPageBreak/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</w:t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0F3790" w:rsidRPr="00706E04" w:rsidTr="000F3790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0F3790" w:rsidRPr="005B3C15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0F3790" w:rsidRPr="006A2E9A" w:rsidRDefault="000F3790" w:rsidP="000F3790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20,00</w:t>
            </w:r>
          </w:p>
        </w:tc>
      </w:tr>
      <w:tr w:rsidR="000F3790" w:rsidRPr="00706E04" w:rsidTr="000F3790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0F3790" w:rsidRPr="005B3C15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6A2E9A" w:rsidRDefault="000F3790" w:rsidP="000F3790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19,00</w:t>
            </w:r>
          </w:p>
        </w:tc>
      </w:tr>
      <w:tr w:rsidR="000F3790" w:rsidRPr="00706E04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5B3C15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6A2E9A" w:rsidRDefault="000F3790" w:rsidP="000F3790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Tramitación (tr</w:t>
            </w:r>
            <w:r>
              <w:rPr>
                <w:sz w:val="20"/>
                <w:szCs w:val="20"/>
              </w:rPr>
              <w:t>amitadas/(pendientes a 31/12/2021</w:t>
            </w:r>
            <w:r w:rsidRPr="006A2E9A">
              <w:rPr>
                <w:sz w:val="20"/>
                <w:szCs w:val="20"/>
              </w:rPr>
              <w:t xml:space="preserve"> + recibidas 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95,00</w:t>
            </w:r>
          </w:p>
        </w:tc>
      </w:tr>
      <w:tr w:rsidR="000F3790" w:rsidRPr="00706E04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5B3C15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6A2E9A" w:rsidRDefault="000F3790" w:rsidP="000F3790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pendencia (pendientes a 31/12/202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 xml:space="preserve"> / tramitadas)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5,26</w:t>
            </w:r>
          </w:p>
        </w:tc>
      </w:tr>
      <w:tr w:rsidR="000F3790" w:rsidRPr="00706E04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5B3C15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6A2E9A" w:rsidRDefault="000F3790" w:rsidP="000F3790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en la tramitación (tramitadas/entradas en 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95,00</w:t>
            </w:r>
          </w:p>
        </w:tc>
      </w:tr>
      <w:tr w:rsidR="000F3790" w:rsidRPr="00706E04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5B3C15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6A2E9A" w:rsidRDefault="000F3790" w:rsidP="000F3790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congestión ((pendientes a 31/12/20</w:t>
            </w:r>
            <w:r>
              <w:rPr>
                <w:sz w:val="20"/>
                <w:szCs w:val="20"/>
              </w:rPr>
              <w:t>20</w:t>
            </w:r>
            <w:r w:rsidRPr="006A2E9A">
              <w:rPr>
                <w:sz w:val="20"/>
                <w:szCs w:val="20"/>
              </w:rPr>
              <w:t xml:space="preserve"> + entradas 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>) / tramitadas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105,26</w:t>
            </w:r>
          </w:p>
        </w:tc>
      </w:tr>
      <w:tr w:rsidR="000F3790" w:rsidRPr="00706E04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5B3C15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6A2E9A" w:rsidRDefault="000F3790" w:rsidP="000F3790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Tiempo medio estimado para la tramitación de las solicitudes pendientes ((pendientes a 31/12/202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 xml:space="preserve"> / tramitadas)*365 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19,21</w:t>
            </w:r>
          </w:p>
        </w:tc>
      </w:tr>
      <w:tr w:rsidR="000F3790" w:rsidRPr="00706E04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5B3C15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6A2E9A" w:rsidRDefault="000F3790" w:rsidP="000F3790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42,11</w:t>
            </w:r>
          </w:p>
        </w:tc>
      </w:tr>
      <w:tr w:rsidR="000F3790" w:rsidRPr="00706E04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5B3C15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6A2E9A" w:rsidRDefault="000F3790" w:rsidP="000F3790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57,89</w:t>
            </w:r>
          </w:p>
        </w:tc>
      </w:tr>
      <w:tr w:rsidR="000F3790" w:rsidRPr="00706E04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5B3C15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6A2E9A" w:rsidRDefault="000F3790" w:rsidP="000F3790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,00</w:t>
            </w:r>
          </w:p>
        </w:tc>
      </w:tr>
    </w:tbl>
    <w:p w:rsidR="008452CA" w:rsidRDefault="008452CA" w:rsidP="008452CA"/>
    <w:p w:rsidR="008452CA" w:rsidRDefault="008452CA" w:rsidP="008452CA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3 </w:t>
      </w:r>
      <w:r w:rsidRPr="00055B15">
        <w:rPr>
          <w:rStyle w:val="Ttulo2Car"/>
          <w:color w:val="00642D"/>
          <w:lang w:bidi="es-ES"/>
        </w:rPr>
        <w:t xml:space="preserve">Resoluciones </w:t>
      </w:r>
      <w:r>
        <w:rPr>
          <w:rStyle w:val="Ttulo2Car"/>
          <w:color w:val="00642D"/>
          <w:lang w:bidi="es-ES"/>
        </w:rPr>
        <w:t>dictadas</w:t>
      </w:r>
      <w:r w:rsidRPr="00055B15">
        <w:rPr>
          <w:rStyle w:val="Ttulo2Car"/>
          <w:color w:val="00642D"/>
          <w:lang w:bidi="es-ES"/>
        </w:rPr>
        <w:t xml:space="preserve"> en 202</w:t>
      </w:r>
      <w:r>
        <w:rPr>
          <w:rStyle w:val="Ttulo2Car"/>
          <w:color w:val="00642D"/>
          <w:lang w:bidi="es-ES"/>
        </w:rPr>
        <w:t>2</w:t>
      </w:r>
    </w:p>
    <w:p w:rsidR="008452CA" w:rsidRDefault="008452CA" w:rsidP="008452CA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452CA" w:rsidRPr="00577A83" w:rsidRDefault="008452CA" w:rsidP="008452CA">
      <w:pPr>
        <w:ind w:left="426"/>
        <w:jc w:val="both"/>
        <w:rPr>
          <w:rStyle w:val="Ttulo2Car"/>
          <w:color w:val="00642D"/>
          <w:lang w:bidi="es-ES"/>
        </w:rPr>
      </w:pPr>
      <w:r w:rsidRPr="00106C51">
        <w:rPr>
          <w:rStyle w:val="Ttulo2Car"/>
          <w:b w:val="0"/>
          <w:color w:val="auto"/>
          <w:sz w:val="22"/>
          <w:szCs w:val="22"/>
          <w:lang w:bidi="es-ES"/>
        </w:rPr>
        <w:t>Respecto de la</w:t>
      </w:r>
      <w:r>
        <w:rPr>
          <w:rStyle w:val="Ttulo2Car"/>
          <w:b w:val="0"/>
          <w:color w:val="auto"/>
          <w:sz w:val="22"/>
          <w:szCs w:val="22"/>
          <w:lang w:bidi="es-ES"/>
        </w:rPr>
        <w:t>s resoluciones emitidas en 2022</w:t>
      </w:r>
      <w:r w:rsidRPr="00106C51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 w:rsidR="00876A9D">
        <w:rPr>
          <w:rStyle w:val="Ttulo2Car"/>
          <w:b w:val="0"/>
          <w:color w:val="auto"/>
          <w:sz w:val="22"/>
          <w:szCs w:val="22"/>
          <w:lang w:bidi="es-ES"/>
        </w:rPr>
        <w:t xml:space="preserve">las </w:t>
      </w:r>
      <w:r w:rsidR="000F3790">
        <w:rPr>
          <w:rStyle w:val="Ttulo2Car"/>
          <w:b w:val="0"/>
          <w:color w:val="auto"/>
          <w:sz w:val="22"/>
          <w:szCs w:val="22"/>
          <w:lang w:bidi="es-ES"/>
        </w:rPr>
        <w:t>7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76A9D">
        <w:rPr>
          <w:rStyle w:val="Ttulo2Car"/>
          <w:b w:val="0"/>
          <w:color w:val="auto"/>
          <w:sz w:val="22"/>
          <w:szCs w:val="22"/>
          <w:lang w:bidi="es-ES"/>
        </w:rPr>
        <w:t xml:space="preserve">resueltas expresamente </w:t>
      </w:r>
      <w:r w:rsidRPr="00106C51">
        <w:rPr>
          <w:rStyle w:val="Ttulo2Car"/>
          <w:b w:val="0"/>
          <w:color w:val="auto"/>
          <w:sz w:val="22"/>
          <w:szCs w:val="22"/>
          <w:lang w:bidi="es-ES"/>
        </w:rPr>
        <w:t xml:space="preserve">concedieron acceso a la información.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Ninguna solicitud fue denegada expresamente </w:t>
      </w:r>
      <w:r w:rsidR="000F3790">
        <w:rPr>
          <w:rStyle w:val="Ttulo2Car"/>
          <w:b w:val="0"/>
          <w:color w:val="auto"/>
          <w:sz w:val="22"/>
          <w:szCs w:val="22"/>
          <w:lang w:bidi="es-ES"/>
        </w:rPr>
        <w:t xml:space="preserve">pero si se produjo una denegación </w:t>
      </w:r>
      <w:r>
        <w:rPr>
          <w:rStyle w:val="Ttulo2Car"/>
          <w:b w:val="0"/>
          <w:color w:val="auto"/>
          <w:sz w:val="22"/>
          <w:szCs w:val="22"/>
          <w:lang w:bidi="es-ES"/>
        </w:rPr>
        <w:t>por silencio administrativo</w:t>
      </w:r>
      <w:r w:rsidRPr="00106C51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8452CA" w:rsidRDefault="000F3790" w:rsidP="008452CA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CHS no</w:t>
      </w:r>
      <w:r w:rsidR="008452CA">
        <w:rPr>
          <w:rStyle w:val="Ttulo2Car"/>
          <w:b w:val="0"/>
          <w:color w:val="auto"/>
          <w:sz w:val="22"/>
          <w:szCs w:val="22"/>
          <w:lang w:bidi="es-ES"/>
        </w:rPr>
        <w:t xml:space="preserve"> publica  las</w:t>
      </w:r>
      <w:r w:rsidR="008452CA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452C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8452CA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8452CA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8452CA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8452CA" w:rsidRPr="009079EA" w:rsidRDefault="008452CA" w:rsidP="008452CA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452CA" w:rsidRDefault="008452CA" w:rsidP="008452CA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4 Indicadores de resolución en 2022</w:t>
      </w:r>
    </w:p>
    <w:p w:rsidR="008452CA" w:rsidRDefault="008452CA" w:rsidP="008452CA">
      <w:pPr>
        <w:ind w:left="426"/>
        <w:jc w:val="both"/>
      </w:pPr>
    </w:p>
    <w:p w:rsidR="008452CA" w:rsidRPr="00106C51" w:rsidRDefault="000F3790" w:rsidP="008452CA">
      <w:pPr>
        <w:ind w:left="426"/>
        <w:jc w:val="both"/>
      </w:pPr>
      <w:r>
        <w:t>La CHS</w:t>
      </w:r>
      <w:r w:rsidR="008452CA" w:rsidRPr="00106C51">
        <w:t xml:space="preserve"> </w:t>
      </w:r>
      <w:r w:rsidR="008452CA">
        <w:t>dicta</w:t>
      </w:r>
      <w:r w:rsidR="008452CA" w:rsidRPr="00106C51">
        <w:t xml:space="preserve"> resoluciones expresas para </w:t>
      </w:r>
      <w:r>
        <w:t>el 87,5%</w:t>
      </w:r>
      <w:r w:rsidR="008452CA">
        <w:t xml:space="preserve"> de las solicitudes admitidas y todas ellas conceden el acceso a la información, </w:t>
      </w:r>
      <w:r w:rsidR="008452CA" w:rsidRPr="00106C51">
        <w:t xml:space="preserve"> </w:t>
      </w:r>
      <w:r w:rsidR="008452CA">
        <w:t xml:space="preserve">En el </w:t>
      </w:r>
      <w:r>
        <w:t>100%</w:t>
      </w:r>
      <w:r w:rsidR="008452CA">
        <w:t xml:space="preserve"> de los casos el acceso es total.</w:t>
      </w:r>
      <w:r w:rsidR="008452CA" w:rsidRPr="00106C51">
        <w:t xml:space="preserve"> </w:t>
      </w:r>
      <w:r>
        <w:t>El 12,5% de las  solicitudes se deniega por silencio administrativo.</w:t>
      </w:r>
    </w:p>
    <w:p w:rsidR="008452CA" w:rsidRPr="00106C51" w:rsidRDefault="008452CA" w:rsidP="008452CA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106C51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t>: Indicadores de Resolución 202</w:t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0F3790" w:rsidRPr="00106C51" w:rsidTr="000F3790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0F3790" w:rsidRPr="00106C51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106C51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0F3790" w:rsidRPr="00106C51" w:rsidRDefault="000F3790" w:rsidP="000F3790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87,50</w:t>
            </w:r>
          </w:p>
        </w:tc>
      </w:tr>
      <w:tr w:rsidR="000F3790" w:rsidRPr="00106C51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106C51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106C51" w:rsidRDefault="000F3790" w:rsidP="000F3790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87,50</w:t>
            </w:r>
          </w:p>
        </w:tc>
      </w:tr>
      <w:tr w:rsidR="000F3790" w:rsidRPr="00106C51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106C51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106C51" w:rsidRDefault="000F3790" w:rsidP="000F3790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,00</w:t>
            </w:r>
          </w:p>
        </w:tc>
      </w:tr>
      <w:tr w:rsidR="000F3790" w:rsidRPr="00106C51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106C51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106C51" w:rsidRDefault="000F3790" w:rsidP="000F3790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100,00</w:t>
            </w:r>
          </w:p>
        </w:tc>
      </w:tr>
      <w:tr w:rsidR="000F3790" w:rsidRPr="00106C51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106C51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106C51" w:rsidRDefault="000F3790" w:rsidP="000F3790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,00</w:t>
            </w:r>
          </w:p>
        </w:tc>
      </w:tr>
      <w:tr w:rsidR="000F3790" w:rsidRPr="00106C51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106C51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106C51" w:rsidRDefault="000F3790" w:rsidP="000F3790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12,50</w:t>
            </w:r>
          </w:p>
        </w:tc>
      </w:tr>
      <w:tr w:rsidR="000F3790" w:rsidRPr="00706E04" w:rsidTr="000F379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F3790" w:rsidRPr="00106C51" w:rsidRDefault="000F3790" w:rsidP="000F379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F3790" w:rsidRPr="00106C51" w:rsidRDefault="000F3790" w:rsidP="000F3790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</w:tcPr>
          <w:p w:rsidR="000F3790" w:rsidRPr="000F3790" w:rsidRDefault="000F3790" w:rsidP="000F3790">
            <w:pPr>
              <w:jc w:val="center"/>
              <w:rPr>
                <w:sz w:val="20"/>
              </w:rPr>
            </w:pPr>
            <w:r w:rsidRPr="000F3790">
              <w:rPr>
                <w:sz w:val="20"/>
              </w:rPr>
              <w:t>,00</w:t>
            </w:r>
          </w:p>
        </w:tc>
      </w:tr>
    </w:tbl>
    <w:p w:rsidR="008452CA" w:rsidRDefault="008452CA" w:rsidP="008452CA"/>
    <w:p w:rsidR="00296731" w:rsidRPr="00296731" w:rsidRDefault="00296731" w:rsidP="00296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731" w:rsidRDefault="00296731" w:rsidP="002967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F3790" w:rsidRDefault="000F3790" w:rsidP="002967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F3790" w:rsidRPr="00296731" w:rsidRDefault="000F3790" w:rsidP="002967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812AB" w:rsidRPr="00E34195" w:rsidRDefault="000F3790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A413C7" w:rsidRDefault="00741D66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A413C7">
        <w:rPr>
          <w:rStyle w:val="Ttulo2Car"/>
          <w:b w:val="0"/>
          <w:color w:val="auto"/>
          <w:sz w:val="22"/>
          <w:szCs w:val="22"/>
          <w:lang w:bidi="es-ES"/>
        </w:rPr>
        <w:t>CHS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Portal de Transparencia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</w:t>
      </w:r>
      <w:r w:rsidR="00A413C7">
        <w:rPr>
          <w:rStyle w:val="Ttulo2Car"/>
          <w:b w:val="0"/>
          <w:color w:val="auto"/>
          <w:sz w:val="22"/>
          <w:szCs w:val="22"/>
          <w:lang w:bidi="es-ES"/>
        </w:rPr>
        <w:t>Este apartado se ubica en su sede electrónica y se localiza en el acceso ciudadanos/Trámites, solicitudes y procedimientos</w:t>
      </w:r>
      <w:r w:rsidR="00876A9D">
        <w:rPr>
          <w:rStyle w:val="Ttulo2Car"/>
          <w:b w:val="0"/>
          <w:color w:val="auto"/>
          <w:sz w:val="22"/>
          <w:szCs w:val="22"/>
          <w:lang w:bidi="es-ES"/>
        </w:rPr>
        <w:t xml:space="preserve"> de la web institucional de la CHS</w:t>
      </w:r>
      <w:r w:rsidR="00A413C7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</w:p>
    <w:p w:rsidR="00A413C7" w:rsidRDefault="00A413C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este apartado se informa de que la presentación de las solicitudes se efectuará a través del Portal de Transparencia de la AGE aunque también se indica que podrán presentarse por cualquiera de los medios previstos en el artículo 38 de la Ley 30/1992.</w:t>
      </w:r>
    </w:p>
    <w:p w:rsidR="00876A9D" w:rsidRDefault="00A413C7" w:rsidP="00876A9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Se informa sobre el procedimiento</w:t>
      </w:r>
      <w:r w:rsidR="00876A9D">
        <w:rPr>
          <w:rStyle w:val="Ttulo2Car"/>
          <w:b w:val="0"/>
          <w:color w:val="auto"/>
          <w:sz w:val="22"/>
          <w:szCs w:val="22"/>
          <w:lang w:bidi="es-ES"/>
        </w:rPr>
        <w:t xml:space="preserve"> y también se indica que las solicitudes podrán ser motivadas de manera opcional.</w:t>
      </w:r>
    </w:p>
    <w:p w:rsidR="00876A9D" w:rsidRDefault="00876A9D" w:rsidP="00876A9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40246" w:rsidRPr="00E34195" w:rsidRDefault="000F379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8E7BFF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Inicio del procedimiento</w:t>
      </w:r>
      <w:r w:rsidRPr="008E7BFF">
        <w:rPr>
          <w:color w:val="auto"/>
          <w:lang w:bidi="es-ES"/>
        </w:rPr>
        <w:t xml:space="preserve">. </w:t>
      </w:r>
    </w:p>
    <w:p w:rsidR="001E1C29" w:rsidRPr="008E7BFF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8E7BFF">
        <w:rPr>
          <w:color w:val="auto"/>
          <w:lang w:bidi="es-ES"/>
        </w:rPr>
        <w:t xml:space="preserve">Con fecha </w:t>
      </w:r>
      <w:r w:rsidR="00DE6A97" w:rsidRPr="008E7BFF">
        <w:rPr>
          <w:color w:val="auto"/>
          <w:lang w:bidi="es-ES"/>
        </w:rPr>
        <w:t>0</w:t>
      </w:r>
      <w:r w:rsidR="00741D66">
        <w:rPr>
          <w:color w:val="auto"/>
          <w:lang w:bidi="es-ES"/>
        </w:rPr>
        <w:t>4</w:t>
      </w:r>
      <w:r w:rsidR="00FC2FB9" w:rsidRPr="008E7BFF">
        <w:rPr>
          <w:color w:val="auto"/>
          <w:lang w:bidi="es-ES"/>
        </w:rPr>
        <w:t>/0</w:t>
      </w:r>
      <w:r w:rsidR="00E57E17" w:rsidRPr="008E7BFF">
        <w:rPr>
          <w:color w:val="auto"/>
          <w:lang w:bidi="es-ES"/>
        </w:rPr>
        <w:t>5</w:t>
      </w:r>
      <w:r w:rsidR="000B2A81" w:rsidRPr="008E7BFF">
        <w:rPr>
          <w:color w:val="auto"/>
          <w:lang w:bidi="es-ES"/>
        </w:rPr>
        <w:t>/</w:t>
      </w:r>
      <w:r w:rsidRPr="008E7BFF">
        <w:rPr>
          <w:color w:val="auto"/>
          <w:lang w:bidi="es-ES"/>
        </w:rPr>
        <w:t>202</w:t>
      </w:r>
      <w:r w:rsidR="008839AB" w:rsidRPr="008E7BFF">
        <w:rPr>
          <w:color w:val="auto"/>
          <w:lang w:bidi="es-ES"/>
        </w:rPr>
        <w:t>3</w:t>
      </w:r>
      <w:r w:rsidRPr="008E7BFF">
        <w:rPr>
          <w:color w:val="auto"/>
          <w:lang w:bidi="es-ES"/>
        </w:rPr>
        <w:t xml:space="preserve"> se presentó</w:t>
      </w:r>
      <w:r w:rsidR="008E7BFF">
        <w:rPr>
          <w:color w:val="auto"/>
          <w:lang w:bidi="es-ES"/>
        </w:rPr>
        <w:t>,</w:t>
      </w:r>
      <w:r w:rsidRPr="008E7BFF">
        <w:rPr>
          <w:color w:val="auto"/>
          <w:lang w:bidi="es-ES"/>
        </w:rPr>
        <w:t xml:space="preserve"> </w:t>
      </w:r>
      <w:r w:rsidR="00904E47" w:rsidRPr="008E7BFF">
        <w:rPr>
          <w:color w:val="auto"/>
          <w:lang w:bidi="es-ES"/>
        </w:rPr>
        <w:t xml:space="preserve">a través </w:t>
      </w:r>
      <w:r w:rsidR="00E57E17" w:rsidRPr="008E7BFF">
        <w:rPr>
          <w:color w:val="auto"/>
          <w:lang w:bidi="es-ES"/>
        </w:rPr>
        <w:t xml:space="preserve">del </w:t>
      </w:r>
      <w:r w:rsidR="00741D66">
        <w:rPr>
          <w:color w:val="auto"/>
          <w:lang w:bidi="es-ES"/>
        </w:rPr>
        <w:t>Registro Electrónico General</w:t>
      </w:r>
      <w:r w:rsidR="008E7BFF">
        <w:rPr>
          <w:color w:val="auto"/>
          <w:lang w:bidi="es-ES"/>
        </w:rPr>
        <w:t>, u</w:t>
      </w:r>
      <w:r w:rsidR="00E57E17" w:rsidRPr="008E7BFF">
        <w:rPr>
          <w:color w:val="auto"/>
          <w:lang w:bidi="es-ES"/>
        </w:rPr>
        <w:t>na solicitud de acceso a información pública de la entidad</w:t>
      </w:r>
      <w:r w:rsidRPr="008E7BFF">
        <w:rPr>
          <w:color w:val="auto"/>
          <w:lang w:bidi="es-ES"/>
        </w:rPr>
        <w:t xml:space="preserve">. </w:t>
      </w:r>
      <w:r w:rsidR="00741D66">
        <w:rPr>
          <w:color w:val="auto"/>
          <w:lang w:bidi="es-ES"/>
        </w:rPr>
        <w:t xml:space="preserve">El mismo día </w:t>
      </w:r>
      <w:r w:rsidR="00EE3509" w:rsidRPr="008E7BFF">
        <w:rPr>
          <w:color w:val="auto"/>
          <w:lang w:bidi="es-ES"/>
        </w:rPr>
        <w:t xml:space="preserve"> se emite un acuse de recibo de la presentación de la solicitud.</w:t>
      </w:r>
    </w:p>
    <w:p w:rsidR="00F34803" w:rsidRPr="008E7BF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Tramitación</w:t>
      </w:r>
    </w:p>
    <w:p w:rsidR="00AB4742" w:rsidRPr="008E7BFF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color w:val="auto"/>
          <w:lang w:bidi="es-ES"/>
        </w:rPr>
        <w:t>No</w:t>
      </w:r>
      <w:r w:rsidR="00B108F0" w:rsidRPr="008E7BFF">
        <w:rPr>
          <w:color w:val="auto"/>
          <w:lang w:bidi="es-ES"/>
        </w:rPr>
        <w:t xml:space="preserve"> se</w:t>
      </w:r>
      <w:r w:rsidR="00F34803" w:rsidRPr="008E7BFF">
        <w:rPr>
          <w:color w:val="auto"/>
          <w:lang w:bidi="es-ES"/>
        </w:rPr>
        <w:t xml:space="preserve"> </w:t>
      </w:r>
      <w:r w:rsidR="00904E47" w:rsidRPr="008E7BFF">
        <w:rPr>
          <w:color w:val="auto"/>
          <w:lang w:bidi="es-ES"/>
        </w:rPr>
        <w:t xml:space="preserve">comunica el </w:t>
      </w:r>
      <w:r w:rsidR="00F34803" w:rsidRPr="008E7BFF">
        <w:rPr>
          <w:color w:val="auto"/>
          <w:lang w:bidi="es-ES"/>
        </w:rPr>
        <w:t xml:space="preserve">inicio de la tramitación de la solicitud. </w:t>
      </w:r>
    </w:p>
    <w:p w:rsidR="00AB4742" w:rsidRPr="008E7BFF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8E7BF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Resolución</w:t>
      </w:r>
    </w:p>
    <w:p w:rsidR="00904E47" w:rsidRPr="008E7BFF" w:rsidRDefault="008E7BFF" w:rsidP="004737AE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E80D4F">
        <w:rPr>
          <w:color w:val="auto"/>
          <w:lang w:bidi="es-ES"/>
        </w:rPr>
        <w:t xml:space="preserve">Con fecha </w:t>
      </w:r>
      <w:r w:rsidR="00876A9D">
        <w:rPr>
          <w:color w:val="auto"/>
          <w:lang w:bidi="es-ES"/>
        </w:rPr>
        <w:t>3</w:t>
      </w:r>
      <w:r w:rsidRPr="00E80D4F">
        <w:rPr>
          <w:color w:val="auto"/>
          <w:lang w:bidi="es-ES"/>
        </w:rPr>
        <w:t xml:space="preserve">0/05/2023, mediante </w:t>
      </w:r>
      <w:r w:rsidR="00E80D4F">
        <w:rPr>
          <w:color w:val="auto"/>
          <w:lang w:bidi="es-ES"/>
        </w:rPr>
        <w:t xml:space="preserve">escrito remitido por </w:t>
      </w:r>
      <w:r w:rsidRPr="00E80D4F">
        <w:rPr>
          <w:color w:val="auto"/>
          <w:lang w:bidi="es-ES"/>
        </w:rPr>
        <w:t>correo</w:t>
      </w:r>
      <w:r w:rsidR="00876A9D">
        <w:rPr>
          <w:color w:val="auto"/>
          <w:lang w:bidi="es-ES"/>
        </w:rPr>
        <w:t xml:space="preserve"> electrónico</w:t>
      </w:r>
      <w:r w:rsidR="00B557C7" w:rsidRPr="00E80D4F">
        <w:rPr>
          <w:color w:val="auto"/>
          <w:lang w:bidi="es-ES"/>
        </w:rPr>
        <w:t>, se informa a la persona solicitante</w:t>
      </w:r>
      <w:r w:rsidR="00876A9D">
        <w:rPr>
          <w:color w:val="auto"/>
          <w:lang w:bidi="es-ES"/>
        </w:rPr>
        <w:t xml:space="preserve"> que no ha habido actividad en el ámbito material al que se refería la solicitud de información en el periodo de tiempo indicado</w:t>
      </w:r>
      <w:r w:rsidR="00904E47" w:rsidRPr="00E80D4F">
        <w:rPr>
          <w:color w:val="auto"/>
          <w:lang w:bidi="es-ES"/>
        </w:rPr>
        <w:t>.</w:t>
      </w:r>
      <w:r w:rsidR="00531D64" w:rsidRPr="008E7BFF">
        <w:rPr>
          <w:color w:val="auto"/>
          <w:lang w:bidi="es-ES"/>
        </w:rPr>
        <w:t xml:space="preserve"> </w:t>
      </w:r>
    </w:p>
    <w:p w:rsidR="00876A9D" w:rsidRDefault="00876A9D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p w:rsidR="00876A9D" w:rsidRPr="00296731" w:rsidRDefault="00876A9D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5720B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5720B5">
            <w:rPr>
              <w:b/>
              <w:color w:val="00642D"/>
              <w:sz w:val="30"/>
              <w:szCs w:val="30"/>
            </w:rPr>
            <w:t>V. Reclamaciones ante el Consejo de Transparencia</w:t>
          </w:r>
          <w:r w:rsidR="00EE5BDF" w:rsidRPr="005720B5">
            <w:rPr>
              <w:b/>
              <w:color w:val="00642D"/>
              <w:sz w:val="30"/>
              <w:szCs w:val="30"/>
            </w:rPr>
            <w:t xml:space="preserve"> y Buen Gobierno</w:t>
          </w:r>
          <w:r w:rsidRPr="005720B5">
            <w:rPr>
              <w:b/>
              <w:color w:val="00642D"/>
              <w:sz w:val="30"/>
              <w:szCs w:val="30"/>
            </w:rPr>
            <w:t xml:space="preserve"> </w:t>
          </w:r>
          <w:r w:rsidR="00AC715D" w:rsidRPr="005720B5">
            <w:rPr>
              <w:b/>
              <w:color w:val="00642D"/>
              <w:sz w:val="30"/>
              <w:szCs w:val="30"/>
            </w:rPr>
            <w:t>en el periodo 2015-202</w:t>
          </w:r>
          <w:r w:rsidR="005D006A" w:rsidRPr="005720B5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Pr="00296731" w:rsidRDefault="00256215" w:rsidP="00256215">
      <w:pPr>
        <w:pStyle w:val="Cuerpodelboletn"/>
        <w:rPr>
          <w:highlight w:val="yellow"/>
        </w:rPr>
      </w:pPr>
    </w:p>
    <w:p w:rsidR="00876A9D" w:rsidRDefault="00876A9D" w:rsidP="00876A9D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 un total de doce reclamaciones contra resoluciones de la CHS en materia de acceso a la información pública. De ellas, tres fueron estimadas</w:t>
      </w:r>
      <w:r w:rsidRPr="004A133A">
        <w:t xml:space="preserve"> –</w:t>
      </w:r>
      <w:r>
        <w:t xml:space="preserve"> una de ellas de manera parcial </w:t>
      </w:r>
      <w:r w:rsidRPr="004A133A">
        <w:t>-</w:t>
      </w:r>
      <w:r>
        <w:t xml:space="preserve">, dos fueron desestimadas y siete inadmitidas. </w:t>
      </w:r>
    </w:p>
    <w:p w:rsidR="00876A9D" w:rsidRDefault="00E43948" w:rsidP="00876A9D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lastRenderedPageBreak/>
        <w:t>La CHS no presentó</w:t>
      </w:r>
      <w:r w:rsidR="00876A9D">
        <w:rPr>
          <w:color w:val="auto"/>
        </w:rPr>
        <w:t xml:space="preserve"> recurso contencioso-administrativo contra las resoluciones favorables a los reclamantes</w:t>
      </w:r>
      <w:r>
        <w:rPr>
          <w:color w:val="auto"/>
        </w:rPr>
        <w:t>.</w:t>
      </w:r>
      <w:r w:rsidR="00876A9D">
        <w:rPr>
          <w:color w:val="auto"/>
        </w:rPr>
        <w:t xml:space="preserve"> </w:t>
      </w:r>
    </w:p>
    <w:p w:rsidR="00876A9D" w:rsidRDefault="00876A9D" w:rsidP="00876A9D">
      <w:pPr>
        <w:pStyle w:val="Cuerpodelboletn"/>
        <w:spacing w:before="120" w:after="120" w:line="276" w:lineRule="auto"/>
        <w:ind w:left="425"/>
        <w:rPr>
          <w:color w:val="auto"/>
        </w:rPr>
      </w:pPr>
    </w:p>
    <w:tbl>
      <w:tblPr>
        <w:tblStyle w:val="Tablaconcuadrcula3"/>
        <w:tblW w:w="0" w:type="auto"/>
        <w:tblInd w:w="959" w:type="dxa"/>
        <w:tblLook w:val="04A0" w:firstRow="1" w:lastRow="0" w:firstColumn="1" w:lastColumn="0" w:noHBand="0" w:noVBand="1"/>
      </w:tblPr>
      <w:tblGrid>
        <w:gridCol w:w="1132"/>
        <w:gridCol w:w="4013"/>
        <w:gridCol w:w="1756"/>
        <w:gridCol w:w="1427"/>
      </w:tblGrid>
      <w:tr w:rsidR="00876A9D" w:rsidRPr="00234500" w:rsidTr="00876A9D">
        <w:tc>
          <w:tcPr>
            <w:tcW w:w="1132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007635"/>
            <w:textDirection w:val="btLr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427" w:type="dxa"/>
            <w:vAlign w:val="center"/>
          </w:tcPr>
          <w:p w:rsidR="00876A9D" w:rsidRPr="00234500" w:rsidRDefault="00E43948" w:rsidP="00876A9D">
            <w:pPr>
              <w:jc w:val="center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12</w:t>
            </w:r>
          </w:p>
        </w:tc>
      </w:tr>
      <w:tr w:rsidR="00876A9D" w:rsidRPr="00234500" w:rsidTr="00876A9D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Nº</w:t>
            </w:r>
          </w:p>
        </w:tc>
        <w:tc>
          <w:tcPr>
            <w:tcW w:w="1427" w:type="dxa"/>
            <w:vAlign w:val="center"/>
          </w:tcPr>
          <w:p w:rsidR="00876A9D" w:rsidRPr="00234500" w:rsidRDefault="00E43948" w:rsidP="00876A9D">
            <w:pPr>
              <w:jc w:val="center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2</w:t>
            </w:r>
          </w:p>
        </w:tc>
      </w:tr>
      <w:tr w:rsidR="00876A9D" w:rsidRPr="00234500" w:rsidTr="00876A9D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Porcentaje</w:t>
            </w:r>
          </w:p>
        </w:tc>
        <w:tc>
          <w:tcPr>
            <w:tcW w:w="1427" w:type="dxa"/>
            <w:vAlign w:val="center"/>
          </w:tcPr>
          <w:p w:rsidR="00876A9D" w:rsidRPr="00234500" w:rsidRDefault="00E43948" w:rsidP="00876A9D">
            <w:pPr>
              <w:jc w:val="center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40,0</w:t>
            </w:r>
          </w:p>
        </w:tc>
      </w:tr>
      <w:tr w:rsidR="00876A9D" w:rsidRPr="00234500" w:rsidTr="00876A9D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756" w:type="dxa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Nº</w:t>
            </w:r>
          </w:p>
        </w:tc>
        <w:tc>
          <w:tcPr>
            <w:tcW w:w="1427" w:type="dxa"/>
            <w:vAlign w:val="center"/>
          </w:tcPr>
          <w:p w:rsidR="00876A9D" w:rsidRPr="00234500" w:rsidRDefault="00876A9D" w:rsidP="00876A9D">
            <w:pPr>
              <w:jc w:val="center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3</w:t>
            </w:r>
          </w:p>
        </w:tc>
      </w:tr>
      <w:tr w:rsidR="00876A9D" w:rsidRPr="00234500" w:rsidTr="00876A9D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Porcentaje</w:t>
            </w:r>
          </w:p>
        </w:tc>
        <w:tc>
          <w:tcPr>
            <w:tcW w:w="1427" w:type="dxa"/>
            <w:vAlign w:val="center"/>
          </w:tcPr>
          <w:p w:rsidR="00876A9D" w:rsidRPr="00234500" w:rsidRDefault="00E43948" w:rsidP="00876A9D">
            <w:pPr>
              <w:jc w:val="center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60,</w:t>
            </w:r>
            <w:r w:rsidR="00876A9D" w:rsidRPr="0023450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876A9D" w:rsidRPr="00234500" w:rsidTr="00876A9D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427" w:type="dxa"/>
            <w:vAlign w:val="center"/>
          </w:tcPr>
          <w:p w:rsidR="00876A9D" w:rsidRPr="00234500" w:rsidRDefault="00E43948" w:rsidP="00876A9D">
            <w:pPr>
              <w:jc w:val="center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876A9D" w:rsidRPr="00234500" w:rsidTr="00876A9D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Tasa de litigiosidad</w:t>
            </w:r>
          </w:p>
        </w:tc>
        <w:tc>
          <w:tcPr>
            <w:tcW w:w="1427" w:type="dxa"/>
            <w:vAlign w:val="center"/>
          </w:tcPr>
          <w:p w:rsidR="00876A9D" w:rsidRPr="00234500" w:rsidRDefault="00876A9D" w:rsidP="00876A9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6A9D" w:rsidRPr="00234500" w:rsidTr="00876A9D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Sentencias firmes favorables al CTBG</w:t>
            </w:r>
          </w:p>
        </w:tc>
        <w:tc>
          <w:tcPr>
            <w:tcW w:w="1756" w:type="dxa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876A9D" w:rsidRPr="00234500" w:rsidRDefault="00876A9D" w:rsidP="00876A9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6A9D" w:rsidRPr="00234500" w:rsidTr="00876A9D">
        <w:trPr>
          <w:trHeight w:val="113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  <w:vAlign w:val="center"/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Porcentaje</w:t>
            </w:r>
          </w:p>
        </w:tc>
        <w:tc>
          <w:tcPr>
            <w:tcW w:w="1427" w:type="dxa"/>
            <w:vAlign w:val="center"/>
          </w:tcPr>
          <w:p w:rsidR="00876A9D" w:rsidRPr="00234500" w:rsidRDefault="00876A9D" w:rsidP="00876A9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6A9D" w:rsidRPr="00234500" w:rsidTr="00876A9D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Sentencias firmes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876A9D" w:rsidRPr="00234500" w:rsidRDefault="00876A9D" w:rsidP="00876A9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6A9D" w:rsidRPr="00234500" w:rsidTr="00876A9D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876A9D" w:rsidRPr="00234500" w:rsidRDefault="00876A9D" w:rsidP="00876A9D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876A9D" w:rsidRPr="00234500" w:rsidRDefault="00876A9D" w:rsidP="00876A9D">
            <w:pPr>
              <w:jc w:val="both"/>
              <w:rPr>
                <w:rFonts w:cs="Calibri"/>
                <w:sz w:val="20"/>
                <w:szCs w:val="20"/>
              </w:rPr>
            </w:pPr>
            <w:r w:rsidRPr="00234500">
              <w:rPr>
                <w:rFonts w:cs="Calibri"/>
                <w:sz w:val="20"/>
                <w:szCs w:val="20"/>
              </w:rPr>
              <w:t>Porcentaje</w:t>
            </w:r>
          </w:p>
        </w:tc>
        <w:tc>
          <w:tcPr>
            <w:tcW w:w="1427" w:type="dxa"/>
            <w:vAlign w:val="center"/>
          </w:tcPr>
          <w:p w:rsidR="00876A9D" w:rsidRPr="00234500" w:rsidRDefault="00876A9D" w:rsidP="00876A9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B557C7" w:rsidRPr="00296731" w:rsidRDefault="00B557C7" w:rsidP="00DF6C30">
      <w:pPr>
        <w:pStyle w:val="Cuerpodelboletn"/>
        <w:spacing w:before="120" w:after="120" w:line="276" w:lineRule="auto"/>
        <w:ind w:left="425"/>
        <w:rPr>
          <w:highlight w:val="yellow"/>
        </w:rPr>
      </w:pPr>
    </w:p>
    <w:p w:rsidR="001F251B" w:rsidRPr="00AA1248" w:rsidRDefault="000F3790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AA1248">
            <w:rPr>
              <w:b/>
              <w:color w:val="00642D"/>
              <w:sz w:val="30"/>
              <w:szCs w:val="30"/>
            </w:rPr>
            <w:t>V</w:t>
          </w:r>
          <w:r w:rsidR="00876A9D">
            <w:rPr>
              <w:b/>
              <w:color w:val="00642D"/>
              <w:sz w:val="30"/>
              <w:szCs w:val="30"/>
            </w:rPr>
            <w:t>I</w:t>
          </w:r>
          <w:r w:rsidR="001F251B" w:rsidRPr="00AA1248">
            <w:rPr>
              <w:b/>
              <w:color w:val="00642D"/>
              <w:sz w:val="30"/>
              <w:szCs w:val="30"/>
            </w:rPr>
            <w:t xml:space="preserve">. Buenas prácticas </w:t>
          </w:r>
        </w:sdtContent>
      </w:sdt>
    </w:p>
    <w:p w:rsidR="00A52CEF" w:rsidRPr="00AA1248" w:rsidRDefault="00E80D4F" w:rsidP="00A52CEF">
      <w:pPr>
        <w:spacing w:before="120" w:after="120"/>
        <w:ind w:left="426"/>
        <w:jc w:val="both"/>
      </w:pPr>
      <w:r>
        <w:t xml:space="preserve">La </w:t>
      </w:r>
      <w:r w:rsidR="00E43948">
        <w:t>CHS</w:t>
      </w:r>
      <w:r w:rsidR="00A52CEF" w:rsidRPr="00AA1248">
        <w:t xml:space="preserve"> presenta en la gestión de las solicitudes de acceso a información pública buenas prácticas que podrían ser aplicadas por otras instituciones y organizaciones públicas. Entre ellas cabe destacar:</w:t>
      </w:r>
    </w:p>
    <w:p w:rsidR="00A52CEF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 w:rsidRPr="00AA1248">
        <w:t>La disponibilidad de un espacio específico para el ejercicio del derecho de acceso.</w:t>
      </w:r>
    </w:p>
    <w:p w:rsidR="008E7BFF" w:rsidRDefault="008E7BF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Informar sobre los canales de presentación de solicitudes</w:t>
      </w:r>
    </w:p>
    <w:p w:rsidR="008E7BFF" w:rsidRPr="00AA1248" w:rsidRDefault="00E80D4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 xml:space="preserve">Proporcionar </w:t>
      </w:r>
      <w:r w:rsidR="00E43948">
        <w:t>información sobre el procedimiento</w:t>
      </w:r>
    </w:p>
    <w:p w:rsidR="00256215" w:rsidRDefault="000F3790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876A9D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896694" w:rsidRDefault="00896694" w:rsidP="00896694">
      <w:pPr>
        <w:pStyle w:val="Prrafodelista"/>
        <w:ind w:left="709"/>
        <w:rPr>
          <w:rStyle w:val="Ttulo2Car"/>
          <w:color w:val="00642D"/>
          <w:sz w:val="22"/>
          <w:szCs w:val="22"/>
          <w:lang w:bidi="es-ES"/>
        </w:rPr>
      </w:pPr>
    </w:p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Default="00E80D4F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La </w:t>
      </w:r>
      <w:r w:rsidR="00E43948">
        <w:rPr>
          <w:bCs/>
        </w:rPr>
        <w:t>CHS</w:t>
      </w:r>
      <w:r>
        <w:rPr>
          <w:bCs/>
        </w:rPr>
        <w:t xml:space="preserve"> </w:t>
      </w:r>
      <w:r w:rsidR="00E43948">
        <w:rPr>
          <w:bCs/>
        </w:rPr>
        <w:t>tramitó el 95% de</w:t>
      </w:r>
      <w:r>
        <w:rPr>
          <w:bCs/>
        </w:rPr>
        <w:t xml:space="preserve"> las solicitudes de acceso a información pública</w:t>
      </w:r>
      <w:r w:rsidR="00E43948">
        <w:rPr>
          <w:bCs/>
        </w:rPr>
        <w:t xml:space="preserve"> recibidas </w:t>
      </w:r>
      <w:r>
        <w:rPr>
          <w:bCs/>
        </w:rPr>
        <w:t>en 2022.</w:t>
      </w:r>
      <w:r w:rsidR="00E43948">
        <w:rPr>
          <w:bCs/>
        </w:rPr>
        <w:t xml:space="preserve"> Admitió el 42% de estas solicitudes e inadmitió el 57,9%, en todos los casos por tratarse de información sujeta </w:t>
      </w:r>
      <w:proofErr w:type="spellStart"/>
      <w:r w:rsidR="00E43948">
        <w:rPr>
          <w:bCs/>
        </w:rPr>
        <w:t>aun</w:t>
      </w:r>
      <w:proofErr w:type="spellEnd"/>
      <w:r w:rsidR="00E43948">
        <w:rPr>
          <w:bCs/>
        </w:rPr>
        <w:t xml:space="preserve"> régimen específico de acceso. Dicta resolución expresa para el 87,5% de las solicitudes tramitadas, concediendo acceso a la información en la misma proporción. Un 12,5% de las solicitudes se desestimó por silencio administrativo.</w:t>
      </w:r>
    </w:p>
    <w:p w:rsidR="00BB63C9" w:rsidRPr="00296731" w:rsidRDefault="00BB63C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E80D4F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E43948">
        <w:rPr>
          <w:bCs/>
        </w:rPr>
        <w:t>CHS</w:t>
      </w:r>
      <w:r w:rsidR="005D006A" w:rsidRPr="00F33EF2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9D7822">
        <w:rPr>
          <w:bCs/>
        </w:rPr>
        <w:t>Portal de Transparencia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F50BEE" w:rsidRDefault="00F50BEE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F50BEE" w:rsidRDefault="00F50BEE" w:rsidP="00F50BEE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problema que lleva a este CTBG a plantear esta recomendación, es que el Portal, publica las resoluciones denegatorias por aplicación de los límites del artículo 14 para el conjunto de Ministerios, y no permite la búsqueda por organismo o entidad dependiente o vinculada, lo que implica que la búsqueda de registros en el </w:t>
      </w:r>
      <w:proofErr w:type="spellStart"/>
      <w:r>
        <w:rPr>
          <w:bCs/>
        </w:rPr>
        <w:t>excel</w:t>
      </w:r>
      <w:proofErr w:type="spellEnd"/>
      <w:r>
        <w:rPr>
          <w:bCs/>
        </w:rPr>
        <w:t xml:space="preserve"> que se proporciona </w:t>
      </w:r>
      <w:r>
        <w:rPr>
          <w:bCs/>
        </w:rPr>
        <w:lastRenderedPageBreak/>
        <w:t xml:space="preserve">deba efectuarse por el Ministerio de adscripción de la entidad, información de la que no siempre dispone la ciudadanía. Una cuestión adicional es que en el caso de la </w:t>
      </w:r>
      <w:r w:rsidR="00E43948">
        <w:rPr>
          <w:bCs/>
        </w:rPr>
        <w:t>CHS</w:t>
      </w:r>
      <w:r>
        <w:rPr>
          <w:bCs/>
        </w:rPr>
        <w:t xml:space="preserve">, su Ministerio de adscripción ha cambiado de denominación en los últimos años, lo que dificulta aún más la localización de la información.   </w:t>
      </w:r>
    </w:p>
    <w:p w:rsidR="00F50BEE" w:rsidRDefault="00F50BEE" w:rsidP="00F50BEE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DE6A97" w:rsidRDefault="00DE6A97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A52CEF">
      <w:pPr>
        <w:pStyle w:val="Prrafodelista"/>
        <w:ind w:left="644"/>
        <w:jc w:val="both"/>
      </w:pPr>
      <w:r>
        <w:t xml:space="preserve">Como se ha indicado, </w:t>
      </w:r>
      <w:r w:rsidR="00E80D4F">
        <w:t xml:space="preserve">la </w:t>
      </w:r>
      <w:r w:rsidR="00E43948">
        <w:t>CHS</w:t>
      </w:r>
      <w:r w:rsidR="005D006A">
        <w:t xml:space="preserve"> dispone de un espacio en su web institucional que facilit</w:t>
      </w:r>
      <w:r w:rsidR="00DE6A97">
        <w:t>a</w:t>
      </w:r>
      <w:r w:rsidR="005D006A">
        <w:t xml:space="preserve"> el ejercicio del derecho de acceso a la información. </w:t>
      </w:r>
      <w:r w:rsidR="00DE6A97">
        <w:t>S</w:t>
      </w:r>
      <w:r w:rsidR="005D006A">
        <w:t xml:space="preserve">e informa sobre la posibilidad de que los ciudadanos efectúen solicitudes de acceso a información pública dirigidas a la entidad y </w:t>
      </w:r>
      <w:r w:rsidR="00DE6A97">
        <w:t>también</w:t>
      </w:r>
      <w:r w:rsidR="005D006A">
        <w:t xml:space="preserve"> sobre los medios</w:t>
      </w:r>
      <w:r w:rsidR="007267FB">
        <w:t xml:space="preserve"> de presentación de solicitudes</w:t>
      </w:r>
      <w:r w:rsidR="00E80D4F">
        <w:t xml:space="preserve"> y</w:t>
      </w:r>
      <w:r w:rsidR="00DE6A97">
        <w:t xml:space="preserve"> </w:t>
      </w:r>
      <w:r w:rsidR="007267FB">
        <w:t xml:space="preserve"> sobre</w:t>
      </w:r>
      <w:r w:rsidR="00DE6A97">
        <w:t xml:space="preserve"> el procedimiento</w:t>
      </w:r>
      <w:r w:rsidR="007267FB">
        <w:t xml:space="preserve"> de tramitación de las solicitudes</w:t>
      </w:r>
      <w:r w:rsidR="00DE6A97">
        <w:t xml:space="preserve">. </w:t>
      </w:r>
    </w:p>
    <w:p w:rsidR="00A52CEF" w:rsidRDefault="00A52CEF" w:rsidP="00A52CEF">
      <w:pPr>
        <w:pStyle w:val="Prrafodelista"/>
        <w:ind w:left="644"/>
        <w:jc w:val="both"/>
      </w:pPr>
    </w:p>
    <w:p w:rsidR="009D7822" w:rsidRPr="009D7822" w:rsidRDefault="00A52CEF" w:rsidP="009D7822">
      <w:pPr>
        <w:pStyle w:val="Prrafodelista"/>
        <w:ind w:left="644"/>
        <w:jc w:val="both"/>
      </w:pPr>
      <w:r>
        <w:t>Como canales de presentación, se alude expresamente</w:t>
      </w:r>
      <w:r w:rsidR="00E80D4F">
        <w:t xml:space="preserve"> al Portal de Transparencia de la AGE</w:t>
      </w:r>
      <w:r w:rsidR="00E43948">
        <w:t xml:space="preserve">, pero se informa de </w:t>
      </w:r>
      <w:r w:rsidR="009D7822" w:rsidRPr="009D7822">
        <w:t>los medios de contacto a través de los cuales éstos pueden relacionarse con las administraciones públicas</w:t>
      </w:r>
    </w:p>
    <w:p w:rsidR="00E43948" w:rsidRDefault="00E43948" w:rsidP="009D7822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>
        <w:t>La referencia legal que se publica en la sede electrónica es a la Ley 30/1992, norma que ha sido derogada por la Ley 39/2015. Este Consejo recomienda que se revise esta referencia.</w:t>
      </w:r>
    </w:p>
    <w:p w:rsidR="009D7822" w:rsidRDefault="009D7822" w:rsidP="009D7822">
      <w:pPr>
        <w:ind w:left="644"/>
        <w:contextualSpacing/>
        <w:jc w:val="both"/>
      </w:pPr>
    </w:p>
    <w:p w:rsidR="00896694" w:rsidRDefault="00896694" w:rsidP="00896694">
      <w:pPr>
        <w:pStyle w:val="Prrafodelista"/>
        <w:ind w:left="644"/>
        <w:jc w:val="both"/>
      </w:pPr>
      <w:r>
        <w:t>Por otra parte, se hace referencia, aunque de manera opcional, a la inclusión de la motivación de la solicitud.</w:t>
      </w:r>
    </w:p>
    <w:p w:rsidR="00896694" w:rsidRDefault="00896694" w:rsidP="00896694">
      <w:pPr>
        <w:pStyle w:val="Prrafodelista"/>
        <w:ind w:left="644"/>
        <w:jc w:val="both"/>
      </w:pPr>
    </w:p>
    <w:p w:rsidR="00896694" w:rsidRDefault="00896694" w:rsidP="00896694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709"/>
        <w:jc w:val="both"/>
      </w:pPr>
      <w:r>
        <w:t>Este Consejo recuerda  que el artículo 17.3 de la LTAIBG,  establece que los solicitantes de información pública no están obligados a motivar la solicitud. Por esta razón recomienda que se elimine la referencia a la posibilidad de motivar la solicitud, aun cuando se indique expresamente que la motivación puede incluirse de manera opcional.</w:t>
      </w:r>
    </w:p>
    <w:p w:rsidR="00896694" w:rsidRDefault="00896694" w:rsidP="00896694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Pr="003C0AAB" w:rsidRDefault="00F34803" w:rsidP="002E0A33">
      <w:pPr>
        <w:pStyle w:val="Prrafodelista"/>
        <w:ind w:left="426"/>
        <w:jc w:val="both"/>
      </w:pPr>
      <w:r w:rsidRPr="003C0AAB">
        <w:t xml:space="preserve">La gestión de la solicitud de acceso presentada </w:t>
      </w:r>
      <w:r w:rsidR="003C0AAB">
        <w:t xml:space="preserve">no </w:t>
      </w:r>
      <w:r w:rsidRPr="003C0AAB">
        <w:t>se ha ajustado al procedimiento establecido po</w:t>
      </w:r>
      <w:r w:rsidR="00A915A2" w:rsidRPr="003C0AAB">
        <w:t xml:space="preserve">r la LTAIBG. </w:t>
      </w:r>
      <w:r w:rsidR="003C0AAB">
        <w:t xml:space="preserve">Mediante </w:t>
      </w:r>
      <w:r w:rsidR="00381F26">
        <w:t xml:space="preserve">escrito remitido por </w:t>
      </w:r>
      <w:r w:rsidR="003C0AAB">
        <w:t>correo electrónico</w:t>
      </w:r>
      <w:r w:rsidR="00381F26">
        <w:t>,</w:t>
      </w:r>
      <w:r w:rsidR="003C0AAB">
        <w:t xml:space="preserve"> se comunica </w:t>
      </w:r>
      <w:r w:rsidR="00896694">
        <w:t>que no ha habido actividad en el ámbito material al que se refería la solicitud de información.</w:t>
      </w:r>
    </w:p>
    <w:p w:rsidR="00695C38" w:rsidRDefault="00695C38" w:rsidP="00695C38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 xml:space="preserve">Aunque el volumen de la información solicitada sea pequeño, </w:t>
      </w:r>
      <w:r w:rsidR="00381F26">
        <w:t xml:space="preserve">la </w:t>
      </w:r>
      <w:r w:rsidR="00896694">
        <w:t>CHS</w:t>
      </w:r>
      <w:r>
        <w:t xml:space="preserve"> debe ajustarse al procedimiento establecido por las Leyes 19/2013 y 39/2015: debe dictar una resolución expresa, incluyendo los recursos que contra la misma procedan, órgano administrativo o judicial ante el que presentarlos y el plazo para interponerlos.</w:t>
      </w:r>
    </w:p>
    <w:p w:rsidR="00896694" w:rsidRDefault="00896694" w:rsidP="007B7889">
      <w:pPr>
        <w:pStyle w:val="Prrafodelista"/>
        <w:ind w:left="7724" w:firstLine="64"/>
        <w:jc w:val="both"/>
      </w:pPr>
    </w:p>
    <w:p w:rsidR="007B7889" w:rsidRDefault="007B7889" w:rsidP="007B7889">
      <w:pPr>
        <w:pStyle w:val="Prrafodelista"/>
        <w:ind w:left="7724" w:firstLine="64"/>
        <w:jc w:val="both"/>
      </w:pPr>
      <w:r>
        <w:t xml:space="preserve">Madrid, </w:t>
      </w:r>
      <w:r w:rsidR="009D7822">
        <w:t>junio</w:t>
      </w:r>
      <w:r>
        <w:t xml:space="preserve"> de 2023</w:t>
      </w:r>
    </w:p>
    <w:sectPr w:rsidR="007B7889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48" w:rsidRDefault="00E43948" w:rsidP="00932008">
      <w:pPr>
        <w:spacing w:after="0" w:line="240" w:lineRule="auto"/>
      </w:pPr>
      <w:r>
        <w:separator/>
      </w:r>
    </w:p>
  </w:endnote>
  <w:endnote w:type="continuationSeparator" w:id="0">
    <w:p w:rsidR="00E43948" w:rsidRDefault="00E4394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43948" w:rsidRPr="00C533E7" w:rsidRDefault="00E43948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234500">
          <w:rPr>
            <w:noProof/>
            <w:sz w:val="18"/>
            <w:szCs w:val="18"/>
          </w:rPr>
          <w:t>5</w:t>
        </w:r>
        <w:r w:rsidRPr="00C533E7">
          <w:rPr>
            <w:sz w:val="18"/>
            <w:szCs w:val="18"/>
          </w:rPr>
          <w:fldChar w:fldCharType="end"/>
        </w:r>
      </w:p>
    </w:sdtContent>
  </w:sdt>
  <w:p w:rsidR="00E43948" w:rsidRDefault="00E439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48" w:rsidRDefault="00E43948" w:rsidP="00932008">
      <w:pPr>
        <w:spacing w:after="0" w:line="240" w:lineRule="auto"/>
      </w:pPr>
      <w:r>
        <w:separator/>
      </w:r>
    </w:p>
  </w:footnote>
  <w:footnote w:type="continuationSeparator" w:id="0">
    <w:p w:rsidR="00E43948" w:rsidRDefault="00E43948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0F3790"/>
    <w:rsid w:val="00102733"/>
    <w:rsid w:val="001252EE"/>
    <w:rsid w:val="0012783F"/>
    <w:rsid w:val="001561A4"/>
    <w:rsid w:val="00176A94"/>
    <w:rsid w:val="00194000"/>
    <w:rsid w:val="001A76FF"/>
    <w:rsid w:val="001B3D6A"/>
    <w:rsid w:val="001C238B"/>
    <w:rsid w:val="001E1C29"/>
    <w:rsid w:val="001F251B"/>
    <w:rsid w:val="001F25E4"/>
    <w:rsid w:val="002260CC"/>
    <w:rsid w:val="00234500"/>
    <w:rsid w:val="00236AF5"/>
    <w:rsid w:val="00241D7A"/>
    <w:rsid w:val="00255A7E"/>
    <w:rsid w:val="00256215"/>
    <w:rsid w:val="002615D8"/>
    <w:rsid w:val="0026281C"/>
    <w:rsid w:val="00296731"/>
    <w:rsid w:val="002A154B"/>
    <w:rsid w:val="002A2B76"/>
    <w:rsid w:val="002A479C"/>
    <w:rsid w:val="002E0A33"/>
    <w:rsid w:val="003145AD"/>
    <w:rsid w:val="00334115"/>
    <w:rsid w:val="00340559"/>
    <w:rsid w:val="00341F8F"/>
    <w:rsid w:val="00381F26"/>
    <w:rsid w:val="0038280F"/>
    <w:rsid w:val="00393F8C"/>
    <w:rsid w:val="003A260E"/>
    <w:rsid w:val="003B5288"/>
    <w:rsid w:val="003C0AAB"/>
    <w:rsid w:val="003F271E"/>
    <w:rsid w:val="003F572A"/>
    <w:rsid w:val="00411640"/>
    <w:rsid w:val="00447511"/>
    <w:rsid w:val="004537FB"/>
    <w:rsid w:val="004737AE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20B5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80DF3"/>
    <w:rsid w:val="00695C38"/>
    <w:rsid w:val="006A2766"/>
    <w:rsid w:val="006A2E9A"/>
    <w:rsid w:val="00706E04"/>
    <w:rsid w:val="00707CFE"/>
    <w:rsid w:val="00710031"/>
    <w:rsid w:val="007267FB"/>
    <w:rsid w:val="00727BA2"/>
    <w:rsid w:val="00741849"/>
    <w:rsid w:val="00741D66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F4BBB"/>
    <w:rsid w:val="00815659"/>
    <w:rsid w:val="008207D9"/>
    <w:rsid w:val="00832D4F"/>
    <w:rsid w:val="00833900"/>
    <w:rsid w:val="00835A1E"/>
    <w:rsid w:val="00844FA9"/>
    <w:rsid w:val="008452CA"/>
    <w:rsid w:val="00852161"/>
    <w:rsid w:val="00876A9D"/>
    <w:rsid w:val="008839AB"/>
    <w:rsid w:val="00896694"/>
    <w:rsid w:val="008C1E1E"/>
    <w:rsid w:val="008E7BFF"/>
    <w:rsid w:val="00904E47"/>
    <w:rsid w:val="00923092"/>
    <w:rsid w:val="009239D9"/>
    <w:rsid w:val="00930638"/>
    <w:rsid w:val="00931DA6"/>
    <w:rsid w:val="00932008"/>
    <w:rsid w:val="009609E9"/>
    <w:rsid w:val="0096522C"/>
    <w:rsid w:val="00983919"/>
    <w:rsid w:val="009913A5"/>
    <w:rsid w:val="009D7822"/>
    <w:rsid w:val="00A11C78"/>
    <w:rsid w:val="00A351F7"/>
    <w:rsid w:val="00A413C7"/>
    <w:rsid w:val="00A41DD5"/>
    <w:rsid w:val="00A52CEF"/>
    <w:rsid w:val="00A544D3"/>
    <w:rsid w:val="00A714D6"/>
    <w:rsid w:val="00A8003E"/>
    <w:rsid w:val="00A915A2"/>
    <w:rsid w:val="00AA1248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7C7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3BC5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E6A97"/>
    <w:rsid w:val="00DF2ACE"/>
    <w:rsid w:val="00DF4D57"/>
    <w:rsid w:val="00DF63E7"/>
    <w:rsid w:val="00DF6C30"/>
    <w:rsid w:val="00E3088D"/>
    <w:rsid w:val="00E34195"/>
    <w:rsid w:val="00E43948"/>
    <w:rsid w:val="00E4702F"/>
    <w:rsid w:val="00E47613"/>
    <w:rsid w:val="00E541AF"/>
    <w:rsid w:val="00E569FD"/>
    <w:rsid w:val="00E57E17"/>
    <w:rsid w:val="00E80D4F"/>
    <w:rsid w:val="00E85A64"/>
    <w:rsid w:val="00ED23E9"/>
    <w:rsid w:val="00ED3EAD"/>
    <w:rsid w:val="00ED4A93"/>
    <w:rsid w:val="00EE3509"/>
    <w:rsid w:val="00EE5BDF"/>
    <w:rsid w:val="00F14DA4"/>
    <w:rsid w:val="00F34803"/>
    <w:rsid w:val="00F47C3B"/>
    <w:rsid w:val="00F50AE2"/>
    <w:rsid w:val="00F50BEE"/>
    <w:rsid w:val="00F65BF4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BFF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876A9D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BFF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876A9D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914CE"/>
    <w:rsid w:val="002A5B0E"/>
    <w:rsid w:val="002A69E7"/>
    <w:rsid w:val="002C1748"/>
    <w:rsid w:val="002C7AFA"/>
    <w:rsid w:val="00317E39"/>
    <w:rsid w:val="003D088C"/>
    <w:rsid w:val="003F4D90"/>
    <w:rsid w:val="004437AC"/>
    <w:rsid w:val="00543A52"/>
    <w:rsid w:val="00546DCA"/>
    <w:rsid w:val="00602B9C"/>
    <w:rsid w:val="006D7969"/>
    <w:rsid w:val="0087096B"/>
    <w:rsid w:val="0096703F"/>
    <w:rsid w:val="00A80EAD"/>
    <w:rsid w:val="00AB1850"/>
    <w:rsid w:val="00AB757F"/>
    <w:rsid w:val="00B16418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D86DB-5299-4CFB-9366-A88FCB41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37</TotalTime>
  <Pages>5</Pages>
  <Words>1466</Words>
  <Characters>8064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2023-06-30T07:35:00Z</dcterms:created>
  <dcterms:modified xsi:type="dcterms:W3CDTF">2023-06-30T08:31:00Z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