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3D664B" w:rsidRDefault="003D664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3D664B" w:rsidRPr="00006957" w:rsidRDefault="003D664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3D664B" w:rsidRDefault="003D664B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3D664B" w:rsidRPr="00006957" w:rsidRDefault="003D664B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664B" w:rsidRDefault="003D664B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3D664B" w:rsidRDefault="003D664B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5F1157" w:rsidP="0026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Consejo Superior de Investigaciones Científicas (CSIC)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5F1157" w:rsidP="007F4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14/06/2023</w:t>
            </w:r>
          </w:p>
        </w:tc>
      </w:tr>
    </w:tbl>
    <w:p w:rsidR="00BA266E" w:rsidRDefault="00BA266E"/>
    <w:p w:rsidR="00561402" w:rsidRPr="0012783F" w:rsidRDefault="008C65F8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5F1157">
        <w:rPr>
          <w:bCs/>
          <w:color w:val="auto"/>
          <w:szCs w:val="22"/>
        </w:rPr>
        <w:t xml:space="preserve">La gestión de las solicitudes de acceso se efectúa por la </w:t>
      </w:r>
      <w:r w:rsidR="005F1157">
        <w:rPr>
          <w:bCs/>
          <w:color w:val="auto"/>
          <w:szCs w:val="22"/>
        </w:rPr>
        <w:t>Asesoría Jurídica</w:t>
      </w:r>
      <w:r w:rsidRPr="005F1157">
        <w:rPr>
          <w:bCs/>
          <w:color w:val="auto"/>
          <w:szCs w:val="22"/>
        </w:rPr>
        <w:t xml:space="preserve">, que cuenta con </w:t>
      </w:r>
      <w:r w:rsidR="005F1157">
        <w:rPr>
          <w:bCs/>
          <w:color w:val="auto"/>
          <w:szCs w:val="22"/>
        </w:rPr>
        <w:t>una</w:t>
      </w:r>
      <w:r w:rsidRPr="005F1157">
        <w:rPr>
          <w:bCs/>
          <w:color w:val="auto"/>
          <w:szCs w:val="22"/>
        </w:rPr>
        <w:t xml:space="preserve"> persona</w:t>
      </w:r>
      <w:r w:rsidR="005F1157">
        <w:rPr>
          <w:bCs/>
          <w:color w:val="auto"/>
          <w:szCs w:val="22"/>
        </w:rPr>
        <w:t xml:space="preserve"> para abordar esta actividad, que compatibiliza con otras tareas.</w:t>
      </w:r>
      <w:r w:rsidRPr="005F1157">
        <w:rPr>
          <w:bCs/>
          <w:color w:val="auto"/>
          <w:szCs w:val="22"/>
        </w:rPr>
        <w:t xml:space="preserve"> </w:t>
      </w:r>
    </w:p>
    <w:p w:rsidR="005F1157" w:rsidRDefault="005F1157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Según informa el CSIC, es la UIT del Ministerio de Ciencia e Innovación quien gestiona realmente las solicitudes de información dirigidas a CSIC, y que éste, informa, si es requerido para ello por la UIT, siendo la UIT quien elabora la correspondiente resolución</w:t>
      </w:r>
    </w:p>
    <w:p w:rsidR="00CB13F4" w:rsidRPr="00BA266E" w:rsidRDefault="00CB13F4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8C65F8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812AB" w:rsidRDefault="00A41DD5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II.1</w:t>
      </w:r>
      <w:r w:rsidR="00BF7B73">
        <w:rPr>
          <w:rStyle w:val="Ttulo2Car"/>
          <w:color w:val="00642D"/>
          <w:lang w:bidi="es-ES"/>
        </w:rPr>
        <w:t xml:space="preserve"> </w:t>
      </w:r>
      <w:r w:rsidR="00B812AB" w:rsidRPr="00B812AB">
        <w:rPr>
          <w:rStyle w:val="Ttulo2Car"/>
          <w:color w:val="00642D"/>
          <w:lang w:bidi="es-ES"/>
        </w:rPr>
        <w:t xml:space="preserve">Solicitudes gestionadas en </w:t>
      </w:r>
      <w:r w:rsidR="0001691A">
        <w:rPr>
          <w:rStyle w:val="Ttulo2Car"/>
          <w:color w:val="00642D"/>
          <w:lang w:bidi="es-ES"/>
        </w:rPr>
        <w:t>2022</w:t>
      </w:r>
    </w:p>
    <w:p w:rsidR="00577A83" w:rsidRDefault="00577A83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34803" w:rsidRDefault="00F34803" w:rsidP="00F34803">
      <w:pPr>
        <w:ind w:left="426"/>
        <w:jc w:val="both"/>
      </w:pPr>
      <w:r w:rsidRPr="00CB13F4">
        <w:t>En 202</w:t>
      </w:r>
      <w:r w:rsidR="00CB13F4">
        <w:t>2</w:t>
      </w:r>
      <w:r w:rsidRPr="00CB13F4">
        <w:t xml:space="preserve"> </w:t>
      </w:r>
      <w:r w:rsidR="00CB13F4">
        <w:t>el CSIC</w:t>
      </w:r>
      <w:r w:rsidRPr="00CB13F4">
        <w:t xml:space="preserve"> recibió </w:t>
      </w:r>
      <w:r w:rsidR="00CB13F4">
        <w:t>41</w:t>
      </w:r>
      <w:r w:rsidRPr="00CB13F4">
        <w:t xml:space="preserve"> solicitudes de información</w:t>
      </w:r>
      <w:r w:rsidR="00CB13F4">
        <w:t>, a las que hay que sumar, una solicitud pendiente a 31/12/2021</w:t>
      </w:r>
      <w:r w:rsidR="00654162" w:rsidRPr="00CB13F4">
        <w:t xml:space="preserve">. </w:t>
      </w:r>
      <w:r w:rsidR="00CB13F4">
        <w:t>A 31 de diciembre de 2022 quedaron pendientes de tramitación 8 solicitudes de información</w:t>
      </w:r>
      <w:r w:rsidRPr="00CB13F4">
        <w:t>.</w:t>
      </w:r>
      <w:r>
        <w:t xml:space="preserve"> </w:t>
      </w:r>
    </w:p>
    <w:p w:rsidR="00F7263F" w:rsidRDefault="00F7263F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 xml:space="preserve">2 Indicadores de tramitación </w:t>
      </w:r>
      <w:r w:rsidR="008839AB">
        <w:rPr>
          <w:rStyle w:val="Ttulo2Car"/>
          <w:color w:val="00642D"/>
          <w:lang w:bidi="es-ES"/>
        </w:rPr>
        <w:t>en 2022</w:t>
      </w:r>
    </w:p>
    <w:p w:rsidR="00F34803" w:rsidRDefault="002A34B3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En 2022 se tramitó</w:t>
      </w:r>
      <w:r w:rsidR="00106C51">
        <w:rPr>
          <w:rStyle w:val="Ttulo2Car"/>
          <w:b w:val="0"/>
          <w:color w:val="auto"/>
          <w:sz w:val="22"/>
          <w:szCs w:val="22"/>
          <w:lang w:bidi="es-ES"/>
        </w:rPr>
        <w:t xml:space="preserve"> por la UIT del Ministerio de Ciencia e Innovación el 78,6% de las solicitudes de información del CSIC</w:t>
      </w:r>
      <w:r w:rsidR="00577A83" w:rsidRPr="002A34B3">
        <w:rPr>
          <w:rStyle w:val="Ttulo2Car"/>
          <w:b w:val="0"/>
          <w:color w:val="auto"/>
          <w:sz w:val="22"/>
          <w:szCs w:val="22"/>
          <w:lang w:bidi="es-ES"/>
        </w:rPr>
        <w:t xml:space="preserve">. De ellas fueron admitidas un </w:t>
      </w:r>
      <w:r w:rsidR="00106C51">
        <w:rPr>
          <w:rStyle w:val="Ttulo2Car"/>
          <w:b w:val="0"/>
          <w:color w:val="auto"/>
          <w:sz w:val="22"/>
          <w:szCs w:val="22"/>
          <w:lang w:bidi="es-ES"/>
        </w:rPr>
        <w:t>80,5</w:t>
      </w:r>
      <w:r w:rsidR="00577A83" w:rsidRPr="002A34B3">
        <w:rPr>
          <w:rStyle w:val="Ttulo2Car"/>
          <w:b w:val="0"/>
          <w:color w:val="auto"/>
          <w:sz w:val="22"/>
          <w:szCs w:val="22"/>
          <w:lang w:bidi="es-ES"/>
        </w:rPr>
        <w:t xml:space="preserve">% e inadmitidas el </w:t>
      </w:r>
      <w:r w:rsidR="00106C51">
        <w:rPr>
          <w:rStyle w:val="Ttulo2Car"/>
          <w:b w:val="0"/>
          <w:color w:val="auto"/>
          <w:sz w:val="22"/>
          <w:szCs w:val="22"/>
          <w:lang w:bidi="es-ES"/>
        </w:rPr>
        <w:t xml:space="preserve">19,5%. Las dos </w:t>
      </w:r>
      <w:r w:rsidR="00106C51" w:rsidRPr="002A34B3">
        <w:rPr>
          <w:rStyle w:val="Ttulo2Car"/>
          <w:b w:val="0"/>
          <w:color w:val="auto"/>
          <w:sz w:val="22"/>
          <w:szCs w:val="22"/>
          <w:lang w:bidi="es-ES"/>
        </w:rPr>
        <w:t>principales causas</w:t>
      </w:r>
      <w:r w:rsidR="00106C51">
        <w:rPr>
          <w:rStyle w:val="Ttulo2Car"/>
          <w:b w:val="0"/>
          <w:color w:val="auto"/>
          <w:sz w:val="22"/>
          <w:szCs w:val="22"/>
          <w:lang w:bidi="es-ES"/>
        </w:rPr>
        <w:t xml:space="preserve"> de inadmisión fueron que la información solicitada estaba en fase de </w:t>
      </w:r>
      <w:r w:rsidR="00106C51">
        <w:rPr>
          <w:rStyle w:val="Ttulo2Car"/>
          <w:b w:val="0"/>
          <w:color w:val="auto"/>
          <w:sz w:val="22"/>
          <w:szCs w:val="22"/>
          <w:lang w:bidi="es-ES"/>
        </w:rPr>
        <w:lastRenderedPageBreak/>
        <w:t>elaboración o de publicación general y que la información solicitada tenía un régimen específico de acceso</w:t>
      </w:r>
      <w:r w:rsidR="00577A83" w:rsidRPr="002A34B3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577A83" w:rsidRPr="00985C93" w:rsidRDefault="00577A83" w:rsidP="00577A83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985C93">
        <w:rPr>
          <w:rStyle w:val="Ttulo2Car"/>
          <w:b/>
          <w:color w:val="00642D"/>
          <w:sz w:val="22"/>
          <w:szCs w:val="22"/>
          <w:lang w:bidi="es-ES"/>
        </w:rPr>
        <w:t xml:space="preserve">Gráfico </w:t>
      </w:r>
      <w:r w:rsidRPr="00985C93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985C93">
        <w:rPr>
          <w:rStyle w:val="Ttulo2Car"/>
          <w:b/>
          <w:color w:val="00642D"/>
          <w:sz w:val="22"/>
          <w:szCs w:val="22"/>
          <w:lang w:bidi="es-ES"/>
        </w:rPr>
        <w:instrText xml:space="preserve"> SEQ Gráfico \* ARABIC </w:instrText>
      </w:r>
      <w:r w:rsidRPr="00985C93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 w:rsidRPr="00985C93">
        <w:rPr>
          <w:rStyle w:val="Ttulo2Car"/>
          <w:b/>
          <w:color w:val="00642D"/>
          <w:sz w:val="22"/>
          <w:szCs w:val="22"/>
          <w:lang w:bidi="es-ES"/>
        </w:rPr>
        <w:t>1</w:t>
      </w:r>
      <w:r w:rsidRPr="00985C93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985C93">
        <w:rPr>
          <w:rStyle w:val="Ttulo2Car"/>
          <w:b/>
          <w:color w:val="00642D"/>
          <w:sz w:val="22"/>
          <w:szCs w:val="22"/>
          <w:lang w:bidi="es-ES"/>
        </w:rPr>
        <w:t>: Distribución de las solicitudes inadmitidas según causa de inadmisión</w:t>
      </w:r>
    </w:p>
    <w:p w:rsidR="00577A83" w:rsidRDefault="00577A83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noProof/>
        </w:rPr>
        <w:drawing>
          <wp:inline distT="0" distB="0" distL="0" distR="0" wp14:anchorId="1B40B061" wp14:editId="79473C46">
            <wp:extent cx="6134100" cy="27432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E1C29" w:rsidRDefault="001E1C29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1E1C29" w:rsidRPr="00647481" w:rsidRDefault="001E1C29" w:rsidP="001E1C29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647481">
        <w:rPr>
          <w:rStyle w:val="Ttulo2Car"/>
          <w:b/>
          <w:color w:val="00642D"/>
          <w:sz w:val="22"/>
          <w:szCs w:val="22"/>
          <w:lang w:bidi="es-ES"/>
        </w:rPr>
        <w:t xml:space="preserve">Tabla 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>
        <w:rPr>
          <w:rStyle w:val="Ttulo2Car"/>
          <w:b/>
          <w:noProof/>
          <w:color w:val="00642D"/>
          <w:sz w:val="22"/>
          <w:szCs w:val="22"/>
          <w:lang w:bidi="es-ES"/>
        </w:rPr>
        <w:t>1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t>: Indicadores de tramitación 202</w:t>
      </w:r>
      <w:r w:rsidR="002A34B3">
        <w:rPr>
          <w:rStyle w:val="Ttulo2Car"/>
          <w:b/>
          <w:color w:val="00642D"/>
          <w:sz w:val="22"/>
          <w:szCs w:val="22"/>
          <w:lang w:bidi="es-ES"/>
        </w:rPr>
        <w:t>2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2A34B3" w:rsidRPr="00706E04" w:rsidTr="002A34B3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2A34B3" w:rsidRPr="005B3C15" w:rsidRDefault="002A34B3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5B3C15">
              <w:rPr>
                <w:b/>
                <w:color w:val="FFFFFF" w:themeColor="background1"/>
              </w:rPr>
              <w:t>Indicadores de tramitación</w:t>
            </w:r>
          </w:p>
        </w:tc>
        <w:tc>
          <w:tcPr>
            <w:tcW w:w="6322" w:type="dxa"/>
            <w:tcBorders>
              <w:left w:val="nil"/>
            </w:tcBorders>
          </w:tcPr>
          <w:p w:rsidR="002A34B3" w:rsidRPr="006A2E9A" w:rsidRDefault="002A34B3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Solicitudes/persona UIT</w:t>
            </w:r>
          </w:p>
        </w:tc>
        <w:tc>
          <w:tcPr>
            <w:tcW w:w="1559" w:type="dxa"/>
          </w:tcPr>
          <w:p w:rsidR="002A34B3" w:rsidRPr="002A34B3" w:rsidRDefault="002A34B3" w:rsidP="002A34B3">
            <w:pPr>
              <w:jc w:val="center"/>
              <w:rPr>
                <w:sz w:val="20"/>
              </w:rPr>
            </w:pPr>
            <w:r w:rsidRPr="002A34B3">
              <w:rPr>
                <w:sz w:val="20"/>
              </w:rPr>
              <w:t>42,00</w:t>
            </w:r>
          </w:p>
        </w:tc>
      </w:tr>
      <w:tr w:rsidR="002A34B3" w:rsidRPr="00706E04" w:rsidTr="002A34B3">
        <w:tc>
          <w:tcPr>
            <w:tcW w:w="1299" w:type="dxa"/>
            <w:vMerge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2A34B3" w:rsidRPr="005B3C15" w:rsidRDefault="002A34B3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2A34B3" w:rsidRPr="006A2E9A" w:rsidRDefault="002A34B3" w:rsidP="00055B15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Solicitudes tramitadas/persona UIT</w:t>
            </w:r>
          </w:p>
        </w:tc>
        <w:tc>
          <w:tcPr>
            <w:tcW w:w="1559" w:type="dxa"/>
          </w:tcPr>
          <w:p w:rsidR="002A34B3" w:rsidRPr="002A34B3" w:rsidRDefault="002A34B3" w:rsidP="002A34B3">
            <w:pPr>
              <w:jc w:val="center"/>
              <w:rPr>
                <w:sz w:val="20"/>
              </w:rPr>
            </w:pPr>
            <w:r w:rsidRPr="002A34B3">
              <w:rPr>
                <w:sz w:val="20"/>
              </w:rPr>
              <w:t>33,00</w:t>
            </w:r>
          </w:p>
        </w:tc>
      </w:tr>
      <w:tr w:rsidR="002A34B3" w:rsidRPr="00706E04" w:rsidTr="002A34B3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2A34B3" w:rsidRPr="005B3C15" w:rsidRDefault="002A34B3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2A34B3" w:rsidRPr="006A2E9A" w:rsidRDefault="002A34B3" w:rsidP="002A34B3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Tramitación (tr</w:t>
            </w:r>
            <w:r>
              <w:rPr>
                <w:sz w:val="20"/>
                <w:szCs w:val="20"/>
              </w:rPr>
              <w:t>amitadas/(pendientes a 31/12/2021</w:t>
            </w:r>
            <w:r w:rsidRPr="006A2E9A">
              <w:rPr>
                <w:sz w:val="20"/>
                <w:szCs w:val="20"/>
              </w:rPr>
              <w:t xml:space="preserve"> + recibidas 202</w:t>
            </w:r>
            <w:r>
              <w:rPr>
                <w:sz w:val="20"/>
                <w:szCs w:val="20"/>
              </w:rPr>
              <w:t>2</w:t>
            </w:r>
            <w:r w:rsidRPr="006A2E9A">
              <w:rPr>
                <w:sz w:val="20"/>
                <w:szCs w:val="20"/>
              </w:rPr>
              <w:t>))</w:t>
            </w:r>
          </w:p>
        </w:tc>
        <w:tc>
          <w:tcPr>
            <w:tcW w:w="1559" w:type="dxa"/>
          </w:tcPr>
          <w:p w:rsidR="002A34B3" w:rsidRPr="002A34B3" w:rsidRDefault="002A34B3" w:rsidP="002A34B3">
            <w:pPr>
              <w:jc w:val="center"/>
              <w:rPr>
                <w:sz w:val="20"/>
              </w:rPr>
            </w:pPr>
            <w:r w:rsidRPr="002A34B3">
              <w:rPr>
                <w:sz w:val="20"/>
              </w:rPr>
              <w:t>78,57</w:t>
            </w:r>
          </w:p>
        </w:tc>
      </w:tr>
      <w:tr w:rsidR="002A34B3" w:rsidRPr="00706E04" w:rsidTr="002A34B3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2A34B3" w:rsidRPr="005B3C15" w:rsidRDefault="002A34B3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2A34B3" w:rsidRPr="006A2E9A" w:rsidRDefault="002A34B3" w:rsidP="002A34B3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pendencia (pendientes a 31/12/202</w:t>
            </w:r>
            <w:r>
              <w:rPr>
                <w:sz w:val="20"/>
                <w:szCs w:val="20"/>
              </w:rPr>
              <w:t>2</w:t>
            </w:r>
            <w:r w:rsidRPr="006A2E9A">
              <w:rPr>
                <w:sz w:val="20"/>
                <w:szCs w:val="20"/>
              </w:rPr>
              <w:t xml:space="preserve"> / tramitadas)</w:t>
            </w:r>
          </w:p>
        </w:tc>
        <w:tc>
          <w:tcPr>
            <w:tcW w:w="1559" w:type="dxa"/>
          </w:tcPr>
          <w:p w:rsidR="002A34B3" w:rsidRPr="002A34B3" w:rsidRDefault="002A34B3" w:rsidP="002A34B3">
            <w:pPr>
              <w:jc w:val="center"/>
              <w:rPr>
                <w:sz w:val="20"/>
              </w:rPr>
            </w:pPr>
            <w:r w:rsidRPr="002A34B3">
              <w:rPr>
                <w:sz w:val="20"/>
              </w:rPr>
              <w:t>24,24</w:t>
            </w:r>
          </w:p>
        </w:tc>
      </w:tr>
      <w:tr w:rsidR="002A34B3" w:rsidRPr="00706E04" w:rsidTr="002A34B3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2A34B3" w:rsidRPr="005B3C15" w:rsidRDefault="002A34B3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2A34B3" w:rsidRPr="006A2E9A" w:rsidRDefault="002A34B3" w:rsidP="002A34B3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resolución en la tramitación (tramitadas/entradas en 202</w:t>
            </w:r>
            <w:r>
              <w:rPr>
                <w:sz w:val="20"/>
                <w:szCs w:val="20"/>
              </w:rPr>
              <w:t>2</w:t>
            </w:r>
            <w:r w:rsidRPr="006A2E9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A34B3" w:rsidRPr="002A34B3" w:rsidRDefault="002A34B3" w:rsidP="002A34B3">
            <w:pPr>
              <w:jc w:val="center"/>
              <w:rPr>
                <w:sz w:val="20"/>
              </w:rPr>
            </w:pPr>
            <w:r w:rsidRPr="002A34B3">
              <w:rPr>
                <w:sz w:val="20"/>
              </w:rPr>
              <w:t>80,49</w:t>
            </w:r>
          </w:p>
        </w:tc>
      </w:tr>
      <w:tr w:rsidR="002A34B3" w:rsidRPr="00706E04" w:rsidTr="002A34B3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2A34B3" w:rsidRPr="005B3C15" w:rsidRDefault="002A34B3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2A34B3" w:rsidRPr="006A2E9A" w:rsidRDefault="002A34B3" w:rsidP="002A34B3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congestión ((pendientes a 31/12/20</w:t>
            </w:r>
            <w:r>
              <w:rPr>
                <w:sz w:val="20"/>
                <w:szCs w:val="20"/>
              </w:rPr>
              <w:t>20</w:t>
            </w:r>
            <w:r w:rsidRPr="006A2E9A">
              <w:rPr>
                <w:sz w:val="20"/>
                <w:szCs w:val="20"/>
              </w:rPr>
              <w:t xml:space="preserve"> + entradas 202</w:t>
            </w:r>
            <w:r>
              <w:rPr>
                <w:sz w:val="20"/>
                <w:szCs w:val="20"/>
              </w:rPr>
              <w:t>2</w:t>
            </w:r>
            <w:r w:rsidRPr="006A2E9A">
              <w:rPr>
                <w:sz w:val="20"/>
                <w:szCs w:val="20"/>
              </w:rPr>
              <w:t>) / tramitadas</w:t>
            </w:r>
          </w:p>
        </w:tc>
        <w:tc>
          <w:tcPr>
            <w:tcW w:w="1559" w:type="dxa"/>
          </w:tcPr>
          <w:p w:rsidR="002A34B3" w:rsidRPr="002A34B3" w:rsidRDefault="002A34B3" w:rsidP="002A34B3">
            <w:pPr>
              <w:jc w:val="center"/>
              <w:rPr>
                <w:sz w:val="20"/>
              </w:rPr>
            </w:pPr>
            <w:r w:rsidRPr="002A34B3">
              <w:rPr>
                <w:sz w:val="20"/>
              </w:rPr>
              <w:t>127,27</w:t>
            </w:r>
          </w:p>
        </w:tc>
      </w:tr>
      <w:tr w:rsidR="002A34B3" w:rsidRPr="00706E04" w:rsidTr="002A34B3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2A34B3" w:rsidRPr="005B3C15" w:rsidRDefault="002A34B3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2A34B3" w:rsidRPr="006A2E9A" w:rsidRDefault="002A34B3" w:rsidP="002A34B3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Tiempo medio estimado para la tramitación de las solicitudes pendientes ((pendientes a 31/12/202</w:t>
            </w:r>
            <w:r>
              <w:rPr>
                <w:sz w:val="20"/>
                <w:szCs w:val="20"/>
              </w:rPr>
              <w:t>2</w:t>
            </w:r>
            <w:r w:rsidRPr="006A2E9A">
              <w:rPr>
                <w:sz w:val="20"/>
                <w:szCs w:val="20"/>
              </w:rPr>
              <w:t xml:space="preserve"> / tramitadas)*365 </w:t>
            </w:r>
          </w:p>
        </w:tc>
        <w:tc>
          <w:tcPr>
            <w:tcW w:w="1559" w:type="dxa"/>
          </w:tcPr>
          <w:p w:rsidR="002A34B3" w:rsidRPr="002A34B3" w:rsidRDefault="002A34B3" w:rsidP="002A34B3">
            <w:pPr>
              <w:jc w:val="center"/>
              <w:rPr>
                <w:sz w:val="20"/>
              </w:rPr>
            </w:pPr>
            <w:r w:rsidRPr="002A34B3">
              <w:rPr>
                <w:sz w:val="20"/>
              </w:rPr>
              <w:t>88,48</w:t>
            </w:r>
          </w:p>
        </w:tc>
      </w:tr>
      <w:tr w:rsidR="002A34B3" w:rsidRPr="00706E04" w:rsidTr="002A34B3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2A34B3" w:rsidRPr="005B3C15" w:rsidRDefault="002A34B3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2A34B3" w:rsidRPr="006A2E9A" w:rsidRDefault="002A34B3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admisión (admitidas/tramitadas)</w:t>
            </w:r>
          </w:p>
        </w:tc>
        <w:tc>
          <w:tcPr>
            <w:tcW w:w="1559" w:type="dxa"/>
          </w:tcPr>
          <w:p w:rsidR="002A34B3" w:rsidRPr="002A34B3" w:rsidRDefault="002A34B3" w:rsidP="002A34B3">
            <w:pPr>
              <w:jc w:val="center"/>
              <w:rPr>
                <w:sz w:val="20"/>
              </w:rPr>
            </w:pPr>
            <w:r w:rsidRPr="002A34B3">
              <w:rPr>
                <w:sz w:val="20"/>
              </w:rPr>
              <w:t>80,49</w:t>
            </w:r>
          </w:p>
        </w:tc>
      </w:tr>
      <w:tr w:rsidR="002A34B3" w:rsidRPr="00706E04" w:rsidTr="002A34B3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2A34B3" w:rsidRPr="005B3C15" w:rsidRDefault="002A34B3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2A34B3" w:rsidRPr="006A2E9A" w:rsidRDefault="002A34B3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inadmisión (inadmitidas/ tramitadas)</w:t>
            </w:r>
          </w:p>
        </w:tc>
        <w:tc>
          <w:tcPr>
            <w:tcW w:w="1559" w:type="dxa"/>
          </w:tcPr>
          <w:p w:rsidR="002A34B3" w:rsidRPr="002A34B3" w:rsidRDefault="002A34B3" w:rsidP="002A34B3">
            <w:pPr>
              <w:jc w:val="center"/>
              <w:rPr>
                <w:sz w:val="20"/>
              </w:rPr>
            </w:pPr>
            <w:r w:rsidRPr="002A34B3">
              <w:rPr>
                <w:sz w:val="20"/>
              </w:rPr>
              <w:t>19,51</w:t>
            </w:r>
          </w:p>
        </w:tc>
      </w:tr>
      <w:tr w:rsidR="002A34B3" w:rsidRPr="00706E04" w:rsidTr="002A34B3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2A34B3" w:rsidRPr="005B3C15" w:rsidRDefault="002A34B3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2A34B3" w:rsidRPr="006A2E9A" w:rsidRDefault="002A34B3" w:rsidP="00983919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archivo (archivadas/tramitadas)</w:t>
            </w:r>
          </w:p>
        </w:tc>
        <w:tc>
          <w:tcPr>
            <w:tcW w:w="1559" w:type="dxa"/>
          </w:tcPr>
          <w:p w:rsidR="002A34B3" w:rsidRPr="002A34B3" w:rsidRDefault="002A34B3" w:rsidP="002A34B3">
            <w:pPr>
              <w:jc w:val="center"/>
              <w:rPr>
                <w:sz w:val="20"/>
              </w:rPr>
            </w:pPr>
            <w:r w:rsidRPr="002A34B3">
              <w:rPr>
                <w:sz w:val="20"/>
              </w:rPr>
              <w:t>,00</w:t>
            </w:r>
          </w:p>
        </w:tc>
      </w:tr>
    </w:tbl>
    <w:p w:rsidR="00B812AB" w:rsidRDefault="00B812AB" w:rsidP="00B812AB"/>
    <w:p w:rsidR="00055B15" w:rsidRDefault="00055B15" w:rsidP="00055B15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 w:rsidR="00C34BB5">
        <w:rPr>
          <w:rStyle w:val="Ttulo2Car"/>
          <w:color w:val="00642D"/>
          <w:lang w:bidi="es-ES"/>
        </w:rPr>
        <w:t>3</w:t>
      </w:r>
      <w:r>
        <w:rPr>
          <w:rStyle w:val="Ttulo2Car"/>
          <w:color w:val="00642D"/>
          <w:lang w:bidi="es-ES"/>
        </w:rPr>
        <w:t xml:space="preserve"> </w:t>
      </w:r>
      <w:r w:rsidRPr="00055B15">
        <w:rPr>
          <w:rStyle w:val="Ttulo2Car"/>
          <w:color w:val="00642D"/>
          <w:lang w:bidi="es-ES"/>
        </w:rPr>
        <w:t xml:space="preserve">Resoluciones </w:t>
      </w:r>
      <w:r w:rsidR="008839AB">
        <w:rPr>
          <w:rStyle w:val="Ttulo2Car"/>
          <w:color w:val="00642D"/>
          <w:lang w:bidi="es-ES"/>
        </w:rPr>
        <w:t>dictadas</w:t>
      </w:r>
      <w:r w:rsidRPr="00055B15">
        <w:rPr>
          <w:rStyle w:val="Ttulo2Car"/>
          <w:color w:val="00642D"/>
          <w:lang w:bidi="es-ES"/>
        </w:rPr>
        <w:t xml:space="preserve"> en 202</w:t>
      </w:r>
      <w:r w:rsidR="008839AB">
        <w:rPr>
          <w:rStyle w:val="Ttulo2Car"/>
          <w:color w:val="00642D"/>
          <w:lang w:bidi="es-ES"/>
        </w:rPr>
        <w:t>2</w:t>
      </w:r>
    </w:p>
    <w:p w:rsidR="00DF4D57" w:rsidRDefault="00DF4D57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34803" w:rsidRPr="00577A83" w:rsidRDefault="00F34803" w:rsidP="00F34803">
      <w:pPr>
        <w:ind w:left="426"/>
        <w:jc w:val="both"/>
        <w:rPr>
          <w:rStyle w:val="Ttulo2Car"/>
          <w:color w:val="00642D"/>
          <w:lang w:bidi="es-ES"/>
        </w:rPr>
      </w:pPr>
      <w:r w:rsidRPr="00106C51">
        <w:rPr>
          <w:rStyle w:val="Ttulo2Car"/>
          <w:b w:val="0"/>
          <w:color w:val="auto"/>
          <w:sz w:val="22"/>
          <w:szCs w:val="22"/>
          <w:lang w:bidi="es-ES"/>
        </w:rPr>
        <w:t>Respecto de la</w:t>
      </w:r>
      <w:r w:rsidR="00106C51">
        <w:rPr>
          <w:rStyle w:val="Ttulo2Car"/>
          <w:b w:val="0"/>
          <w:color w:val="auto"/>
          <w:sz w:val="22"/>
          <w:szCs w:val="22"/>
          <w:lang w:bidi="es-ES"/>
        </w:rPr>
        <w:t>s resoluciones emitidas en 2022</w:t>
      </w:r>
      <w:r w:rsidR="00BA266E" w:rsidRPr="00106C51">
        <w:rPr>
          <w:rStyle w:val="Ttulo2Car"/>
          <w:b w:val="0"/>
          <w:color w:val="auto"/>
          <w:sz w:val="22"/>
          <w:szCs w:val="22"/>
          <w:lang w:bidi="es-ES"/>
        </w:rPr>
        <w:t xml:space="preserve">, </w:t>
      </w:r>
      <w:r w:rsidR="00106C51">
        <w:rPr>
          <w:rStyle w:val="Ttulo2Car"/>
          <w:b w:val="0"/>
          <w:color w:val="auto"/>
          <w:sz w:val="22"/>
          <w:szCs w:val="22"/>
          <w:lang w:bidi="es-ES"/>
        </w:rPr>
        <w:t xml:space="preserve">29 </w:t>
      </w:r>
      <w:r w:rsidR="00654162" w:rsidRPr="00106C51">
        <w:rPr>
          <w:rStyle w:val="Ttulo2Car"/>
          <w:b w:val="0"/>
          <w:color w:val="auto"/>
          <w:sz w:val="22"/>
          <w:szCs w:val="22"/>
          <w:lang w:bidi="es-ES"/>
        </w:rPr>
        <w:t xml:space="preserve">concedieron acceso a la información. </w:t>
      </w:r>
      <w:r w:rsidR="00106C51">
        <w:rPr>
          <w:rStyle w:val="Ttulo2Car"/>
          <w:b w:val="0"/>
          <w:color w:val="auto"/>
          <w:sz w:val="22"/>
          <w:szCs w:val="22"/>
          <w:lang w:bidi="es-ES"/>
        </w:rPr>
        <w:t>Ninguna solicitud fue denegada expresamente o por silencio administrativo</w:t>
      </w:r>
      <w:proofErr w:type="gramStart"/>
      <w:r w:rsidR="00106C51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="00AC109E" w:rsidRPr="00106C51">
        <w:rPr>
          <w:rStyle w:val="Ttulo2Car"/>
          <w:b w:val="0"/>
          <w:color w:val="auto"/>
          <w:sz w:val="22"/>
          <w:szCs w:val="22"/>
          <w:lang w:bidi="es-ES"/>
        </w:rPr>
        <w:t>.</w:t>
      </w:r>
      <w:proofErr w:type="gramEnd"/>
    </w:p>
    <w:p w:rsidR="00F34803" w:rsidRDefault="009C4B71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El CSIC</w:t>
      </w:r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 publica 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 xml:space="preserve"> las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9C4B71" w:rsidRDefault="009C4B71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106C51" w:rsidRDefault="00106C51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106C51" w:rsidRPr="009079EA" w:rsidRDefault="00106C51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7263F" w:rsidRDefault="00F7263F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lastRenderedPageBreak/>
        <w:t>II.</w:t>
      </w:r>
      <w:r w:rsidR="00C34BB5">
        <w:rPr>
          <w:rStyle w:val="Ttulo2Car"/>
          <w:color w:val="00642D"/>
          <w:lang w:bidi="es-ES"/>
        </w:rPr>
        <w:t>4</w:t>
      </w:r>
      <w:r>
        <w:rPr>
          <w:rStyle w:val="Ttulo2Car"/>
          <w:color w:val="00642D"/>
          <w:lang w:bidi="es-ES"/>
        </w:rPr>
        <w:t xml:space="preserve"> Indicadores de resolución en 202</w:t>
      </w:r>
      <w:r w:rsidR="008839AB">
        <w:rPr>
          <w:rStyle w:val="Ttulo2Car"/>
          <w:color w:val="00642D"/>
          <w:lang w:bidi="es-ES"/>
        </w:rPr>
        <w:t>2</w:t>
      </w:r>
    </w:p>
    <w:p w:rsidR="001252EE" w:rsidRDefault="001252EE" w:rsidP="00F34803">
      <w:pPr>
        <w:ind w:left="426"/>
        <w:jc w:val="both"/>
      </w:pPr>
    </w:p>
    <w:p w:rsidR="00F34803" w:rsidRPr="00106C51" w:rsidRDefault="00106C51" w:rsidP="00F34803">
      <w:pPr>
        <w:ind w:left="426"/>
        <w:jc w:val="both"/>
      </w:pPr>
      <w:r>
        <w:t>El CSIC</w:t>
      </w:r>
      <w:r w:rsidR="00AC109E" w:rsidRPr="00106C51">
        <w:t xml:space="preserve"> </w:t>
      </w:r>
      <w:r>
        <w:t>dicta</w:t>
      </w:r>
      <w:r w:rsidR="00F34803" w:rsidRPr="00106C51">
        <w:t xml:space="preserve"> resoluciones expresas para la totalid</w:t>
      </w:r>
      <w:r w:rsidR="004474DE">
        <w:t xml:space="preserve">ad de las solicitudes admitidas y todas ellas conceden el acceso a la información, </w:t>
      </w:r>
      <w:r w:rsidR="00F34803" w:rsidRPr="00106C51">
        <w:t xml:space="preserve"> </w:t>
      </w:r>
      <w:r w:rsidR="004474DE">
        <w:t>En el 69% de los casos el acceso es total.</w:t>
      </w:r>
      <w:r w:rsidR="00AC109E" w:rsidRPr="00106C51">
        <w:t xml:space="preserve"> </w:t>
      </w:r>
    </w:p>
    <w:p w:rsidR="001E1C29" w:rsidRPr="00106C51" w:rsidRDefault="001E1C29" w:rsidP="001E1C29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106C51">
        <w:rPr>
          <w:rStyle w:val="Ttulo2Car"/>
          <w:b/>
          <w:color w:val="00642D"/>
          <w:sz w:val="22"/>
          <w:szCs w:val="22"/>
          <w:lang w:bidi="es-ES"/>
        </w:rPr>
        <w:t xml:space="preserve">Tabla </w:t>
      </w:r>
      <w:r w:rsidRPr="00106C51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106C51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106C51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 w:rsidRPr="00106C51">
        <w:rPr>
          <w:rStyle w:val="Ttulo2Car"/>
          <w:b/>
          <w:color w:val="00642D"/>
          <w:sz w:val="22"/>
          <w:szCs w:val="22"/>
          <w:lang w:bidi="es-ES"/>
        </w:rPr>
        <w:t>2</w:t>
      </w:r>
      <w:r w:rsidRPr="00106C51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106C51">
        <w:rPr>
          <w:rStyle w:val="Ttulo2Car"/>
          <w:b/>
          <w:color w:val="00642D"/>
          <w:sz w:val="22"/>
          <w:szCs w:val="22"/>
          <w:lang w:bidi="es-ES"/>
        </w:rPr>
        <w:t>: Indicadores de Resolución</w:t>
      </w:r>
      <w:r w:rsidR="00531D64" w:rsidRPr="00106C51">
        <w:rPr>
          <w:rStyle w:val="Ttulo2Car"/>
          <w:b/>
          <w:color w:val="00642D"/>
          <w:sz w:val="22"/>
          <w:szCs w:val="22"/>
          <w:lang w:bidi="es-ES"/>
        </w:rPr>
        <w:t xml:space="preserve"> </w:t>
      </w:r>
      <w:r w:rsidRPr="00106C51">
        <w:rPr>
          <w:rStyle w:val="Ttulo2Car"/>
          <w:b/>
          <w:color w:val="00642D"/>
          <w:sz w:val="22"/>
          <w:szCs w:val="22"/>
          <w:lang w:bidi="es-ES"/>
        </w:rPr>
        <w:t>202</w:t>
      </w:r>
      <w:r w:rsidR="004474DE">
        <w:rPr>
          <w:rStyle w:val="Ttulo2Car"/>
          <w:b/>
          <w:color w:val="00642D"/>
          <w:sz w:val="22"/>
          <w:szCs w:val="22"/>
          <w:lang w:bidi="es-ES"/>
        </w:rPr>
        <w:t>2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AC109E" w:rsidRPr="00106C51" w:rsidTr="00AC109E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AC109E" w:rsidRPr="00106C51" w:rsidRDefault="00AC109E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106C51">
              <w:rPr>
                <w:b/>
                <w:color w:val="FFFFFF" w:themeColor="background1"/>
              </w:rPr>
              <w:t>Indicadores de resolución</w:t>
            </w:r>
          </w:p>
        </w:tc>
        <w:tc>
          <w:tcPr>
            <w:tcW w:w="6322" w:type="dxa"/>
            <w:tcBorders>
              <w:left w:val="nil"/>
            </w:tcBorders>
          </w:tcPr>
          <w:p w:rsidR="00AC109E" w:rsidRPr="00106C51" w:rsidRDefault="00AC109E" w:rsidP="00AD1DBF">
            <w:pPr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Tasa de resolución (resoluciones expresas /solicitudes admitidas)</w:t>
            </w:r>
          </w:p>
        </w:tc>
        <w:tc>
          <w:tcPr>
            <w:tcW w:w="1559" w:type="dxa"/>
            <w:vAlign w:val="center"/>
          </w:tcPr>
          <w:p w:rsidR="00AC109E" w:rsidRPr="00106C51" w:rsidRDefault="00AC109E" w:rsidP="00AC109E">
            <w:pPr>
              <w:jc w:val="center"/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100,00</w:t>
            </w:r>
          </w:p>
        </w:tc>
      </w:tr>
      <w:tr w:rsidR="00AC109E" w:rsidRPr="00106C51" w:rsidTr="00AC109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AC109E" w:rsidRPr="00106C51" w:rsidRDefault="00AC109E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AC109E" w:rsidRPr="00106C51" w:rsidRDefault="00AC109E" w:rsidP="00FD5B21">
            <w:pPr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Porcentaje de resoluciones que conceden el acceso</w:t>
            </w:r>
          </w:p>
        </w:tc>
        <w:tc>
          <w:tcPr>
            <w:tcW w:w="1559" w:type="dxa"/>
            <w:vAlign w:val="center"/>
          </w:tcPr>
          <w:p w:rsidR="00AC109E" w:rsidRPr="00106C51" w:rsidRDefault="004474DE" w:rsidP="00AC1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C109E" w:rsidRPr="00106C51" w:rsidTr="00AC109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AC109E" w:rsidRPr="00106C51" w:rsidRDefault="00AC109E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AC109E" w:rsidRPr="00106C51" w:rsidRDefault="00AC109E" w:rsidP="00055B15">
            <w:pPr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Porcentaje de resoluciones que conceden acceso parcial</w:t>
            </w:r>
          </w:p>
        </w:tc>
        <w:tc>
          <w:tcPr>
            <w:tcW w:w="1559" w:type="dxa"/>
            <w:vAlign w:val="center"/>
          </w:tcPr>
          <w:p w:rsidR="00AC109E" w:rsidRPr="00106C51" w:rsidRDefault="00AC109E" w:rsidP="004474DE">
            <w:pPr>
              <w:jc w:val="center"/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31,</w:t>
            </w:r>
            <w:r w:rsidR="004474DE">
              <w:rPr>
                <w:sz w:val="20"/>
                <w:szCs w:val="20"/>
              </w:rPr>
              <w:t>03</w:t>
            </w:r>
          </w:p>
        </w:tc>
      </w:tr>
      <w:tr w:rsidR="00AC109E" w:rsidRPr="00106C51" w:rsidTr="00AC109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AC109E" w:rsidRPr="00106C51" w:rsidRDefault="00AC109E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AC109E" w:rsidRPr="00106C51" w:rsidRDefault="00AC109E" w:rsidP="00055B15">
            <w:pPr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Porcentaje de resoluciones que conceden acceso total</w:t>
            </w:r>
          </w:p>
        </w:tc>
        <w:tc>
          <w:tcPr>
            <w:tcW w:w="1559" w:type="dxa"/>
            <w:vAlign w:val="center"/>
          </w:tcPr>
          <w:p w:rsidR="00AC109E" w:rsidRPr="00106C51" w:rsidRDefault="00AC109E" w:rsidP="004474DE">
            <w:pPr>
              <w:jc w:val="center"/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68,</w:t>
            </w:r>
            <w:r w:rsidR="004474DE">
              <w:rPr>
                <w:sz w:val="20"/>
                <w:szCs w:val="20"/>
              </w:rPr>
              <w:t>97</w:t>
            </w:r>
          </w:p>
        </w:tc>
      </w:tr>
      <w:tr w:rsidR="00AC109E" w:rsidRPr="00106C51" w:rsidTr="00AC109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AC109E" w:rsidRPr="00106C51" w:rsidRDefault="00AC109E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AC109E" w:rsidRPr="00106C51" w:rsidRDefault="00AC109E" w:rsidP="00055B15">
            <w:pPr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Porcentaje de resoluciones que deniegan el acceso</w:t>
            </w:r>
          </w:p>
        </w:tc>
        <w:tc>
          <w:tcPr>
            <w:tcW w:w="1559" w:type="dxa"/>
            <w:vAlign w:val="center"/>
          </w:tcPr>
          <w:p w:rsidR="00AC109E" w:rsidRPr="00106C51" w:rsidRDefault="004474DE" w:rsidP="00AC1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</w:t>
            </w:r>
          </w:p>
        </w:tc>
      </w:tr>
      <w:tr w:rsidR="00AC109E" w:rsidRPr="00106C51" w:rsidTr="00AC109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AC109E" w:rsidRPr="00106C51" w:rsidRDefault="00AC109E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AC109E" w:rsidRPr="00106C51" w:rsidRDefault="00AC109E" w:rsidP="00055B15">
            <w:pPr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Porcentaje de resoluciones que finalizan por silencio administrativo</w:t>
            </w:r>
          </w:p>
        </w:tc>
        <w:tc>
          <w:tcPr>
            <w:tcW w:w="1559" w:type="dxa"/>
            <w:vAlign w:val="center"/>
          </w:tcPr>
          <w:p w:rsidR="00AC109E" w:rsidRPr="00106C51" w:rsidRDefault="00AC109E" w:rsidP="00AC109E">
            <w:pPr>
              <w:jc w:val="center"/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,00</w:t>
            </w:r>
          </w:p>
        </w:tc>
      </w:tr>
      <w:tr w:rsidR="00AC109E" w:rsidRPr="00706E04" w:rsidTr="00AC109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AC109E" w:rsidRPr="00106C51" w:rsidRDefault="00AC109E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AC109E" w:rsidRPr="00106C51" w:rsidRDefault="00AC109E" w:rsidP="00F7263F">
            <w:pPr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Porcentaje de solicitudes finalizadas por desistimiento y otras causas</w:t>
            </w:r>
          </w:p>
        </w:tc>
        <w:tc>
          <w:tcPr>
            <w:tcW w:w="1559" w:type="dxa"/>
            <w:vAlign w:val="center"/>
          </w:tcPr>
          <w:p w:rsidR="00AC109E" w:rsidRPr="00AC109E" w:rsidRDefault="004474DE" w:rsidP="00AC1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</w:t>
            </w:r>
          </w:p>
        </w:tc>
      </w:tr>
    </w:tbl>
    <w:p w:rsidR="00055B15" w:rsidRDefault="00055B15" w:rsidP="00B812AB"/>
    <w:p w:rsidR="00B812AB" w:rsidRPr="00E34195" w:rsidRDefault="008C65F8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Default="004F28AF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El CSIC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cuenta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en su Portal de Transparencia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con un apartado específico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las solicitudes de acceso a información pública de la entidad. En consecuencia,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>se informa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de los ciudadanos a solicitar información pública del Consorcio, al amparo de la LTAIBG y tampoco se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informa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los medios habilitados para la presentación de solicitudes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, ni sobre los requisitos exigidos para la presentación de estas solicitudes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B40246" w:rsidRPr="00E34195" w:rsidRDefault="008C65F8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1E1C29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5C4D89">
        <w:rPr>
          <w:color w:val="auto"/>
          <w:lang w:bidi="es-ES"/>
        </w:rPr>
        <w:t xml:space="preserve">Con fecha </w:t>
      </w:r>
      <w:r w:rsidR="004F28AF">
        <w:rPr>
          <w:color w:val="auto"/>
          <w:lang w:bidi="es-ES"/>
        </w:rPr>
        <w:t>0</w:t>
      </w:r>
      <w:r w:rsidR="00CB13F4">
        <w:rPr>
          <w:color w:val="auto"/>
          <w:lang w:bidi="es-ES"/>
        </w:rPr>
        <w:t>4</w:t>
      </w:r>
      <w:r w:rsidR="00FC2FB9">
        <w:rPr>
          <w:color w:val="auto"/>
          <w:lang w:bidi="es-ES"/>
        </w:rPr>
        <w:t>/0</w:t>
      </w:r>
      <w:r w:rsidR="00E57E17">
        <w:rPr>
          <w:color w:val="auto"/>
          <w:lang w:bidi="es-ES"/>
        </w:rPr>
        <w:t>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8839AB">
        <w:rPr>
          <w:color w:val="auto"/>
          <w:lang w:bidi="es-ES"/>
        </w:rPr>
        <w:t>3</w:t>
      </w:r>
      <w:r>
        <w:rPr>
          <w:color w:val="auto"/>
          <w:lang w:bidi="es-ES"/>
        </w:rPr>
        <w:t xml:space="preserve"> se presentó </w:t>
      </w:r>
      <w:r w:rsidR="00904E47">
        <w:rPr>
          <w:color w:val="auto"/>
          <w:lang w:bidi="es-ES"/>
        </w:rPr>
        <w:t xml:space="preserve">a través </w:t>
      </w:r>
      <w:r w:rsidR="00E57E17">
        <w:rPr>
          <w:color w:val="auto"/>
          <w:lang w:bidi="es-ES"/>
        </w:rPr>
        <w:t xml:space="preserve">del </w:t>
      </w:r>
      <w:r w:rsidR="008839AB">
        <w:rPr>
          <w:color w:val="auto"/>
          <w:lang w:bidi="es-ES"/>
        </w:rPr>
        <w:t>Registro Electrónico General</w:t>
      </w:r>
      <w:r w:rsidR="004F28AF">
        <w:rPr>
          <w:color w:val="auto"/>
          <w:lang w:bidi="es-ES"/>
        </w:rPr>
        <w:t>,</w:t>
      </w:r>
      <w:r w:rsidR="00E57E17">
        <w:rPr>
          <w:color w:val="auto"/>
          <w:lang w:bidi="es-ES"/>
        </w:rPr>
        <w:t xml:space="preserve"> una solicitud de acceso a información pública de la entidad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E57E17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CB13F4">
        <w:rPr>
          <w:color w:val="auto"/>
          <w:lang w:bidi="es-ES"/>
        </w:rPr>
        <w:t>No</w:t>
      </w:r>
      <w:r w:rsidR="00B108F0" w:rsidRPr="00CB13F4">
        <w:rPr>
          <w:color w:val="auto"/>
          <w:lang w:bidi="es-ES"/>
        </w:rPr>
        <w:t xml:space="preserve"> se</w:t>
      </w:r>
      <w:r w:rsidR="00F34803" w:rsidRPr="00CB13F4">
        <w:rPr>
          <w:color w:val="auto"/>
          <w:lang w:bidi="es-ES"/>
        </w:rPr>
        <w:t xml:space="preserve"> </w:t>
      </w:r>
      <w:r w:rsidR="00904E47" w:rsidRPr="00CB13F4">
        <w:rPr>
          <w:color w:val="auto"/>
          <w:lang w:bidi="es-ES"/>
        </w:rPr>
        <w:t xml:space="preserve">comunica el </w:t>
      </w:r>
      <w:r w:rsidR="00F34803" w:rsidRPr="00CB13F4">
        <w:rPr>
          <w:color w:val="auto"/>
          <w:lang w:bidi="es-ES"/>
        </w:rPr>
        <w:t>inicio de la tramitación de la solicitud.</w:t>
      </w:r>
      <w:r w:rsidR="00F34803">
        <w:rPr>
          <w:color w:val="auto"/>
          <w:lang w:bidi="es-ES"/>
        </w:rPr>
        <w:t xml:space="preserve">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Pr="00CB13F4" w:rsidRDefault="00CB13F4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No s</w:t>
      </w:r>
      <w:r w:rsidR="00AC715D" w:rsidRPr="00CB13F4">
        <w:rPr>
          <w:color w:val="auto"/>
          <w:lang w:bidi="es-ES"/>
        </w:rPr>
        <w:t>e</w:t>
      </w:r>
      <w:r w:rsidR="00626819" w:rsidRPr="00CB13F4">
        <w:rPr>
          <w:color w:val="auto"/>
          <w:lang w:bidi="es-ES"/>
        </w:rPr>
        <w:t xml:space="preserve"> dicta </w:t>
      </w:r>
      <w:r w:rsidR="00F34803" w:rsidRPr="00CB13F4">
        <w:rPr>
          <w:color w:val="auto"/>
          <w:lang w:bidi="es-ES"/>
        </w:rPr>
        <w:t>resolución</w:t>
      </w:r>
      <w:r>
        <w:rPr>
          <w:color w:val="auto"/>
          <w:lang w:bidi="es-ES"/>
        </w:rPr>
        <w:t>. C</w:t>
      </w:r>
      <w:r w:rsidR="00AC715D" w:rsidRPr="00CB13F4">
        <w:rPr>
          <w:color w:val="auto"/>
          <w:lang w:bidi="es-ES"/>
        </w:rPr>
        <w:t xml:space="preserve">on fecha </w:t>
      </w:r>
      <w:r>
        <w:rPr>
          <w:color w:val="auto"/>
          <w:lang w:bidi="es-ES"/>
        </w:rPr>
        <w:t>04/05/2021 mediante correo electrónico, la Unidad de Calidad e Innovación del CSIC, proporciona la información que se había solicitado, lo que parece indicar que la solicitud presentada, no se había identificado como una solicitud de acceso a información pública del CSIC, al amparo de la LTAIBG.</w:t>
      </w:r>
    </w:p>
    <w:p w:rsidR="003A260E" w:rsidRDefault="003A260E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IV.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</w:t>
          </w:r>
          <w:r w:rsidR="005D006A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4474DE" w:rsidRDefault="004474DE" w:rsidP="004474DE">
      <w:pPr>
        <w:pStyle w:val="Cuerpodelboletn"/>
        <w:spacing w:before="120" w:after="120" w:line="276" w:lineRule="auto"/>
        <w:ind w:left="425"/>
      </w:pPr>
      <w:r>
        <w:rPr>
          <w:color w:val="auto"/>
        </w:rPr>
        <w:t>El CTBG ha recibido un total de cinco reclamaciones contra resoluciones del CSIC en materia de acceso a la información pública. De ellas, tres fueron estimadas</w:t>
      </w:r>
      <w:r w:rsidRPr="004A133A">
        <w:t xml:space="preserve"> –</w:t>
      </w:r>
      <w:r>
        <w:t xml:space="preserve"> una de ellas de manera parcial y en otro caso el CSIC dio acceso a la información antes de finalizar el procedimiento de reclamación</w:t>
      </w:r>
      <w:r w:rsidRPr="004A133A">
        <w:t xml:space="preserve"> -</w:t>
      </w:r>
      <w:r>
        <w:t xml:space="preserve">, una fue desestimada y otra inadmitida. </w:t>
      </w:r>
    </w:p>
    <w:p w:rsidR="004474DE" w:rsidRDefault="008C65F8" w:rsidP="004474DE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>EL CSIC</w:t>
      </w:r>
      <w:r w:rsidR="004474DE">
        <w:rPr>
          <w:color w:val="auto"/>
        </w:rPr>
        <w:t xml:space="preserve"> presentó recurso contencioso-administrativo contra una de las resoluciones favorables a los reclamantes, lo que sitúa la tasa de litigiosidad en el 33,3%. La sentencia dictada, que ha adquirido firmeza, fue favorable al CTBG. </w:t>
      </w:r>
    </w:p>
    <w:p w:rsidR="004474DE" w:rsidRDefault="004474DE" w:rsidP="004474DE">
      <w:pPr>
        <w:pStyle w:val="Cuerpodelboletn"/>
        <w:spacing w:before="120" w:after="120" w:line="276" w:lineRule="auto"/>
        <w:ind w:left="425"/>
        <w:rPr>
          <w:color w:val="auto"/>
        </w:rPr>
      </w:pPr>
    </w:p>
    <w:tbl>
      <w:tblPr>
        <w:tblStyle w:val="Tablaconcuadrcula3"/>
        <w:tblW w:w="0" w:type="auto"/>
        <w:tblInd w:w="959" w:type="dxa"/>
        <w:tblLook w:val="04A0" w:firstRow="1" w:lastRow="0" w:firstColumn="1" w:lastColumn="0" w:noHBand="0" w:noVBand="1"/>
      </w:tblPr>
      <w:tblGrid>
        <w:gridCol w:w="1132"/>
        <w:gridCol w:w="4013"/>
        <w:gridCol w:w="1756"/>
        <w:gridCol w:w="1427"/>
      </w:tblGrid>
      <w:tr w:rsidR="004474DE" w:rsidRPr="00871B3A" w:rsidTr="004474DE">
        <w:tc>
          <w:tcPr>
            <w:tcW w:w="1132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007635"/>
            <w:textDirection w:val="btLr"/>
          </w:tcPr>
          <w:p w:rsidR="004474DE" w:rsidRPr="00871B3A" w:rsidRDefault="004474DE" w:rsidP="004474DE">
            <w:pPr>
              <w:ind w:left="113" w:right="113"/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4474DE" w:rsidRPr="00871B3A" w:rsidRDefault="004474DE" w:rsidP="004474DE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 la entidad recurridas ante el CTBG</w:t>
            </w:r>
          </w:p>
        </w:tc>
        <w:tc>
          <w:tcPr>
            <w:tcW w:w="1427" w:type="dxa"/>
            <w:vAlign w:val="center"/>
          </w:tcPr>
          <w:p w:rsidR="004474DE" w:rsidRPr="00871B3A" w:rsidRDefault="004474DE" w:rsidP="004474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474DE" w:rsidRPr="00871B3A" w:rsidTr="004474DE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4474DE" w:rsidRPr="00871B3A" w:rsidRDefault="004474DE" w:rsidP="004474DE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</w:tcPr>
          <w:p w:rsidR="004474DE" w:rsidRPr="00871B3A" w:rsidRDefault="004474DE" w:rsidP="004474DE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del CTBG favorables a la entidad</w:t>
            </w:r>
          </w:p>
        </w:tc>
        <w:tc>
          <w:tcPr>
            <w:tcW w:w="1756" w:type="dxa"/>
            <w:tcBorders>
              <w:left w:val="nil"/>
            </w:tcBorders>
          </w:tcPr>
          <w:p w:rsidR="004474DE" w:rsidRPr="00871B3A" w:rsidRDefault="004474DE" w:rsidP="004474DE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</w:t>
            </w:r>
          </w:p>
        </w:tc>
        <w:tc>
          <w:tcPr>
            <w:tcW w:w="1427" w:type="dxa"/>
            <w:vAlign w:val="center"/>
          </w:tcPr>
          <w:p w:rsidR="004474DE" w:rsidRPr="00871B3A" w:rsidRDefault="004474DE" w:rsidP="004474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4474DE" w:rsidRPr="00871B3A" w:rsidTr="004474DE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4474DE" w:rsidRPr="00871B3A" w:rsidRDefault="004474DE" w:rsidP="004474DE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4474DE" w:rsidRPr="00871B3A" w:rsidRDefault="004474DE" w:rsidP="004474D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4474DE" w:rsidRPr="00871B3A" w:rsidRDefault="004474DE" w:rsidP="004474DE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4474DE" w:rsidRPr="00871B3A" w:rsidRDefault="004474DE" w:rsidP="004474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</w:t>
            </w:r>
          </w:p>
        </w:tc>
      </w:tr>
      <w:tr w:rsidR="004474DE" w:rsidRPr="00871B3A" w:rsidTr="004474DE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4474DE" w:rsidRPr="00871B3A" w:rsidRDefault="004474DE" w:rsidP="004474DE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</w:tcPr>
          <w:p w:rsidR="004474DE" w:rsidRPr="00871B3A" w:rsidRDefault="004474DE" w:rsidP="004474DE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del CTBG favorables a los reclamantes</w:t>
            </w:r>
          </w:p>
        </w:tc>
        <w:tc>
          <w:tcPr>
            <w:tcW w:w="1756" w:type="dxa"/>
            <w:tcBorders>
              <w:left w:val="nil"/>
            </w:tcBorders>
          </w:tcPr>
          <w:p w:rsidR="004474DE" w:rsidRPr="00871B3A" w:rsidRDefault="004474DE" w:rsidP="004474DE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</w:t>
            </w:r>
          </w:p>
        </w:tc>
        <w:tc>
          <w:tcPr>
            <w:tcW w:w="1427" w:type="dxa"/>
            <w:vAlign w:val="center"/>
          </w:tcPr>
          <w:p w:rsidR="004474DE" w:rsidRPr="00871B3A" w:rsidRDefault="004474DE" w:rsidP="004474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4474DE" w:rsidRPr="00871B3A" w:rsidTr="004474DE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4474DE" w:rsidRPr="00871B3A" w:rsidRDefault="004474DE" w:rsidP="004474DE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4474DE" w:rsidRPr="00871B3A" w:rsidRDefault="004474DE" w:rsidP="004474D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4474DE" w:rsidRPr="00871B3A" w:rsidRDefault="004474DE" w:rsidP="004474DE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4474DE" w:rsidRPr="00871B3A" w:rsidRDefault="004474DE" w:rsidP="004474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75,0</w:t>
            </w:r>
          </w:p>
        </w:tc>
      </w:tr>
      <w:tr w:rsidR="004474DE" w:rsidRPr="00871B3A" w:rsidTr="004474DE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4474DE" w:rsidRPr="00871B3A" w:rsidRDefault="004474DE" w:rsidP="004474DE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4474DE" w:rsidRPr="00871B3A" w:rsidRDefault="004474DE" w:rsidP="004474DE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del CTBG favorables a los reclamantes recurridas ante la jurisdicción contencioso-administrativa</w:t>
            </w:r>
          </w:p>
        </w:tc>
        <w:tc>
          <w:tcPr>
            <w:tcW w:w="1427" w:type="dxa"/>
            <w:vAlign w:val="center"/>
          </w:tcPr>
          <w:p w:rsidR="004474DE" w:rsidRPr="00871B3A" w:rsidRDefault="004474DE" w:rsidP="004474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4474DE" w:rsidRPr="00871B3A" w:rsidTr="004474DE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4474DE" w:rsidRPr="00871B3A" w:rsidRDefault="004474DE" w:rsidP="004474DE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4474DE" w:rsidRPr="00871B3A" w:rsidRDefault="004474DE" w:rsidP="004474DE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Tasa de litigiosidad</w:t>
            </w:r>
          </w:p>
        </w:tc>
        <w:tc>
          <w:tcPr>
            <w:tcW w:w="1427" w:type="dxa"/>
            <w:vAlign w:val="center"/>
          </w:tcPr>
          <w:p w:rsidR="004474DE" w:rsidRPr="00871B3A" w:rsidRDefault="004474DE" w:rsidP="004474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33,3</w:t>
            </w:r>
          </w:p>
        </w:tc>
      </w:tr>
      <w:tr w:rsidR="004474DE" w:rsidRPr="00871B3A" w:rsidTr="004474DE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4474DE" w:rsidRPr="00871B3A" w:rsidRDefault="004474DE" w:rsidP="004474DE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  <w:vAlign w:val="center"/>
          </w:tcPr>
          <w:p w:rsidR="004474DE" w:rsidRPr="00871B3A" w:rsidRDefault="004474DE" w:rsidP="004474DE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Sentencias firmes favorables al CTBG</w:t>
            </w:r>
          </w:p>
        </w:tc>
        <w:tc>
          <w:tcPr>
            <w:tcW w:w="1756" w:type="dxa"/>
            <w:tcBorders>
              <w:left w:val="nil"/>
            </w:tcBorders>
          </w:tcPr>
          <w:p w:rsidR="004474DE" w:rsidRPr="00871B3A" w:rsidRDefault="004474DE" w:rsidP="004474DE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 xml:space="preserve">Nº </w:t>
            </w:r>
          </w:p>
        </w:tc>
        <w:tc>
          <w:tcPr>
            <w:tcW w:w="1427" w:type="dxa"/>
            <w:vAlign w:val="center"/>
          </w:tcPr>
          <w:p w:rsidR="004474DE" w:rsidRPr="00871B3A" w:rsidRDefault="004474DE" w:rsidP="004474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4474DE" w:rsidRPr="00871B3A" w:rsidTr="004474DE">
        <w:trPr>
          <w:trHeight w:val="113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4474DE" w:rsidRPr="00871B3A" w:rsidRDefault="004474DE" w:rsidP="004474DE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  <w:vAlign w:val="center"/>
          </w:tcPr>
          <w:p w:rsidR="004474DE" w:rsidRPr="00871B3A" w:rsidRDefault="004474DE" w:rsidP="004474D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4474DE" w:rsidRPr="00871B3A" w:rsidRDefault="004474DE" w:rsidP="004474DE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4474DE" w:rsidRPr="00871B3A" w:rsidRDefault="004474DE" w:rsidP="004474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4474DE" w:rsidRPr="00871B3A" w:rsidTr="004474DE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4474DE" w:rsidRPr="00871B3A" w:rsidRDefault="004474DE" w:rsidP="004474DE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  <w:vAlign w:val="center"/>
          </w:tcPr>
          <w:p w:rsidR="004474DE" w:rsidRPr="00871B3A" w:rsidRDefault="004474DE" w:rsidP="004474DE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Sentencias firmes favorables a la entidad</w:t>
            </w:r>
          </w:p>
        </w:tc>
        <w:tc>
          <w:tcPr>
            <w:tcW w:w="1756" w:type="dxa"/>
            <w:tcBorders>
              <w:left w:val="nil"/>
            </w:tcBorders>
          </w:tcPr>
          <w:p w:rsidR="004474DE" w:rsidRPr="00871B3A" w:rsidRDefault="004474DE" w:rsidP="004474DE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 xml:space="preserve">Nº </w:t>
            </w:r>
          </w:p>
        </w:tc>
        <w:tc>
          <w:tcPr>
            <w:tcW w:w="1427" w:type="dxa"/>
            <w:vAlign w:val="center"/>
          </w:tcPr>
          <w:p w:rsidR="004474DE" w:rsidRPr="00871B3A" w:rsidRDefault="004474DE" w:rsidP="004474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4474DE" w:rsidRPr="00871B3A" w:rsidTr="004474DE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4474DE" w:rsidRPr="00871B3A" w:rsidRDefault="004474DE" w:rsidP="004474DE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4474DE" w:rsidRPr="00871B3A" w:rsidRDefault="004474DE" w:rsidP="004474D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4474DE" w:rsidRPr="00871B3A" w:rsidRDefault="004474DE" w:rsidP="004474DE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4474DE" w:rsidRPr="00871B3A" w:rsidRDefault="004474DE" w:rsidP="004474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4474DE" w:rsidRDefault="004474DE" w:rsidP="004474DE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1F251B" w:rsidRPr="00256215" w:rsidRDefault="008C65F8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4474DE" w:rsidRDefault="004474DE" w:rsidP="004474DE">
      <w:pPr>
        <w:ind w:left="426"/>
        <w:jc w:val="both"/>
      </w:pPr>
      <w:r>
        <w:t xml:space="preserve">Aunque el CSIC no tienen un espacio específico para la presentación de las solicitudes de acceso, </w:t>
      </w:r>
      <w:proofErr w:type="spellStart"/>
      <w:r>
        <w:t>si</w:t>
      </w:r>
      <w:proofErr w:type="spellEnd"/>
      <w:r>
        <w:t xml:space="preserve"> que cabe señalar como buena práctica, la publicación de todas las resoluciones relativas a solicitudes de acceso a información pública de la Agencia. </w:t>
      </w:r>
    </w:p>
    <w:p w:rsidR="00BF7B73" w:rsidRDefault="00BF7B73" w:rsidP="004474DE">
      <w:pPr>
        <w:ind w:left="426"/>
        <w:jc w:val="both"/>
      </w:pPr>
    </w:p>
    <w:p w:rsidR="00256215" w:rsidRDefault="008C65F8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BB63C9" w:rsidRPr="005D006A" w:rsidRDefault="003D664B" w:rsidP="003D664B">
      <w:pPr>
        <w:pStyle w:val="Prrafodelista"/>
        <w:ind w:left="644"/>
        <w:jc w:val="both"/>
        <w:rPr>
          <w:bCs/>
          <w:highlight w:val="yellow"/>
        </w:rPr>
      </w:pPr>
      <w:r>
        <w:rPr>
          <w:bCs/>
        </w:rPr>
        <w:t xml:space="preserve">La UIT del Ministerio de Ciencia e Innovación, tramita </w:t>
      </w:r>
      <w:r w:rsidR="00F34803" w:rsidRPr="003D664B">
        <w:rPr>
          <w:bCs/>
        </w:rPr>
        <w:t xml:space="preserve"> </w:t>
      </w:r>
      <w:r>
        <w:rPr>
          <w:bCs/>
        </w:rPr>
        <w:t xml:space="preserve">más del 78% de las solicitudes de información dirigidas al CSIC y admite </w:t>
      </w:r>
      <w:r w:rsidR="00D74E79" w:rsidRPr="003D664B">
        <w:rPr>
          <w:bCs/>
        </w:rPr>
        <w:t xml:space="preserve"> </w:t>
      </w:r>
      <w:r>
        <w:rPr>
          <w:bCs/>
        </w:rPr>
        <w:t xml:space="preserve">casi el 81% de ellas. </w:t>
      </w:r>
    </w:p>
    <w:p w:rsidR="003D664B" w:rsidRDefault="003D664B" w:rsidP="00BB63C9">
      <w:pPr>
        <w:pStyle w:val="Prrafodelista"/>
        <w:ind w:left="426"/>
        <w:jc w:val="both"/>
        <w:rPr>
          <w:bCs/>
          <w:highlight w:val="yellow"/>
        </w:rPr>
      </w:pPr>
    </w:p>
    <w:p w:rsidR="00BB63C9" w:rsidRPr="005358B1" w:rsidRDefault="00BB63C9" w:rsidP="003D664B">
      <w:pPr>
        <w:pStyle w:val="Prrafodelista"/>
        <w:ind w:left="709"/>
        <w:jc w:val="both"/>
        <w:rPr>
          <w:bCs/>
        </w:rPr>
      </w:pPr>
      <w:r w:rsidRPr="003D664B">
        <w:rPr>
          <w:bCs/>
        </w:rPr>
        <w:t xml:space="preserve">Por lo que respecta a las resoluciones, se emite resolución expresa para la totalidad de las solicitudes admitidas, concediendo el acceso total a la información solicitada en el </w:t>
      </w:r>
      <w:r w:rsidR="003D664B">
        <w:rPr>
          <w:bCs/>
        </w:rPr>
        <w:t>69</w:t>
      </w:r>
      <w:r w:rsidRPr="003D664B">
        <w:rPr>
          <w:bCs/>
        </w:rPr>
        <w:t xml:space="preserve">% de los casos. 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5D006A" w:rsidRDefault="008C65F8" w:rsidP="005D006A">
      <w:pPr>
        <w:pStyle w:val="Prrafodelista"/>
        <w:ind w:left="644"/>
        <w:jc w:val="both"/>
        <w:rPr>
          <w:bCs/>
        </w:rPr>
      </w:pPr>
      <w:r>
        <w:rPr>
          <w:bCs/>
        </w:rPr>
        <w:t>El</w:t>
      </w:r>
      <w:r w:rsidR="003D664B">
        <w:rPr>
          <w:bCs/>
        </w:rPr>
        <w:t xml:space="preserve"> CSIC</w:t>
      </w:r>
      <w:r w:rsidR="005D006A" w:rsidRPr="00D74E79">
        <w:rPr>
          <w:bCs/>
        </w:rPr>
        <w:t xml:space="preserve"> publica las resoluciones que deniegan el acceso a la información en aplicación</w:t>
      </w:r>
      <w:r w:rsidR="003D664B">
        <w:rPr>
          <w:bCs/>
        </w:rPr>
        <w:t xml:space="preserve"> de los límites del artículo 14, dando cum</w:t>
      </w:r>
      <w:bookmarkStart w:id="0" w:name="_GoBack"/>
      <w:bookmarkEnd w:id="0"/>
      <w:r w:rsidR="003D664B">
        <w:rPr>
          <w:bCs/>
        </w:rPr>
        <w:t>plimiento a lo dispuesto en el artículo 14.3 de la LTAIBG.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5D006A" w:rsidRDefault="00F34803" w:rsidP="003D664B">
      <w:pPr>
        <w:pStyle w:val="Prrafodelista"/>
        <w:ind w:left="644"/>
        <w:jc w:val="both"/>
      </w:pPr>
      <w:r>
        <w:t xml:space="preserve">Como se ha indicado, </w:t>
      </w:r>
      <w:r w:rsidR="003D664B">
        <w:t>el CSIC</w:t>
      </w:r>
      <w:r w:rsidR="005D006A">
        <w:t xml:space="preserve"> no dispone de un espacio en su web institucional que facilite el ejercicio del derecho de acceso a la información. No se informa sobre la posibilidad de que los ciudadanos efectúen solicitudes de acceso a información pública dirigidas a la entidad y tampoco sobre los medios de presentación de solicitudes, requisitos ni sobre el procedimiento. </w:t>
      </w:r>
    </w:p>
    <w:p w:rsidR="005D006A" w:rsidRDefault="005D006A" w:rsidP="005D006A">
      <w:pPr>
        <w:pStyle w:val="Prrafodelista"/>
        <w:ind w:left="644"/>
        <w:jc w:val="both"/>
      </w:pPr>
    </w:p>
    <w:p w:rsidR="003D664B" w:rsidRDefault="003D664B" w:rsidP="005D006A">
      <w:pPr>
        <w:pStyle w:val="Prrafodelista"/>
        <w:ind w:left="644"/>
        <w:jc w:val="both"/>
      </w:pPr>
      <w:r>
        <w:t>Por otra parte, a partir de la información facilitada por el CSIC, puede deducirse que el canal de presentación de las solicitudes de acceso a información pública de la Agencia es el Portal de Transparencia, aunque no se informa sobre esta cuestión en el Portal de Transparencia del CSIC.</w:t>
      </w:r>
    </w:p>
    <w:p w:rsidR="00D07F33" w:rsidRDefault="005D006A" w:rsidP="00D07F33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</w:t>
      </w:r>
      <w:r w:rsidR="003D664B">
        <w:t>l</w:t>
      </w:r>
      <w:r w:rsidRPr="008D4B85">
        <w:t xml:space="preserve"> </w:t>
      </w:r>
      <w:r w:rsidR="003D664B">
        <w:t>CSIC</w:t>
      </w:r>
      <w:r w:rsidRPr="008D4B85">
        <w:t xml:space="preserve">. </w:t>
      </w:r>
    </w:p>
    <w:p w:rsidR="00D07F33" w:rsidRDefault="00D07F33" w:rsidP="00D07F33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5D006A" w:rsidRPr="008D4B85" w:rsidRDefault="003D664B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>
        <w:t xml:space="preserve">Por otra parte, el hecho de que se habilite un solo canal de presentación – en este caso el Portal de Transparencia de la AGE -, </w:t>
      </w:r>
      <w:r w:rsidR="00D07F33">
        <w:t xml:space="preserve">no impide que una solicitud de información se dirija al CSIC a través de los medios de contacto entre administraciones y ciudadanos, establecidos por la </w:t>
      </w:r>
      <w:r w:rsidR="00D07F33" w:rsidRPr="009D7822">
        <w:t>Ley 39/2015</w:t>
      </w:r>
      <w:r w:rsidR="00D07F33">
        <w:t>.</w:t>
      </w:r>
    </w:p>
    <w:p w:rsidR="00F900E1" w:rsidRDefault="00F900E1" w:rsidP="005D006A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E541AF" w:rsidRPr="00D07F33" w:rsidRDefault="00F34803" w:rsidP="00D07F33">
      <w:pPr>
        <w:pStyle w:val="Prrafodelista"/>
        <w:ind w:left="426"/>
        <w:jc w:val="both"/>
      </w:pPr>
      <w:r w:rsidRPr="00D07F33">
        <w:t>La gestión de la solicitud de acceso presentada</w:t>
      </w:r>
      <w:r w:rsidR="00D07F33">
        <w:t xml:space="preserve"> no</w:t>
      </w:r>
      <w:r w:rsidRPr="00D07F33">
        <w:t xml:space="preserve"> se ha ajustado al procedimiento establecido po</w:t>
      </w:r>
      <w:r w:rsidR="00A915A2" w:rsidRPr="00D07F33">
        <w:t>r la LTAIBG.</w:t>
      </w:r>
      <w:r w:rsidR="00D07F33">
        <w:t xml:space="preserve"> Se ha recibido un correo electrónico, remitido por la unidad de calidad e innovación, que contiene la información solicitada. Todo ello parece indicar que la solicitud de información no ha sido identificada como una solicitud de acceso a información de la entidad al amparo de la LTAIBG.  </w:t>
      </w:r>
      <w:r w:rsidR="00A915A2" w:rsidRPr="00D07F33">
        <w:t xml:space="preserve"> </w:t>
      </w:r>
    </w:p>
    <w:sectPr w:rsidR="00E541AF" w:rsidRPr="00D07F33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4B" w:rsidRDefault="003D664B" w:rsidP="00932008">
      <w:pPr>
        <w:spacing w:after="0" w:line="240" w:lineRule="auto"/>
      </w:pPr>
      <w:r>
        <w:separator/>
      </w:r>
    </w:p>
  </w:endnote>
  <w:endnote w:type="continuationSeparator" w:id="0">
    <w:p w:rsidR="003D664B" w:rsidRDefault="003D664B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D664B" w:rsidRPr="00C533E7" w:rsidRDefault="003D664B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8C65F8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3D664B" w:rsidRDefault="003D66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4B" w:rsidRDefault="003D664B" w:rsidP="00932008">
      <w:pPr>
        <w:spacing w:after="0" w:line="240" w:lineRule="auto"/>
      </w:pPr>
      <w:r>
        <w:separator/>
      </w:r>
    </w:p>
  </w:footnote>
  <w:footnote w:type="continuationSeparator" w:id="0">
    <w:p w:rsidR="003D664B" w:rsidRDefault="003D664B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1919A2"/>
    <w:multiLevelType w:val="hybridMultilevel"/>
    <w:tmpl w:val="6F6C210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76680"/>
    <w:rsid w:val="000965B3"/>
    <w:rsid w:val="000A1C07"/>
    <w:rsid w:val="000B0A0D"/>
    <w:rsid w:val="000B2A81"/>
    <w:rsid w:val="000C6CFF"/>
    <w:rsid w:val="00102733"/>
    <w:rsid w:val="00106C51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41D7A"/>
    <w:rsid w:val="00255A7E"/>
    <w:rsid w:val="00256215"/>
    <w:rsid w:val="002615D8"/>
    <w:rsid w:val="0026281C"/>
    <w:rsid w:val="002A154B"/>
    <w:rsid w:val="002A34B3"/>
    <w:rsid w:val="002A479C"/>
    <w:rsid w:val="002E0A33"/>
    <w:rsid w:val="003145AD"/>
    <w:rsid w:val="00334115"/>
    <w:rsid w:val="00340559"/>
    <w:rsid w:val="00341F8F"/>
    <w:rsid w:val="0038280F"/>
    <w:rsid w:val="003A260E"/>
    <w:rsid w:val="003B5288"/>
    <w:rsid w:val="003C4A6C"/>
    <w:rsid w:val="003D664B"/>
    <w:rsid w:val="003F271E"/>
    <w:rsid w:val="003F572A"/>
    <w:rsid w:val="00411640"/>
    <w:rsid w:val="004474DE"/>
    <w:rsid w:val="00447511"/>
    <w:rsid w:val="004537FB"/>
    <w:rsid w:val="004A123A"/>
    <w:rsid w:val="004A133A"/>
    <w:rsid w:val="004A706B"/>
    <w:rsid w:val="004B4DC3"/>
    <w:rsid w:val="004D6E73"/>
    <w:rsid w:val="004F2655"/>
    <w:rsid w:val="004F28AF"/>
    <w:rsid w:val="00531D64"/>
    <w:rsid w:val="005446A8"/>
    <w:rsid w:val="00561402"/>
    <w:rsid w:val="0057532F"/>
    <w:rsid w:val="00577A83"/>
    <w:rsid w:val="00595AAF"/>
    <w:rsid w:val="005A0354"/>
    <w:rsid w:val="005A2AD2"/>
    <w:rsid w:val="005B1F0E"/>
    <w:rsid w:val="005B3C15"/>
    <w:rsid w:val="005D006A"/>
    <w:rsid w:val="005E37C8"/>
    <w:rsid w:val="005F1157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932E6"/>
    <w:rsid w:val="007B0F99"/>
    <w:rsid w:val="007B1EF0"/>
    <w:rsid w:val="007C57AB"/>
    <w:rsid w:val="007C5F74"/>
    <w:rsid w:val="007D6B40"/>
    <w:rsid w:val="007F4BBB"/>
    <w:rsid w:val="00815659"/>
    <w:rsid w:val="008207D9"/>
    <w:rsid w:val="00832D4F"/>
    <w:rsid w:val="00833900"/>
    <w:rsid w:val="00844FA9"/>
    <w:rsid w:val="008839AB"/>
    <w:rsid w:val="008C1E1E"/>
    <w:rsid w:val="008C65F8"/>
    <w:rsid w:val="00904E47"/>
    <w:rsid w:val="00923092"/>
    <w:rsid w:val="009239D9"/>
    <w:rsid w:val="00930638"/>
    <w:rsid w:val="00932008"/>
    <w:rsid w:val="009609E9"/>
    <w:rsid w:val="0096522C"/>
    <w:rsid w:val="00983919"/>
    <w:rsid w:val="009913A5"/>
    <w:rsid w:val="009C4B71"/>
    <w:rsid w:val="00A41DD5"/>
    <w:rsid w:val="00A544D3"/>
    <w:rsid w:val="00A55923"/>
    <w:rsid w:val="00A8003E"/>
    <w:rsid w:val="00A915A2"/>
    <w:rsid w:val="00AB4742"/>
    <w:rsid w:val="00AC109E"/>
    <w:rsid w:val="00AC715D"/>
    <w:rsid w:val="00AC7259"/>
    <w:rsid w:val="00AD1B67"/>
    <w:rsid w:val="00AD1DBF"/>
    <w:rsid w:val="00AE1CBE"/>
    <w:rsid w:val="00AE788F"/>
    <w:rsid w:val="00AF6C5C"/>
    <w:rsid w:val="00B108F0"/>
    <w:rsid w:val="00B31C4E"/>
    <w:rsid w:val="00B378E2"/>
    <w:rsid w:val="00B40246"/>
    <w:rsid w:val="00B5583D"/>
    <w:rsid w:val="00B812AB"/>
    <w:rsid w:val="00B841AE"/>
    <w:rsid w:val="00B84669"/>
    <w:rsid w:val="00BA266E"/>
    <w:rsid w:val="00BB63C9"/>
    <w:rsid w:val="00BB6799"/>
    <w:rsid w:val="00BD41F9"/>
    <w:rsid w:val="00BD4582"/>
    <w:rsid w:val="00BE6A46"/>
    <w:rsid w:val="00BF5EDE"/>
    <w:rsid w:val="00BF7B73"/>
    <w:rsid w:val="00C02768"/>
    <w:rsid w:val="00C25AF5"/>
    <w:rsid w:val="00C33A23"/>
    <w:rsid w:val="00C34BB5"/>
    <w:rsid w:val="00C4479B"/>
    <w:rsid w:val="00C533E7"/>
    <w:rsid w:val="00C5744D"/>
    <w:rsid w:val="00C627FB"/>
    <w:rsid w:val="00CB13F4"/>
    <w:rsid w:val="00CB5511"/>
    <w:rsid w:val="00CB7518"/>
    <w:rsid w:val="00CC2049"/>
    <w:rsid w:val="00CC587B"/>
    <w:rsid w:val="00CC610D"/>
    <w:rsid w:val="00CD0605"/>
    <w:rsid w:val="00D07F33"/>
    <w:rsid w:val="00D41FBA"/>
    <w:rsid w:val="00D445A7"/>
    <w:rsid w:val="00D52E43"/>
    <w:rsid w:val="00D74E79"/>
    <w:rsid w:val="00D84B7B"/>
    <w:rsid w:val="00D93A14"/>
    <w:rsid w:val="00D96F84"/>
    <w:rsid w:val="00DA4FE5"/>
    <w:rsid w:val="00DB76AF"/>
    <w:rsid w:val="00DC0848"/>
    <w:rsid w:val="00DD3E02"/>
    <w:rsid w:val="00DE4AA9"/>
    <w:rsid w:val="00DF2ACE"/>
    <w:rsid w:val="00DF4D57"/>
    <w:rsid w:val="00DF63E7"/>
    <w:rsid w:val="00DF6C30"/>
    <w:rsid w:val="00E3088D"/>
    <w:rsid w:val="00E34195"/>
    <w:rsid w:val="00E4702F"/>
    <w:rsid w:val="00E47613"/>
    <w:rsid w:val="00E541AF"/>
    <w:rsid w:val="00E569FD"/>
    <w:rsid w:val="00E57E17"/>
    <w:rsid w:val="00ED3EAD"/>
    <w:rsid w:val="00EE5BDF"/>
    <w:rsid w:val="00F14DA4"/>
    <w:rsid w:val="00F34803"/>
    <w:rsid w:val="00F47C3B"/>
    <w:rsid w:val="00F50AE2"/>
    <w:rsid w:val="00F71D7D"/>
    <w:rsid w:val="00F7263F"/>
    <w:rsid w:val="00F76499"/>
    <w:rsid w:val="00F900E1"/>
    <w:rsid w:val="00F95C49"/>
    <w:rsid w:val="00FC2FB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4474DE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4474DE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1"/>
          <c:order val="0"/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Correos!$E$2:$L$2</c:f>
              <c:strCache>
                <c:ptCount val="8"/>
                <c:pt idx="0">
                  <c:v> información en curso de elaboración o de publicación general</c:v>
                </c:pt>
                <c:pt idx="1">
                  <c:v> información auxiliar o de apoyo</c:v>
                </c:pt>
                <c:pt idx="2">
                  <c:v> acción previa de reelaboración</c:v>
                </c:pt>
                <c:pt idx="3">
                  <c:v> órgano no competente y desconocimiento del competente</c:v>
                </c:pt>
                <c:pt idx="4">
                  <c:v> solicitud repetitiva o abusiva</c:v>
                </c:pt>
                <c:pt idx="5">
                  <c:v> solicitudes de información de interesados en un procedimiento administrativo en curso sobre documentos que se integren en el mismo</c:v>
                </c:pt>
                <c:pt idx="6">
                  <c:v> solicitudes de información con un régimen específico de acceso a la información.</c:v>
                </c:pt>
                <c:pt idx="7">
                  <c:v> Otras causas.</c:v>
                </c:pt>
              </c:strCache>
            </c:strRef>
          </c:cat>
          <c:val>
            <c:numRef>
              <c:f>Correos!$E$4:$L$4</c:f>
              <c:numCache>
                <c:formatCode>0.0%</c:formatCode>
                <c:ptCount val="8"/>
                <c:pt idx="0">
                  <c:v>0.375</c:v>
                </c:pt>
                <c:pt idx="1">
                  <c:v>0</c:v>
                </c:pt>
                <c:pt idx="2">
                  <c:v>0.125</c:v>
                </c:pt>
                <c:pt idx="3">
                  <c:v>0</c:v>
                </c:pt>
                <c:pt idx="4">
                  <c:v>0</c:v>
                </c:pt>
                <c:pt idx="5">
                  <c:v>0.125</c:v>
                </c:pt>
                <c:pt idx="6">
                  <c:v>0.375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2049408"/>
        <c:axId val="242050944"/>
      </c:barChart>
      <c:catAx>
        <c:axId val="242049408"/>
        <c:scaling>
          <c:orientation val="minMax"/>
        </c:scaling>
        <c:delete val="0"/>
        <c:axPos val="l"/>
        <c:majorTickMark val="out"/>
        <c:minorTickMark val="none"/>
        <c:tickLblPos val="nextTo"/>
        <c:crossAx val="242050944"/>
        <c:crosses val="autoZero"/>
        <c:auto val="1"/>
        <c:lblAlgn val="ctr"/>
        <c:lblOffset val="1000"/>
        <c:noMultiLvlLbl val="0"/>
      </c:catAx>
      <c:valAx>
        <c:axId val="242050944"/>
        <c:scaling>
          <c:orientation val="minMax"/>
          <c:max val="1"/>
        </c:scaling>
        <c:delete val="0"/>
        <c:axPos val="b"/>
        <c:numFmt formatCode="0%" sourceLinked="0"/>
        <c:majorTickMark val="out"/>
        <c:minorTickMark val="none"/>
        <c:tickLblPos val="nextTo"/>
        <c:crossAx val="242049408"/>
        <c:crosses val="autoZero"/>
        <c:crossBetween val="between"/>
        <c:majorUnit val="0.2"/>
      </c:valAx>
    </c:plotArea>
    <c:plotVisOnly val="1"/>
    <c:dispBlanksAs val="gap"/>
    <c:showDLblsOverMax val="0"/>
  </c:chart>
  <c:txPr>
    <a:bodyPr/>
    <a:lstStyle/>
    <a:p>
      <a:pPr>
        <a:defRPr sz="800"/>
      </a:pPr>
      <a:endParaRPr lang="es-ES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74CEE"/>
    <w:rsid w:val="002A5B0E"/>
    <w:rsid w:val="002A69E7"/>
    <w:rsid w:val="002C1748"/>
    <w:rsid w:val="002C7AFA"/>
    <w:rsid w:val="003D088C"/>
    <w:rsid w:val="004437AC"/>
    <w:rsid w:val="00543A52"/>
    <w:rsid w:val="00546DCA"/>
    <w:rsid w:val="006D7969"/>
    <w:rsid w:val="0087096B"/>
    <w:rsid w:val="00A80EAD"/>
    <w:rsid w:val="00AB1850"/>
    <w:rsid w:val="00AB757F"/>
    <w:rsid w:val="00C20906"/>
    <w:rsid w:val="00C26568"/>
    <w:rsid w:val="00C60DC9"/>
    <w:rsid w:val="00CF3308"/>
    <w:rsid w:val="00D35513"/>
    <w:rsid w:val="00DC5AD7"/>
    <w:rsid w:val="00E147F2"/>
    <w:rsid w:val="00E16D50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019A4-606E-4ABA-97C1-AE07EDEF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1262</TotalTime>
  <Pages>5</Pages>
  <Words>1364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9</cp:revision>
  <cp:lastPrinted>2007-10-26T10:03:00Z</cp:lastPrinted>
  <dcterms:created xsi:type="dcterms:W3CDTF">2023-06-14T12:00:00Z</dcterms:created>
  <dcterms:modified xsi:type="dcterms:W3CDTF">2023-06-27T07:42:00Z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