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4D165C" w:rsidRDefault="004D165C" w:rsidP="00B40246">
                                <w:pPr>
                                  <w:pStyle w:val="Ttulodelboletn"/>
                                  <w:jc w:val="center"/>
                                  <w:rPr>
                                    <w:rFonts w:ascii="Century Gothic" w:hAnsi="Century Gothic"/>
                                    <w:sz w:val="50"/>
                                    <w:szCs w:val="50"/>
                                  </w:rPr>
                                </w:pPr>
                              </w:p>
                              <w:p w:rsidR="004D165C" w:rsidRPr="00006957" w:rsidRDefault="004D165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4D165C" w:rsidRDefault="004D165C" w:rsidP="00B40246">
                          <w:pPr>
                            <w:pStyle w:val="Ttulodelboletn"/>
                            <w:jc w:val="center"/>
                            <w:rPr>
                              <w:rFonts w:ascii="Century Gothic" w:hAnsi="Century Gothic"/>
                              <w:sz w:val="50"/>
                              <w:szCs w:val="50"/>
                            </w:rPr>
                          </w:pPr>
                        </w:p>
                        <w:p w:rsidR="004D165C" w:rsidRPr="00006957" w:rsidRDefault="004D165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4D165C" w:rsidRDefault="004D165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4D165C" w:rsidRDefault="004D165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B86DCF" w:rsidP="002615D8">
            <w:pPr>
              <w:rPr>
                <w:sz w:val="24"/>
                <w:szCs w:val="24"/>
              </w:rPr>
            </w:pPr>
            <w:r>
              <w:rPr>
                <w:sz w:val="24"/>
                <w:szCs w:val="24"/>
              </w:rPr>
              <w:t>Instituto Nacional de Administración Pública (INAP)</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B86DCF" w:rsidP="007F4BBB">
            <w:pPr>
              <w:rPr>
                <w:sz w:val="24"/>
                <w:szCs w:val="24"/>
              </w:rPr>
            </w:pPr>
            <w:r>
              <w:rPr>
                <w:sz w:val="24"/>
                <w:szCs w:val="24"/>
              </w:rPr>
              <w:t>12/06/2023</w:t>
            </w:r>
          </w:p>
        </w:tc>
      </w:tr>
    </w:tbl>
    <w:p w:rsidR="00BA266E" w:rsidRDefault="00BA266E"/>
    <w:p w:rsidR="00561402" w:rsidRPr="0012783F" w:rsidRDefault="00EB237F">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BA266E" w:rsidP="0012783F">
      <w:pPr>
        <w:pStyle w:val="Cuerpodelboletn"/>
        <w:spacing w:before="120" w:after="120" w:line="312" w:lineRule="auto"/>
        <w:ind w:left="360"/>
        <w:rPr>
          <w:bCs/>
          <w:color w:val="auto"/>
          <w:szCs w:val="22"/>
        </w:rPr>
      </w:pPr>
      <w:r w:rsidRPr="00B86DCF">
        <w:rPr>
          <w:bCs/>
          <w:color w:val="auto"/>
          <w:szCs w:val="22"/>
        </w:rPr>
        <w:t xml:space="preserve">La gestión de las solicitudes de acceso se efectúa por </w:t>
      </w:r>
      <w:r w:rsidR="00892E66">
        <w:rPr>
          <w:bCs/>
          <w:color w:val="auto"/>
          <w:szCs w:val="22"/>
        </w:rPr>
        <w:t>la Unidad de Apoyo a la Dirección del INAP</w:t>
      </w:r>
      <w:r w:rsidRPr="00B86DCF">
        <w:rPr>
          <w:bCs/>
          <w:color w:val="auto"/>
          <w:szCs w:val="22"/>
        </w:rPr>
        <w:t xml:space="preserve">, que cuenta con </w:t>
      </w:r>
      <w:proofErr w:type="spellStart"/>
      <w:r w:rsidR="00892E66">
        <w:rPr>
          <w:bCs/>
          <w:color w:val="auto"/>
          <w:szCs w:val="22"/>
        </w:rPr>
        <w:t>doa</w:t>
      </w:r>
      <w:proofErr w:type="spellEnd"/>
      <w:r w:rsidRPr="00B86DCF">
        <w:rPr>
          <w:bCs/>
          <w:color w:val="auto"/>
          <w:szCs w:val="22"/>
        </w:rPr>
        <w:t xml:space="preserve"> personas para abordar esta actividad. Ninguna </w:t>
      </w:r>
      <w:r w:rsidR="00DF6C30" w:rsidRPr="00B86DCF">
        <w:rPr>
          <w:bCs/>
          <w:color w:val="auto"/>
          <w:szCs w:val="22"/>
        </w:rPr>
        <w:t>de</w:t>
      </w:r>
      <w:r w:rsidR="00076680" w:rsidRPr="00B86DCF">
        <w:rPr>
          <w:bCs/>
          <w:color w:val="auto"/>
          <w:szCs w:val="22"/>
        </w:rPr>
        <w:t xml:space="preserve"> e</w:t>
      </w:r>
      <w:r w:rsidR="00DF6C30" w:rsidRPr="00B86DCF">
        <w:rPr>
          <w:bCs/>
          <w:color w:val="auto"/>
          <w:szCs w:val="22"/>
        </w:rPr>
        <w:t>l</w:t>
      </w:r>
      <w:r w:rsidRPr="00B86DCF">
        <w:rPr>
          <w:bCs/>
          <w:color w:val="auto"/>
          <w:szCs w:val="22"/>
        </w:rPr>
        <w:t>las se dedica exclusivamente</w:t>
      </w:r>
      <w:r w:rsidR="00531D64" w:rsidRPr="00B86DCF">
        <w:rPr>
          <w:bCs/>
          <w:color w:val="auto"/>
          <w:szCs w:val="22"/>
        </w:rPr>
        <w:t xml:space="preserve"> </w:t>
      </w:r>
      <w:r w:rsidRPr="00B86DCF">
        <w:rPr>
          <w:bCs/>
          <w:color w:val="auto"/>
          <w:szCs w:val="22"/>
        </w:rPr>
        <w:t>a la gestión de las solicitudes</w:t>
      </w:r>
      <w:r w:rsidR="00626819" w:rsidRPr="00B86DCF">
        <w:rPr>
          <w:bCs/>
          <w:color w:val="auto"/>
          <w:szCs w:val="22"/>
        </w:rPr>
        <w:t>.</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EB237F"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w:t>
          </w:r>
          <w:r w:rsidR="0001691A">
            <w:rPr>
              <w:b/>
              <w:color w:val="00642D"/>
              <w:sz w:val="30"/>
              <w:szCs w:val="30"/>
            </w:rPr>
            <w:t>22</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BA266E" w:rsidRDefault="00BA266E" w:rsidP="0012783F">
      <w:pPr>
        <w:pStyle w:val="Cuerpodelboletn"/>
        <w:spacing w:before="120" w:after="120" w:line="312" w:lineRule="auto"/>
        <w:ind w:left="360"/>
        <w:rPr>
          <w:rStyle w:val="Ttulo2Car"/>
          <w:color w:val="00642D"/>
          <w:lang w:bidi="es-ES"/>
        </w:rPr>
      </w:pPr>
    </w:p>
    <w:p w:rsidR="00B812AB" w:rsidRDefault="00A41DD5" w:rsidP="0012783F">
      <w:pPr>
        <w:pStyle w:val="Cuerpodelboletn"/>
        <w:spacing w:before="120" w:after="120" w:line="312" w:lineRule="auto"/>
        <w:ind w:left="360"/>
        <w:rPr>
          <w:rStyle w:val="Ttulo2Car"/>
          <w:color w:val="00642D"/>
          <w:lang w:bidi="es-ES"/>
        </w:rPr>
      </w:pPr>
      <w:r w:rsidRPr="00A41DD5">
        <w:rPr>
          <w:rStyle w:val="Ttulo2Car"/>
          <w:color w:val="00642D"/>
          <w:lang w:bidi="es-ES"/>
        </w:rPr>
        <w:t>II.1</w:t>
      </w:r>
      <w:r w:rsidR="00892E66">
        <w:rPr>
          <w:rStyle w:val="Ttulo2Car"/>
          <w:color w:val="00642D"/>
          <w:lang w:bidi="es-ES"/>
        </w:rPr>
        <w:t xml:space="preserve"> </w:t>
      </w:r>
      <w:r w:rsidR="00B812AB" w:rsidRPr="00B812AB">
        <w:rPr>
          <w:rStyle w:val="Ttulo2Car"/>
          <w:color w:val="00642D"/>
          <w:lang w:bidi="es-ES"/>
        </w:rPr>
        <w:t xml:space="preserve">Solicitudes gestionadas en </w:t>
      </w:r>
      <w:r w:rsidR="0001691A">
        <w:rPr>
          <w:rStyle w:val="Ttulo2Car"/>
          <w:color w:val="00642D"/>
          <w:lang w:bidi="es-ES"/>
        </w:rPr>
        <w:t>2022</w:t>
      </w:r>
    </w:p>
    <w:p w:rsidR="00577A83" w:rsidRDefault="00577A83" w:rsidP="0012783F">
      <w:pPr>
        <w:pStyle w:val="Cuerpodelboletn"/>
        <w:spacing w:before="120" w:after="120" w:line="312" w:lineRule="auto"/>
        <w:ind w:left="360"/>
        <w:rPr>
          <w:rStyle w:val="Ttulo2Car"/>
          <w:color w:val="00642D"/>
          <w:lang w:bidi="es-ES"/>
        </w:rPr>
      </w:pPr>
    </w:p>
    <w:p w:rsidR="00F34803" w:rsidRDefault="00F34803" w:rsidP="00F34803">
      <w:pPr>
        <w:ind w:left="426"/>
        <w:jc w:val="both"/>
      </w:pPr>
      <w:r w:rsidRPr="00892E66">
        <w:t>En 202</w:t>
      </w:r>
      <w:r w:rsidR="00892E66">
        <w:t>2</w:t>
      </w:r>
      <w:r w:rsidRPr="00892E66">
        <w:t xml:space="preserve"> </w:t>
      </w:r>
      <w:r w:rsidR="00892E66">
        <w:t>el INAP</w:t>
      </w:r>
      <w:r w:rsidRPr="00892E66">
        <w:t xml:space="preserve"> recibió </w:t>
      </w:r>
      <w:r w:rsidR="00892E66">
        <w:t>39</w:t>
      </w:r>
      <w:r w:rsidRPr="00892E66">
        <w:t xml:space="preserve"> solicitudes de información</w:t>
      </w:r>
      <w:r w:rsidR="00654162" w:rsidRPr="00892E66">
        <w:t xml:space="preserve">. </w:t>
      </w:r>
      <w:r w:rsidRPr="00892E66">
        <w:t>Al igual que en 20</w:t>
      </w:r>
      <w:r w:rsidR="00892E66">
        <w:t>21</w:t>
      </w:r>
      <w:r w:rsidRPr="00892E66">
        <w:t xml:space="preserve"> no quedaron solicitudes pendientes de tramitación a 31 de diciembre de 202</w:t>
      </w:r>
      <w:r w:rsidR="00892E66">
        <w:t>2</w:t>
      </w:r>
      <w:r w:rsidRPr="00892E66">
        <w:t>.</w:t>
      </w:r>
      <w:r>
        <w:t xml:space="preserve"> </w:t>
      </w:r>
    </w:p>
    <w:p w:rsidR="00BA266E" w:rsidRDefault="00BA266E" w:rsidP="00F7263F">
      <w:pPr>
        <w:pStyle w:val="Cuerpodelboletn"/>
        <w:spacing w:before="120" w:after="120" w:line="312" w:lineRule="auto"/>
        <w:ind w:left="360"/>
        <w:rPr>
          <w:rStyle w:val="Ttulo2Car"/>
          <w:color w:val="00642D"/>
          <w:lang w:bidi="es-ES"/>
        </w:rPr>
      </w:pPr>
    </w:p>
    <w:p w:rsidR="00F7263F" w:rsidRDefault="00F7263F" w:rsidP="00F7263F">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2 Indicadores de tramitación </w:t>
      </w:r>
      <w:r w:rsidR="008839AB">
        <w:rPr>
          <w:rStyle w:val="Ttulo2Car"/>
          <w:color w:val="00642D"/>
          <w:lang w:bidi="es-ES"/>
        </w:rPr>
        <w:t>en 2022</w:t>
      </w:r>
    </w:p>
    <w:p w:rsidR="00F34803" w:rsidRPr="00892E66" w:rsidRDefault="00F34803" w:rsidP="00F34803">
      <w:pPr>
        <w:ind w:left="426"/>
        <w:jc w:val="both"/>
        <w:rPr>
          <w:rStyle w:val="Ttulo2Car"/>
          <w:b w:val="0"/>
          <w:color w:val="auto"/>
          <w:sz w:val="22"/>
          <w:szCs w:val="22"/>
          <w:lang w:bidi="es-ES"/>
        </w:rPr>
      </w:pPr>
      <w:r w:rsidRPr="00892E66">
        <w:rPr>
          <w:rStyle w:val="Ttulo2Car"/>
          <w:b w:val="0"/>
          <w:color w:val="auto"/>
          <w:sz w:val="22"/>
          <w:szCs w:val="22"/>
          <w:lang w:bidi="es-ES"/>
        </w:rPr>
        <w:t>En 202</w:t>
      </w:r>
      <w:r w:rsidR="00892E66">
        <w:rPr>
          <w:rStyle w:val="Ttulo2Car"/>
          <w:b w:val="0"/>
          <w:color w:val="auto"/>
          <w:sz w:val="22"/>
          <w:szCs w:val="22"/>
          <w:lang w:bidi="es-ES"/>
        </w:rPr>
        <w:t>2</w:t>
      </w:r>
      <w:r w:rsidRPr="00892E66">
        <w:rPr>
          <w:rStyle w:val="Ttulo2Car"/>
          <w:b w:val="0"/>
          <w:color w:val="auto"/>
          <w:sz w:val="22"/>
          <w:szCs w:val="22"/>
          <w:lang w:bidi="es-ES"/>
        </w:rPr>
        <w:t xml:space="preserve">, en promedio, cada una de las personas asignadas </w:t>
      </w:r>
      <w:r w:rsidR="00892E66">
        <w:rPr>
          <w:rStyle w:val="Ttulo2Car"/>
          <w:b w:val="0"/>
          <w:color w:val="auto"/>
          <w:sz w:val="22"/>
          <w:szCs w:val="22"/>
          <w:lang w:bidi="es-ES"/>
        </w:rPr>
        <w:t>a la gestión de las solicitudes de acceso</w:t>
      </w:r>
      <w:r w:rsidR="00577A83" w:rsidRPr="00892E66">
        <w:rPr>
          <w:rStyle w:val="Ttulo2Car"/>
          <w:b w:val="0"/>
          <w:color w:val="auto"/>
          <w:sz w:val="22"/>
          <w:szCs w:val="22"/>
          <w:lang w:bidi="es-ES"/>
        </w:rPr>
        <w:t xml:space="preserve"> </w:t>
      </w:r>
      <w:r w:rsidRPr="00892E66">
        <w:rPr>
          <w:rStyle w:val="Ttulo2Car"/>
          <w:b w:val="0"/>
          <w:color w:val="auto"/>
          <w:sz w:val="22"/>
          <w:szCs w:val="22"/>
          <w:lang w:bidi="es-ES"/>
        </w:rPr>
        <w:t xml:space="preserve">asumió </w:t>
      </w:r>
      <w:r w:rsidR="00626819" w:rsidRPr="00892E66">
        <w:rPr>
          <w:rStyle w:val="Ttulo2Car"/>
          <w:b w:val="0"/>
          <w:color w:val="auto"/>
          <w:sz w:val="22"/>
          <w:szCs w:val="22"/>
          <w:lang w:bidi="es-ES"/>
        </w:rPr>
        <w:t>la tramitación de</w:t>
      </w:r>
      <w:r w:rsidRPr="00892E66">
        <w:rPr>
          <w:rStyle w:val="Ttulo2Car"/>
          <w:b w:val="0"/>
          <w:color w:val="auto"/>
          <w:sz w:val="22"/>
          <w:szCs w:val="22"/>
          <w:lang w:bidi="es-ES"/>
        </w:rPr>
        <w:t xml:space="preserve"> </w:t>
      </w:r>
      <w:r w:rsidR="00892E66">
        <w:rPr>
          <w:rStyle w:val="Ttulo2Car"/>
          <w:b w:val="0"/>
          <w:color w:val="auto"/>
          <w:sz w:val="22"/>
          <w:szCs w:val="22"/>
          <w:lang w:bidi="es-ES"/>
        </w:rPr>
        <w:t>19,5</w:t>
      </w:r>
      <w:r w:rsidRPr="00892E66">
        <w:rPr>
          <w:rStyle w:val="Ttulo2Car"/>
          <w:b w:val="0"/>
          <w:color w:val="auto"/>
          <w:sz w:val="22"/>
          <w:szCs w:val="22"/>
          <w:lang w:bidi="es-ES"/>
        </w:rPr>
        <w:t xml:space="preserve"> solicitudes. </w:t>
      </w:r>
    </w:p>
    <w:p w:rsidR="00F34803" w:rsidRDefault="00654162" w:rsidP="00F34803">
      <w:pPr>
        <w:ind w:left="426"/>
        <w:jc w:val="both"/>
        <w:rPr>
          <w:rStyle w:val="Ttulo2Car"/>
          <w:b w:val="0"/>
          <w:color w:val="auto"/>
          <w:sz w:val="22"/>
          <w:szCs w:val="22"/>
          <w:lang w:bidi="es-ES"/>
        </w:rPr>
      </w:pPr>
      <w:r w:rsidRPr="00892E66">
        <w:rPr>
          <w:rStyle w:val="Ttulo2Car"/>
          <w:b w:val="0"/>
          <w:color w:val="auto"/>
          <w:sz w:val="22"/>
          <w:szCs w:val="22"/>
          <w:lang w:bidi="es-ES"/>
        </w:rPr>
        <w:t>La totalidad de las solicitudes se tramitó en el año</w:t>
      </w:r>
      <w:r w:rsidR="00577A83" w:rsidRPr="00892E66">
        <w:rPr>
          <w:rStyle w:val="Ttulo2Car"/>
          <w:b w:val="0"/>
          <w:color w:val="auto"/>
          <w:sz w:val="22"/>
          <w:szCs w:val="22"/>
          <w:lang w:bidi="es-ES"/>
        </w:rPr>
        <w:t xml:space="preserve">. De ellas fueron admitidas </w:t>
      </w:r>
      <w:r w:rsidR="006D6F55">
        <w:rPr>
          <w:rStyle w:val="Ttulo2Car"/>
          <w:b w:val="0"/>
          <w:color w:val="auto"/>
          <w:sz w:val="22"/>
          <w:szCs w:val="22"/>
          <w:lang w:bidi="es-ES"/>
        </w:rPr>
        <w:t>el</w:t>
      </w:r>
      <w:r w:rsidR="00577A83" w:rsidRPr="00892E66">
        <w:rPr>
          <w:rStyle w:val="Ttulo2Car"/>
          <w:b w:val="0"/>
          <w:color w:val="auto"/>
          <w:sz w:val="22"/>
          <w:szCs w:val="22"/>
          <w:lang w:bidi="es-ES"/>
        </w:rPr>
        <w:t xml:space="preserve"> </w:t>
      </w:r>
      <w:r w:rsidR="00892E66">
        <w:rPr>
          <w:rStyle w:val="Ttulo2Car"/>
          <w:b w:val="0"/>
          <w:color w:val="auto"/>
          <w:sz w:val="22"/>
          <w:szCs w:val="22"/>
          <w:lang w:bidi="es-ES"/>
        </w:rPr>
        <w:t>51,</w:t>
      </w:r>
      <w:r w:rsidR="0079124F">
        <w:rPr>
          <w:rStyle w:val="Ttulo2Car"/>
          <w:b w:val="0"/>
          <w:color w:val="auto"/>
          <w:sz w:val="22"/>
          <w:szCs w:val="22"/>
          <w:lang w:bidi="es-ES"/>
        </w:rPr>
        <w:t>3</w:t>
      </w:r>
      <w:r w:rsidR="00577A83" w:rsidRPr="00892E66">
        <w:rPr>
          <w:rStyle w:val="Ttulo2Car"/>
          <w:b w:val="0"/>
          <w:color w:val="auto"/>
          <w:sz w:val="22"/>
          <w:szCs w:val="22"/>
          <w:lang w:bidi="es-ES"/>
        </w:rPr>
        <w:t xml:space="preserve">% e inadmitidas el </w:t>
      </w:r>
      <w:r w:rsidR="0079124F">
        <w:rPr>
          <w:rStyle w:val="Ttulo2Car"/>
          <w:b w:val="0"/>
          <w:color w:val="auto"/>
          <w:sz w:val="22"/>
          <w:szCs w:val="22"/>
          <w:lang w:bidi="es-ES"/>
        </w:rPr>
        <w:t>48,7</w:t>
      </w:r>
      <w:r w:rsidR="00577A83" w:rsidRPr="00892E66">
        <w:rPr>
          <w:rStyle w:val="Ttulo2Car"/>
          <w:b w:val="0"/>
          <w:color w:val="auto"/>
          <w:sz w:val="22"/>
          <w:szCs w:val="22"/>
          <w:lang w:bidi="es-ES"/>
        </w:rPr>
        <w:t xml:space="preserve">%. La principal causa de inadmisión fue </w:t>
      </w:r>
      <w:r w:rsidR="0079124F">
        <w:rPr>
          <w:rStyle w:val="Ttulo2Car"/>
          <w:b w:val="0"/>
          <w:color w:val="auto"/>
          <w:sz w:val="22"/>
          <w:szCs w:val="22"/>
          <w:lang w:bidi="es-ES"/>
        </w:rPr>
        <w:t xml:space="preserve">que la solicitud procedía de </w:t>
      </w:r>
      <w:r w:rsidR="0079124F">
        <w:rPr>
          <w:rStyle w:val="Ttulo2Car"/>
          <w:b w:val="0"/>
          <w:color w:val="auto"/>
          <w:sz w:val="22"/>
          <w:szCs w:val="22"/>
          <w:lang w:bidi="es-ES"/>
        </w:rPr>
        <w:lastRenderedPageBreak/>
        <w:t>interesados en un procedimiento administrativo en curso,</w:t>
      </w:r>
      <w:r w:rsidR="00577A83" w:rsidRPr="00892E66">
        <w:rPr>
          <w:rStyle w:val="Ttulo2Car"/>
          <w:b w:val="0"/>
          <w:color w:val="auto"/>
          <w:sz w:val="22"/>
          <w:szCs w:val="22"/>
          <w:lang w:bidi="es-ES"/>
        </w:rPr>
        <w:t xml:space="preserve"> </w:t>
      </w:r>
      <w:r w:rsidR="0079124F">
        <w:rPr>
          <w:rStyle w:val="Ttulo2Car"/>
          <w:b w:val="0"/>
          <w:color w:val="auto"/>
          <w:sz w:val="22"/>
          <w:szCs w:val="22"/>
          <w:lang w:bidi="es-ES"/>
        </w:rPr>
        <w:t xml:space="preserve">casi </w:t>
      </w:r>
      <w:r w:rsidR="00577A83" w:rsidRPr="00892E66">
        <w:rPr>
          <w:rStyle w:val="Ttulo2Car"/>
          <w:b w:val="0"/>
          <w:color w:val="auto"/>
          <w:sz w:val="22"/>
          <w:szCs w:val="22"/>
          <w:lang w:bidi="es-ES"/>
        </w:rPr>
        <w:t xml:space="preserve">el </w:t>
      </w:r>
      <w:r w:rsidR="0079124F">
        <w:rPr>
          <w:rStyle w:val="Ttulo2Car"/>
          <w:b w:val="0"/>
          <w:color w:val="auto"/>
          <w:sz w:val="22"/>
          <w:szCs w:val="22"/>
          <w:lang w:bidi="es-ES"/>
        </w:rPr>
        <w:t>79</w:t>
      </w:r>
      <w:r w:rsidR="00577A83" w:rsidRPr="00892E66">
        <w:rPr>
          <w:rStyle w:val="Ttulo2Car"/>
          <w:b w:val="0"/>
          <w:color w:val="auto"/>
          <w:sz w:val="22"/>
          <w:szCs w:val="22"/>
          <w:lang w:bidi="es-ES"/>
        </w:rPr>
        <w:t>% de las solicitudes inadmitidas lo fueron por esta causa.</w:t>
      </w:r>
    </w:p>
    <w:p w:rsidR="00577A83" w:rsidRPr="00985C93" w:rsidRDefault="00577A83" w:rsidP="00577A83">
      <w:pPr>
        <w:pStyle w:val="Epgrafe"/>
        <w:keepNext/>
        <w:ind w:left="426"/>
        <w:rPr>
          <w:rStyle w:val="Ttulo2Car"/>
          <w:b/>
          <w:color w:val="00642D"/>
          <w:sz w:val="22"/>
          <w:szCs w:val="22"/>
          <w:lang w:bidi="es-ES"/>
        </w:rPr>
      </w:pPr>
      <w:r w:rsidRPr="00985C93">
        <w:rPr>
          <w:rStyle w:val="Ttulo2Car"/>
          <w:b/>
          <w:color w:val="00642D"/>
          <w:sz w:val="22"/>
          <w:szCs w:val="22"/>
          <w:lang w:bidi="es-ES"/>
        </w:rPr>
        <w:t xml:space="preserve">Gráfico </w:t>
      </w:r>
      <w:r w:rsidRPr="00985C93">
        <w:rPr>
          <w:rStyle w:val="Ttulo2Car"/>
          <w:b/>
          <w:color w:val="00642D"/>
          <w:sz w:val="22"/>
          <w:szCs w:val="22"/>
          <w:lang w:bidi="es-ES"/>
        </w:rPr>
        <w:fldChar w:fldCharType="begin"/>
      </w:r>
      <w:r w:rsidRPr="00985C93">
        <w:rPr>
          <w:rStyle w:val="Ttulo2Car"/>
          <w:b/>
          <w:color w:val="00642D"/>
          <w:sz w:val="22"/>
          <w:szCs w:val="22"/>
          <w:lang w:bidi="es-ES"/>
        </w:rPr>
        <w:instrText xml:space="preserve"> SEQ Gráfico \* ARABIC </w:instrText>
      </w:r>
      <w:r w:rsidRPr="00985C93">
        <w:rPr>
          <w:rStyle w:val="Ttulo2Car"/>
          <w:b/>
          <w:color w:val="00642D"/>
          <w:sz w:val="22"/>
          <w:szCs w:val="22"/>
          <w:lang w:bidi="es-ES"/>
        </w:rPr>
        <w:fldChar w:fldCharType="separate"/>
      </w:r>
      <w:r w:rsidRPr="00985C93">
        <w:rPr>
          <w:rStyle w:val="Ttulo2Car"/>
          <w:b/>
          <w:color w:val="00642D"/>
          <w:sz w:val="22"/>
          <w:szCs w:val="22"/>
          <w:lang w:bidi="es-ES"/>
        </w:rPr>
        <w:t>1</w:t>
      </w:r>
      <w:r w:rsidRPr="00985C93">
        <w:rPr>
          <w:rStyle w:val="Ttulo2Car"/>
          <w:b/>
          <w:color w:val="00642D"/>
          <w:sz w:val="22"/>
          <w:szCs w:val="22"/>
          <w:lang w:bidi="es-ES"/>
        </w:rPr>
        <w:fldChar w:fldCharType="end"/>
      </w:r>
      <w:r w:rsidRPr="00985C93">
        <w:rPr>
          <w:rStyle w:val="Ttulo2Car"/>
          <w:b/>
          <w:color w:val="00642D"/>
          <w:sz w:val="22"/>
          <w:szCs w:val="22"/>
          <w:lang w:bidi="es-ES"/>
        </w:rPr>
        <w:t>: Distribución de las solicitudes inadmitidas según causa de inadmisión</w:t>
      </w:r>
    </w:p>
    <w:p w:rsidR="00577A83" w:rsidRDefault="00577A83" w:rsidP="00F34803">
      <w:pPr>
        <w:ind w:left="426"/>
        <w:jc w:val="both"/>
        <w:rPr>
          <w:rStyle w:val="Ttulo2Car"/>
          <w:b w:val="0"/>
          <w:color w:val="auto"/>
          <w:sz w:val="22"/>
          <w:szCs w:val="22"/>
          <w:lang w:bidi="es-ES"/>
        </w:rPr>
      </w:pPr>
      <w:r>
        <w:rPr>
          <w:noProof/>
        </w:rPr>
        <w:drawing>
          <wp:inline distT="0" distB="0" distL="0" distR="0" wp14:anchorId="1B40B061" wp14:editId="79473C46">
            <wp:extent cx="6134100" cy="27432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1C29" w:rsidRDefault="001E1C29" w:rsidP="00F34803">
      <w:pPr>
        <w:ind w:left="426"/>
        <w:jc w:val="both"/>
        <w:rPr>
          <w:rStyle w:val="Ttulo2Car"/>
          <w:b w:val="0"/>
          <w:color w:val="auto"/>
          <w:sz w:val="22"/>
          <w:szCs w:val="22"/>
          <w:lang w:bidi="es-ES"/>
        </w:rPr>
      </w:pPr>
    </w:p>
    <w:p w:rsidR="001E1C29" w:rsidRPr="00647481" w:rsidRDefault="001E1C29" w:rsidP="001E1C29">
      <w:pPr>
        <w:pStyle w:val="Epgrafe"/>
        <w:keepNext/>
        <w:ind w:left="426"/>
        <w:rPr>
          <w:rStyle w:val="Ttulo2Car"/>
          <w:b/>
          <w:color w:val="00642D"/>
          <w:sz w:val="22"/>
          <w:szCs w:val="22"/>
          <w:lang w:bidi="es-ES"/>
        </w:rPr>
      </w:pPr>
      <w:r w:rsidRPr="00647481">
        <w:rPr>
          <w:rStyle w:val="Ttulo2Car"/>
          <w:b/>
          <w:color w:val="00642D"/>
          <w:sz w:val="22"/>
          <w:szCs w:val="22"/>
          <w:lang w:bidi="es-ES"/>
        </w:rPr>
        <w:t xml:space="preserve">Tabla </w:t>
      </w:r>
      <w:r w:rsidRPr="00647481">
        <w:rPr>
          <w:rStyle w:val="Ttulo2Car"/>
          <w:b/>
          <w:color w:val="00642D"/>
          <w:sz w:val="22"/>
          <w:szCs w:val="22"/>
          <w:lang w:bidi="es-ES"/>
        </w:rPr>
        <w:fldChar w:fldCharType="begin"/>
      </w:r>
      <w:r w:rsidRPr="00647481">
        <w:rPr>
          <w:rStyle w:val="Ttulo2Car"/>
          <w:b/>
          <w:color w:val="00642D"/>
          <w:sz w:val="22"/>
          <w:szCs w:val="22"/>
          <w:lang w:bidi="es-ES"/>
        </w:rPr>
        <w:instrText xml:space="preserve"> SEQ Tabla \* ARABIC </w:instrText>
      </w:r>
      <w:r w:rsidRPr="00647481">
        <w:rPr>
          <w:rStyle w:val="Ttulo2Car"/>
          <w:b/>
          <w:color w:val="00642D"/>
          <w:sz w:val="22"/>
          <w:szCs w:val="22"/>
          <w:lang w:bidi="es-ES"/>
        </w:rPr>
        <w:fldChar w:fldCharType="separate"/>
      </w:r>
      <w:r>
        <w:rPr>
          <w:rStyle w:val="Ttulo2Car"/>
          <w:b/>
          <w:noProof/>
          <w:color w:val="00642D"/>
          <w:sz w:val="22"/>
          <w:szCs w:val="22"/>
          <w:lang w:bidi="es-ES"/>
        </w:rPr>
        <w:t>1</w:t>
      </w:r>
      <w:r w:rsidRPr="00647481">
        <w:rPr>
          <w:rStyle w:val="Ttulo2Car"/>
          <w:b/>
          <w:color w:val="00642D"/>
          <w:sz w:val="22"/>
          <w:szCs w:val="22"/>
          <w:lang w:bidi="es-ES"/>
        </w:rPr>
        <w:fldChar w:fldCharType="end"/>
      </w:r>
      <w:r w:rsidRPr="00647481">
        <w:rPr>
          <w:rStyle w:val="Ttulo2Car"/>
          <w:b/>
          <w:color w:val="00642D"/>
          <w:sz w:val="22"/>
          <w:szCs w:val="22"/>
          <w:lang w:bidi="es-ES"/>
        </w:rPr>
        <w:t>: Indicadores de tramitación 2020</w:t>
      </w:r>
    </w:p>
    <w:tbl>
      <w:tblPr>
        <w:tblStyle w:val="Tablaconcuadrcula"/>
        <w:tblW w:w="0" w:type="auto"/>
        <w:tblInd w:w="534" w:type="dxa"/>
        <w:tblLook w:val="04A0" w:firstRow="1" w:lastRow="0" w:firstColumn="1" w:lastColumn="0" w:noHBand="0" w:noVBand="1"/>
      </w:tblPr>
      <w:tblGrid>
        <w:gridCol w:w="1299"/>
        <w:gridCol w:w="6322"/>
        <w:gridCol w:w="1559"/>
      </w:tblGrid>
      <w:tr w:rsidR="00892E66" w:rsidRPr="00706E04" w:rsidTr="00892E66">
        <w:tc>
          <w:tcPr>
            <w:tcW w:w="1299" w:type="dxa"/>
            <w:vMerge w:val="restart"/>
            <w:tcBorders>
              <w:top w:val="nil"/>
              <w:right w:val="nil"/>
            </w:tcBorders>
            <w:shd w:val="clear" w:color="auto" w:fill="4D7F52"/>
            <w:textDirection w:val="btLr"/>
          </w:tcPr>
          <w:p w:rsidR="00892E66" w:rsidRPr="005B3C15" w:rsidRDefault="00892E66" w:rsidP="00983919">
            <w:pPr>
              <w:ind w:left="113" w:right="113"/>
              <w:jc w:val="center"/>
              <w:rPr>
                <w:b/>
                <w:color w:val="FFFFFF" w:themeColor="background1"/>
              </w:rPr>
            </w:pPr>
            <w:r w:rsidRPr="005B3C15">
              <w:rPr>
                <w:b/>
                <w:color w:val="FFFFFF" w:themeColor="background1"/>
              </w:rPr>
              <w:t>Indicadores de tramitación</w:t>
            </w:r>
          </w:p>
        </w:tc>
        <w:tc>
          <w:tcPr>
            <w:tcW w:w="6322" w:type="dxa"/>
            <w:tcBorders>
              <w:left w:val="nil"/>
            </w:tcBorders>
          </w:tcPr>
          <w:p w:rsidR="00892E66" w:rsidRPr="006A2E9A" w:rsidRDefault="00892E66" w:rsidP="00055B15">
            <w:pPr>
              <w:rPr>
                <w:sz w:val="20"/>
                <w:szCs w:val="20"/>
              </w:rPr>
            </w:pPr>
            <w:r w:rsidRPr="006A2E9A">
              <w:rPr>
                <w:sz w:val="20"/>
                <w:szCs w:val="20"/>
              </w:rPr>
              <w:t>Solicitudes/persona UIT</w:t>
            </w:r>
          </w:p>
        </w:tc>
        <w:tc>
          <w:tcPr>
            <w:tcW w:w="1559" w:type="dxa"/>
          </w:tcPr>
          <w:p w:rsidR="00892E66" w:rsidRPr="00892E66" w:rsidRDefault="00892E66" w:rsidP="00892E66">
            <w:pPr>
              <w:jc w:val="center"/>
              <w:rPr>
                <w:sz w:val="20"/>
              </w:rPr>
            </w:pPr>
            <w:r w:rsidRPr="00892E66">
              <w:rPr>
                <w:sz w:val="20"/>
              </w:rPr>
              <w:t>19,50</w:t>
            </w:r>
          </w:p>
        </w:tc>
      </w:tr>
      <w:tr w:rsidR="00892E66" w:rsidRPr="00706E04" w:rsidTr="00892E66">
        <w:tc>
          <w:tcPr>
            <w:tcW w:w="1299" w:type="dxa"/>
            <w:vMerge/>
            <w:tcBorders>
              <w:top w:val="nil"/>
              <w:right w:val="nil"/>
            </w:tcBorders>
            <w:shd w:val="clear" w:color="auto" w:fill="4D7F52"/>
            <w:textDirection w:val="btLr"/>
          </w:tcPr>
          <w:p w:rsidR="00892E66" w:rsidRPr="005B3C15" w:rsidRDefault="00892E66" w:rsidP="00983919">
            <w:pPr>
              <w:ind w:left="113" w:right="113"/>
              <w:jc w:val="center"/>
              <w:rPr>
                <w:b/>
                <w:color w:val="FFFFFF" w:themeColor="background1"/>
              </w:rPr>
            </w:pPr>
          </w:p>
        </w:tc>
        <w:tc>
          <w:tcPr>
            <w:tcW w:w="6322" w:type="dxa"/>
            <w:tcBorders>
              <w:left w:val="nil"/>
            </w:tcBorders>
          </w:tcPr>
          <w:p w:rsidR="00892E66" w:rsidRPr="006A2E9A" w:rsidRDefault="00892E66" w:rsidP="00055B15">
            <w:pPr>
              <w:rPr>
                <w:sz w:val="20"/>
                <w:szCs w:val="20"/>
              </w:rPr>
            </w:pPr>
            <w:r w:rsidRPr="006A2E9A">
              <w:rPr>
                <w:sz w:val="20"/>
                <w:szCs w:val="20"/>
              </w:rPr>
              <w:t>Solicitudes tramitadas/persona UIT</w:t>
            </w:r>
          </w:p>
        </w:tc>
        <w:tc>
          <w:tcPr>
            <w:tcW w:w="1559" w:type="dxa"/>
          </w:tcPr>
          <w:p w:rsidR="00892E66" w:rsidRPr="00892E66" w:rsidRDefault="00892E66" w:rsidP="00892E66">
            <w:pPr>
              <w:jc w:val="center"/>
              <w:rPr>
                <w:sz w:val="20"/>
              </w:rPr>
            </w:pPr>
            <w:r w:rsidRPr="00892E66">
              <w:rPr>
                <w:sz w:val="20"/>
              </w:rPr>
              <w:t>19,50</w:t>
            </w:r>
          </w:p>
        </w:tc>
      </w:tr>
      <w:tr w:rsidR="00892E66" w:rsidRPr="00706E04" w:rsidTr="00892E66">
        <w:tc>
          <w:tcPr>
            <w:tcW w:w="1299" w:type="dxa"/>
            <w:vMerge/>
            <w:tcBorders>
              <w:right w:val="nil"/>
            </w:tcBorders>
            <w:shd w:val="clear" w:color="auto" w:fill="4D7F52"/>
            <w:textDirection w:val="btLr"/>
          </w:tcPr>
          <w:p w:rsidR="00892E66" w:rsidRPr="005B3C15" w:rsidRDefault="00892E66" w:rsidP="00983919">
            <w:pPr>
              <w:ind w:left="113" w:right="113"/>
              <w:jc w:val="center"/>
              <w:rPr>
                <w:b/>
                <w:color w:val="FFFFFF" w:themeColor="background1"/>
              </w:rPr>
            </w:pPr>
          </w:p>
        </w:tc>
        <w:tc>
          <w:tcPr>
            <w:tcW w:w="6322" w:type="dxa"/>
            <w:tcBorders>
              <w:left w:val="nil"/>
            </w:tcBorders>
          </w:tcPr>
          <w:p w:rsidR="00892E66" w:rsidRPr="006A2E9A" w:rsidRDefault="00892E66" w:rsidP="00892E66">
            <w:pPr>
              <w:rPr>
                <w:sz w:val="20"/>
                <w:szCs w:val="20"/>
              </w:rPr>
            </w:pPr>
            <w:r w:rsidRPr="006A2E9A">
              <w:rPr>
                <w:sz w:val="20"/>
                <w:szCs w:val="20"/>
              </w:rPr>
              <w:t>Tasa de Tramitación (tramitadas/(pendientes a 31/12/20</w:t>
            </w:r>
            <w:r>
              <w:rPr>
                <w:sz w:val="20"/>
                <w:szCs w:val="20"/>
              </w:rPr>
              <w:t>21</w:t>
            </w:r>
            <w:r w:rsidRPr="006A2E9A">
              <w:rPr>
                <w:sz w:val="20"/>
                <w:szCs w:val="20"/>
              </w:rPr>
              <w:t xml:space="preserve"> + recibidas 202</w:t>
            </w:r>
            <w:r>
              <w:rPr>
                <w:sz w:val="20"/>
                <w:szCs w:val="20"/>
              </w:rPr>
              <w:t>2</w:t>
            </w:r>
            <w:r w:rsidRPr="006A2E9A">
              <w:rPr>
                <w:sz w:val="20"/>
                <w:szCs w:val="20"/>
              </w:rPr>
              <w:t>))</w:t>
            </w:r>
          </w:p>
        </w:tc>
        <w:tc>
          <w:tcPr>
            <w:tcW w:w="1559" w:type="dxa"/>
          </w:tcPr>
          <w:p w:rsidR="00892E66" w:rsidRPr="00892E66" w:rsidRDefault="00892E66" w:rsidP="00892E66">
            <w:pPr>
              <w:jc w:val="center"/>
              <w:rPr>
                <w:sz w:val="20"/>
              </w:rPr>
            </w:pPr>
            <w:r w:rsidRPr="00892E66">
              <w:rPr>
                <w:sz w:val="20"/>
              </w:rPr>
              <w:t>100,00</w:t>
            </w:r>
          </w:p>
        </w:tc>
      </w:tr>
      <w:tr w:rsidR="00892E66" w:rsidRPr="00706E04" w:rsidTr="00892E66">
        <w:tc>
          <w:tcPr>
            <w:tcW w:w="1299" w:type="dxa"/>
            <w:vMerge/>
            <w:tcBorders>
              <w:right w:val="nil"/>
            </w:tcBorders>
            <w:shd w:val="clear" w:color="auto" w:fill="4D7F52"/>
            <w:textDirection w:val="btLr"/>
          </w:tcPr>
          <w:p w:rsidR="00892E66" w:rsidRPr="005B3C15" w:rsidRDefault="00892E66" w:rsidP="00983919">
            <w:pPr>
              <w:ind w:left="113" w:right="113"/>
              <w:jc w:val="center"/>
              <w:rPr>
                <w:b/>
                <w:color w:val="FFFFFF" w:themeColor="background1"/>
              </w:rPr>
            </w:pPr>
          </w:p>
        </w:tc>
        <w:tc>
          <w:tcPr>
            <w:tcW w:w="6322" w:type="dxa"/>
            <w:tcBorders>
              <w:left w:val="nil"/>
            </w:tcBorders>
          </w:tcPr>
          <w:p w:rsidR="00892E66" w:rsidRPr="006A2E9A" w:rsidRDefault="00892E66" w:rsidP="00892E66">
            <w:pPr>
              <w:rPr>
                <w:sz w:val="20"/>
                <w:szCs w:val="20"/>
              </w:rPr>
            </w:pPr>
            <w:r w:rsidRPr="006A2E9A">
              <w:rPr>
                <w:sz w:val="20"/>
                <w:szCs w:val="20"/>
              </w:rPr>
              <w:t>Tasa de pendencia (pendientes a 31/12/202</w:t>
            </w:r>
            <w:r>
              <w:rPr>
                <w:sz w:val="20"/>
                <w:szCs w:val="20"/>
              </w:rPr>
              <w:t>2</w:t>
            </w:r>
            <w:r w:rsidRPr="006A2E9A">
              <w:rPr>
                <w:sz w:val="20"/>
                <w:szCs w:val="20"/>
              </w:rPr>
              <w:t xml:space="preserve"> / tramitadas)</w:t>
            </w:r>
          </w:p>
        </w:tc>
        <w:tc>
          <w:tcPr>
            <w:tcW w:w="1559" w:type="dxa"/>
          </w:tcPr>
          <w:p w:rsidR="00892E66" w:rsidRPr="00892E66" w:rsidRDefault="00892E66" w:rsidP="00892E66">
            <w:pPr>
              <w:jc w:val="center"/>
              <w:rPr>
                <w:sz w:val="20"/>
              </w:rPr>
            </w:pPr>
            <w:r>
              <w:rPr>
                <w:sz w:val="20"/>
              </w:rPr>
              <w:t>0</w:t>
            </w:r>
            <w:r w:rsidRPr="00892E66">
              <w:rPr>
                <w:sz w:val="20"/>
              </w:rPr>
              <w:t>,00</w:t>
            </w:r>
          </w:p>
        </w:tc>
      </w:tr>
      <w:tr w:rsidR="00892E66" w:rsidRPr="00706E04" w:rsidTr="00892E66">
        <w:tc>
          <w:tcPr>
            <w:tcW w:w="1299" w:type="dxa"/>
            <w:vMerge/>
            <w:tcBorders>
              <w:right w:val="nil"/>
            </w:tcBorders>
            <w:shd w:val="clear" w:color="auto" w:fill="4D7F52"/>
            <w:textDirection w:val="btLr"/>
          </w:tcPr>
          <w:p w:rsidR="00892E66" w:rsidRPr="005B3C15" w:rsidRDefault="00892E66" w:rsidP="00983919">
            <w:pPr>
              <w:ind w:left="113" w:right="113"/>
              <w:jc w:val="center"/>
              <w:rPr>
                <w:b/>
                <w:color w:val="FFFFFF" w:themeColor="background1"/>
              </w:rPr>
            </w:pPr>
          </w:p>
        </w:tc>
        <w:tc>
          <w:tcPr>
            <w:tcW w:w="6322" w:type="dxa"/>
            <w:tcBorders>
              <w:left w:val="nil"/>
            </w:tcBorders>
          </w:tcPr>
          <w:p w:rsidR="00892E66" w:rsidRPr="006A2E9A" w:rsidRDefault="00892E66" w:rsidP="00892E66">
            <w:pPr>
              <w:rPr>
                <w:sz w:val="20"/>
                <w:szCs w:val="20"/>
              </w:rPr>
            </w:pPr>
            <w:r w:rsidRPr="006A2E9A">
              <w:rPr>
                <w:sz w:val="20"/>
                <w:szCs w:val="20"/>
              </w:rPr>
              <w:t>Tasa de resolución en la tramitación (tramitadas/entradas en 202</w:t>
            </w:r>
            <w:r>
              <w:rPr>
                <w:sz w:val="20"/>
                <w:szCs w:val="20"/>
              </w:rPr>
              <w:t>2</w:t>
            </w:r>
            <w:r w:rsidRPr="006A2E9A">
              <w:rPr>
                <w:sz w:val="20"/>
                <w:szCs w:val="20"/>
              </w:rPr>
              <w:t>)</w:t>
            </w:r>
          </w:p>
        </w:tc>
        <w:tc>
          <w:tcPr>
            <w:tcW w:w="1559" w:type="dxa"/>
          </w:tcPr>
          <w:p w:rsidR="00892E66" w:rsidRPr="00892E66" w:rsidRDefault="00892E66" w:rsidP="00892E66">
            <w:pPr>
              <w:jc w:val="center"/>
              <w:rPr>
                <w:sz w:val="20"/>
              </w:rPr>
            </w:pPr>
            <w:r w:rsidRPr="00892E66">
              <w:rPr>
                <w:sz w:val="20"/>
              </w:rPr>
              <w:t>100,00</w:t>
            </w:r>
          </w:p>
        </w:tc>
      </w:tr>
      <w:tr w:rsidR="00892E66" w:rsidRPr="00706E04" w:rsidTr="00892E66">
        <w:tc>
          <w:tcPr>
            <w:tcW w:w="1299" w:type="dxa"/>
            <w:vMerge/>
            <w:tcBorders>
              <w:right w:val="nil"/>
            </w:tcBorders>
            <w:shd w:val="clear" w:color="auto" w:fill="4D7F52"/>
            <w:textDirection w:val="btLr"/>
          </w:tcPr>
          <w:p w:rsidR="00892E66" w:rsidRPr="005B3C15" w:rsidRDefault="00892E66" w:rsidP="00983919">
            <w:pPr>
              <w:ind w:left="113" w:right="113"/>
              <w:jc w:val="center"/>
              <w:rPr>
                <w:b/>
                <w:color w:val="FFFFFF" w:themeColor="background1"/>
              </w:rPr>
            </w:pPr>
          </w:p>
        </w:tc>
        <w:tc>
          <w:tcPr>
            <w:tcW w:w="6322" w:type="dxa"/>
            <w:tcBorders>
              <w:left w:val="nil"/>
            </w:tcBorders>
          </w:tcPr>
          <w:p w:rsidR="00892E66" w:rsidRPr="006A2E9A" w:rsidRDefault="00892E66" w:rsidP="00892E66">
            <w:pPr>
              <w:rPr>
                <w:sz w:val="20"/>
                <w:szCs w:val="20"/>
              </w:rPr>
            </w:pPr>
            <w:r w:rsidRPr="006A2E9A">
              <w:rPr>
                <w:sz w:val="20"/>
                <w:szCs w:val="20"/>
              </w:rPr>
              <w:t>Tasa de congestión ((pendientes a 31/12/20</w:t>
            </w:r>
            <w:r>
              <w:rPr>
                <w:sz w:val="20"/>
                <w:szCs w:val="20"/>
              </w:rPr>
              <w:t>21</w:t>
            </w:r>
            <w:r w:rsidRPr="006A2E9A">
              <w:rPr>
                <w:sz w:val="20"/>
                <w:szCs w:val="20"/>
              </w:rPr>
              <w:t xml:space="preserve"> + entradas 202</w:t>
            </w:r>
            <w:r>
              <w:rPr>
                <w:sz w:val="20"/>
                <w:szCs w:val="20"/>
              </w:rPr>
              <w:t>2</w:t>
            </w:r>
            <w:r w:rsidRPr="006A2E9A">
              <w:rPr>
                <w:sz w:val="20"/>
                <w:szCs w:val="20"/>
              </w:rPr>
              <w:t>) / tramitadas</w:t>
            </w:r>
          </w:p>
        </w:tc>
        <w:tc>
          <w:tcPr>
            <w:tcW w:w="1559" w:type="dxa"/>
          </w:tcPr>
          <w:p w:rsidR="00892E66" w:rsidRPr="00892E66" w:rsidRDefault="00892E66" w:rsidP="00892E66">
            <w:pPr>
              <w:jc w:val="center"/>
              <w:rPr>
                <w:sz w:val="20"/>
              </w:rPr>
            </w:pPr>
            <w:r w:rsidRPr="00892E66">
              <w:rPr>
                <w:sz w:val="20"/>
              </w:rPr>
              <w:t>100,00</w:t>
            </w:r>
          </w:p>
        </w:tc>
      </w:tr>
      <w:tr w:rsidR="00892E66" w:rsidRPr="00706E04" w:rsidTr="00892E66">
        <w:tc>
          <w:tcPr>
            <w:tcW w:w="1299" w:type="dxa"/>
            <w:vMerge/>
            <w:tcBorders>
              <w:right w:val="nil"/>
            </w:tcBorders>
            <w:shd w:val="clear" w:color="auto" w:fill="4D7F52"/>
            <w:textDirection w:val="btLr"/>
          </w:tcPr>
          <w:p w:rsidR="00892E66" w:rsidRPr="005B3C15" w:rsidRDefault="00892E66" w:rsidP="00983919">
            <w:pPr>
              <w:ind w:left="113" w:right="113"/>
              <w:jc w:val="center"/>
              <w:rPr>
                <w:b/>
                <w:color w:val="FFFFFF" w:themeColor="background1"/>
              </w:rPr>
            </w:pPr>
          </w:p>
        </w:tc>
        <w:tc>
          <w:tcPr>
            <w:tcW w:w="6322" w:type="dxa"/>
            <w:tcBorders>
              <w:left w:val="nil"/>
            </w:tcBorders>
          </w:tcPr>
          <w:p w:rsidR="00892E66" w:rsidRPr="006A2E9A" w:rsidRDefault="00892E66" w:rsidP="00892E66">
            <w:pPr>
              <w:rPr>
                <w:sz w:val="20"/>
                <w:szCs w:val="20"/>
              </w:rPr>
            </w:pPr>
            <w:r w:rsidRPr="006A2E9A">
              <w:rPr>
                <w:sz w:val="20"/>
                <w:szCs w:val="20"/>
              </w:rPr>
              <w:t>Tiempo medio estimado para la tramitación de las solicitudes pendientes ((pendientes a 31/12/202</w:t>
            </w:r>
            <w:r>
              <w:rPr>
                <w:sz w:val="20"/>
                <w:szCs w:val="20"/>
              </w:rPr>
              <w:t>2</w:t>
            </w:r>
            <w:r w:rsidRPr="006A2E9A">
              <w:rPr>
                <w:sz w:val="20"/>
                <w:szCs w:val="20"/>
              </w:rPr>
              <w:t xml:space="preserve"> / tramitadas)*365 </w:t>
            </w:r>
          </w:p>
        </w:tc>
        <w:tc>
          <w:tcPr>
            <w:tcW w:w="1559" w:type="dxa"/>
          </w:tcPr>
          <w:p w:rsidR="00892E66" w:rsidRPr="00892E66" w:rsidRDefault="00892E66" w:rsidP="00892E66">
            <w:pPr>
              <w:jc w:val="center"/>
              <w:rPr>
                <w:sz w:val="20"/>
              </w:rPr>
            </w:pPr>
            <w:r>
              <w:rPr>
                <w:sz w:val="20"/>
              </w:rPr>
              <w:t>0</w:t>
            </w:r>
            <w:r w:rsidRPr="00892E66">
              <w:rPr>
                <w:sz w:val="20"/>
              </w:rPr>
              <w:t>,00</w:t>
            </w:r>
          </w:p>
        </w:tc>
      </w:tr>
      <w:tr w:rsidR="00892E66" w:rsidRPr="00706E04" w:rsidTr="00892E66">
        <w:tc>
          <w:tcPr>
            <w:tcW w:w="1299" w:type="dxa"/>
            <w:vMerge/>
            <w:tcBorders>
              <w:right w:val="nil"/>
            </w:tcBorders>
            <w:shd w:val="clear" w:color="auto" w:fill="4D7F52"/>
            <w:textDirection w:val="btLr"/>
          </w:tcPr>
          <w:p w:rsidR="00892E66" w:rsidRPr="005B3C15" w:rsidRDefault="00892E66" w:rsidP="00983919">
            <w:pPr>
              <w:ind w:left="113" w:right="113"/>
              <w:jc w:val="center"/>
              <w:rPr>
                <w:b/>
                <w:color w:val="FFFFFF" w:themeColor="background1"/>
              </w:rPr>
            </w:pPr>
          </w:p>
        </w:tc>
        <w:tc>
          <w:tcPr>
            <w:tcW w:w="6322" w:type="dxa"/>
            <w:tcBorders>
              <w:left w:val="nil"/>
            </w:tcBorders>
          </w:tcPr>
          <w:p w:rsidR="00892E66" w:rsidRPr="006A2E9A" w:rsidRDefault="00892E66" w:rsidP="00983919">
            <w:pPr>
              <w:rPr>
                <w:sz w:val="20"/>
                <w:szCs w:val="20"/>
              </w:rPr>
            </w:pPr>
            <w:r w:rsidRPr="006A2E9A">
              <w:rPr>
                <w:sz w:val="20"/>
                <w:szCs w:val="20"/>
              </w:rPr>
              <w:t>Tasa de admisión (admitidas/tramitadas)</w:t>
            </w:r>
          </w:p>
        </w:tc>
        <w:tc>
          <w:tcPr>
            <w:tcW w:w="1559" w:type="dxa"/>
          </w:tcPr>
          <w:p w:rsidR="00892E66" w:rsidRPr="00892E66" w:rsidRDefault="00892E66" w:rsidP="00892E66">
            <w:pPr>
              <w:jc w:val="center"/>
              <w:rPr>
                <w:sz w:val="20"/>
              </w:rPr>
            </w:pPr>
            <w:r w:rsidRPr="00892E66">
              <w:rPr>
                <w:sz w:val="20"/>
              </w:rPr>
              <w:t>51,28</w:t>
            </w:r>
          </w:p>
        </w:tc>
      </w:tr>
      <w:tr w:rsidR="00892E66" w:rsidRPr="00706E04" w:rsidTr="00892E66">
        <w:tc>
          <w:tcPr>
            <w:tcW w:w="1299" w:type="dxa"/>
            <w:vMerge/>
            <w:tcBorders>
              <w:right w:val="nil"/>
            </w:tcBorders>
            <w:shd w:val="clear" w:color="auto" w:fill="4D7F52"/>
            <w:textDirection w:val="btLr"/>
          </w:tcPr>
          <w:p w:rsidR="00892E66" w:rsidRPr="005B3C15" w:rsidRDefault="00892E66" w:rsidP="00983919">
            <w:pPr>
              <w:ind w:left="113" w:right="113"/>
              <w:jc w:val="center"/>
              <w:rPr>
                <w:b/>
                <w:color w:val="FFFFFF" w:themeColor="background1"/>
              </w:rPr>
            </w:pPr>
          </w:p>
        </w:tc>
        <w:tc>
          <w:tcPr>
            <w:tcW w:w="6322" w:type="dxa"/>
            <w:tcBorders>
              <w:left w:val="nil"/>
            </w:tcBorders>
          </w:tcPr>
          <w:p w:rsidR="00892E66" w:rsidRPr="006A2E9A" w:rsidRDefault="00892E66" w:rsidP="00983919">
            <w:pPr>
              <w:rPr>
                <w:sz w:val="20"/>
                <w:szCs w:val="20"/>
              </w:rPr>
            </w:pPr>
            <w:r w:rsidRPr="006A2E9A">
              <w:rPr>
                <w:sz w:val="20"/>
                <w:szCs w:val="20"/>
              </w:rPr>
              <w:t>Tasa de inadmisión (inadmitidas/ tramitadas)</w:t>
            </w:r>
          </w:p>
        </w:tc>
        <w:tc>
          <w:tcPr>
            <w:tcW w:w="1559" w:type="dxa"/>
          </w:tcPr>
          <w:p w:rsidR="00892E66" w:rsidRPr="00892E66" w:rsidRDefault="00892E66" w:rsidP="00892E66">
            <w:pPr>
              <w:jc w:val="center"/>
              <w:rPr>
                <w:sz w:val="20"/>
              </w:rPr>
            </w:pPr>
            <w:r w:rsidRPr="00892E66">
              <w:rPr>
                <w:sz w:val="20"/>
              </w:rPr>
              <w:t>48,72</w:t>
            </w:r>
          </w:p>
        </w:tc>
      </w:tr>
      <w:tr w:rsidR="00892E66" w:rsidRPr="00706E04" w:rsidTr="00892E66">
        <w:tc>
          <w:tcPr>
            <w:tcW w:w="1299" w:type="dxa"/>
            <w:vMerge/>
            <w:tcBorders>
              <w:right w:val="nil"/>
            </w:tcBorders>
            <w:shd w:val="clear" w:color="auto" w:fill="4D7F52"/>
            <w:textDirection w:val="btLr"/>
          </w:tcPr>
          <w:p w:rsidR="00892E66" w:rsidRPr="005B3C15" w:rsidRDefault="00892E66" w:rsidP="00983919">
            <w:pPr>
              <w:ind w:left="113" w:right="113"/>
              <w:jc w:val="center"/>
              <w:rPr>
                <w:b/>
                <w:color w:val="FFFFFF" w:themeColor="background1"/>
              </w:rPr>
            </w:pPr>
          </w:p>
        </w:tc>
        <w:tc>
          <w:tcPr>
            <w:tcW w:w="6322" w:type="dxa"/>
            <w:tcBorders>
              <w:left w:val="nil"/>
            </w:tcBorders>
          </w:tcPr>
          <w:p w:rsidR="00892E66" w:rsidRPr="006A2E9A" w:rsidRDefault="00892E66" w:rsidP="00983919">
            <w:pPr>
              <w:rPr>
                <w:sz w:val="20"/>
                <w:szCs w:val="20"/>
              </w:rPr>
            </w:pPr>
            <w:r w:rsidRPr="006A2E9A">
              <w:rPr>
                <w:sz w:val="20"/>
                <w:szCs w:val="20"/>
              </w:rPr>
              <w:t>Tasa de archivo (archivadas/tramitadas)</w:t>
            </w:r>
          </w:p>
        </w:tc>
        <w:tc>
          <w:tcPr>
            <w:tcW w:w="1559" w:type="dxa"/>
          </w:tcPr>
          <w:p w:rsidR="00892E66" w:rsidRPr="00892E66" w:rsidRDefault="00892E66" w:rsidP="00892E66">
            <w:pPr>
              <w:jc w:val="center"/>
              <w:rPr>
                <w:sz w:val="20"/>
              </w:rPr>
            </w:pPr>
            <w:r>
              <w:rPr>
                <w:sz w:val="20"/>
              </w:rPr>
              <w:t>0</w:t>
            </w:r>
            <w:r w:rsidRPr="00892E66">
              <w:rPr>
                <w:sz w:val="20"/>
              </w:rPr>
              <w:t>,00</w:t>
            </w:r>
          </w:p>
        </w:tc>
      </w:tr>
    </w:tbl>
    <w:p w:rsidR="00B812AB" w:rsidRDefault="00B812AB" w:rsidP="00B812AB"/>
    <w:p w:rsidR="00055B15" w:rsidRDefault="00055B15" w:rsidP="00055B15">
      <w:pPr>
        <w:pStyle w:val="Cuerpodelboletn"/>
        <w:spacing w:before="120" w:after="120" w:line="312" w:lineRule="auto"/>
        <w:ind w:left="360"/>
        <w:rPr>
          <w:rStyle w:val="Ttulo2Car"/>
          <w:color w:val="00642D"/>
          <w:lang w:bidi="es-ES"/>
        </w:rPr>
      </w:pPr>
      <w:r w:rsidRPr="00A41DD5">
        <w:rPr>
          <w:rStyle w:val="Ttulo2Car"/>
          <w:color w:val="00642D"/>
          <w:lang w:bidi="es-ES"/>
        </w:rPr>
        <w:t>II.</w:t>
      </w:r>
      <w:r w:rsidR="00C34BB5">
        <w:rPr>
          <w:rStyle w:val="Ttulo2Car"/>
          <w:color w:val="00642D"/>
          <w:lang w:bidi="es-ES"/>
        </w:rPr>
        <w:t>3</w:t>
      </w:r>
      <w:r>
        <w:rPr>
          <w:rStyle w:val="Ttulo2Car"/>
          <w:color w:val="00642D"/>
          <w:lang w:bidi="es-ES"/>
        </w:rPr>
        <w:t xml:space="preserve"> </w:t>
      </w:r>
      <w:r w:rsidRPr="00055B15">
        <w:rPr>
          <w:rStyle w:val="Ttulo2Car"/>
          <w:color w:val="00642D"/>
          <w:lang w:bidi="es-ES"/>
        </w:rPr>
        <w:t xml:space="preserve">Resoluciones </w:t>
      </w:r>
      <w:r w:rsidR="008839AB">
        <w:rPr>
          <w:rStyle w:val="Ttulo2Car"/>
          <w:color w:val="00642D"/>
          <w:lang w:bidi="es-ES"/>
        </w:rPr>
        <w:t>dictadas</w:t>
      </w:r>
      <w:r w:rsidRPr="00055B15">
        <w:rPr>
          <w:rStyle w:val="Ttulo2Car"/>
          <w:color w:val="00642D"/>
          <w:lang w:bidi="es-ES"/>
        </w:rPr>
        <w:t xml:space="preserve"> en 202</w:t>
      </w:r>
      <w:r w:rsidR="008839AB">
        <w:rPr>
          <w:rStyle w:val="Ttulo2Car"/>
          <w:color w:val="00642D"/>
          <w:lang w:bidi="es-ES"/>
        </w:rPr>
        <w:t>2</w:t>
      </w:r>
    </w:p>
    <w:p w:rsidR="00DF4D57" w:rsidRDefault="00DF4D57" w:rsidP="00F34803">
      <w:pPr>
        <w:ind w:left="426"/>
        <w:jc w:val="both"/>
        <w:rPr>
          <w:rStyle w:val="Ttulo2Car"/>
          <w:b w:val="0"/>
          <w:color w:val="auto"/>
          <w:sz w:val="22"/>
          <w:szCs w:val="22"/>
          <w:lang w:bidi="es-ES"/>
        </w:rPr>
      </w:pPr>
    </w:p>
    <w:p w:rsidR="00F34803" w:rsidRPr="00577A83" w:rsidRDefault="00F34803" w:rsidP="00F34803">
      <w:pPr>
        <w:ind w:left="426"/>
        <w:jc w:val="both"/>
        <w:rPr>
          <w:rStyle w:val="Ttulo2Car"/>
          <w:color w:val="00642D"/>
          <w:lang w:bidi="es-ES"/>
        </w:rPr>
      </w:pPr>
      <w:r w:rsidRPr="0079124F">
        <w:rPr>
          <w:rStyle w:val="Ttulo2Car"/>
          <w:b w:val="0"/>
          <w:color w:val="auto"/>
          <w:sz w:val="22"/>
          <w:szCs w:val="22"/>
          <w:lang w:bidi="es-ES"/>
        </w:rPr>
        <w:t>Respecto de la</w:t>
      </w:r>
      <w:r w:rsidR="00BA266E" w:rsidRPr="0079124F">
        <w:rPr>
          <w:rStyle w:val="Ttulo2Car"/>
          <w:b w:val="0"/>
          <w:color w:val="auto"/>
          <w:sz w:val="22"/>
          <w:szCs w:val="22"/>
          <w:lang w:bidi="es-ES"/>
        </w:rPr>
        <w:t xml:space="preserve">s resoluciones </w:t>
      </w:r>
      <w:r w:rsidR="0079124F">
        <w:rPr>
          <w:rStyle w:val="Ttulo2Car"/>
          <w:b w:val="0"/>
          <w:color w:val="auto"/>
          <w:sz w:val="22"/>
          <w:szCs w:val="22"/>
          <w:lang w:bidi="es-ES"/>
        </w:rPr>
        <w:t>dictadas</w:t>
      </w:r>
      <w:r w:rsidR="00BA266E" w:rsidRPr="0079124F">
        <w:rPr>
          <w:rStyle w:val="Ttulo2Car"/>
          <w:b w:val="0"/>
          <w:color w:val="auto"/>
          <w:sz w:val="22"/>
          <w:szCs w:val="22"/>
          <w:lang w:bidi="es-ES"/>
        </w:rPr>
        <w:t xml:space="preserve"> en 202</w:t>
      </w:r>
      <w:r w:rsidR="0079124F">
        <w:rPr>
          <w:rStyle w:val="Ttulo2Car"/>
          <w:b w:val="0"/>
          <w:color w:val="auto"/>
          <w:sz w:val="22"/>
          <w:szCs w:val="22"/>
          <w:lang w:bidi="es-ES"/>
        </w:rPr>
        <w:t>2</w:t>
      </w:r>
      <w:r w:rsidR="00BA266E" w:rsidRPr="0079124F">
        <w:rPr>
          <w:rStyle w:val="Ttulo2Car"/>
          <w:b w:val="0"/>
          <w:color w:val="auto"/>
          <w:sz w:val="22"/>
          <w:szCs w:val="22"/>
          <w:lang w:bidi="es-ES"/>
        </w:rPr>
        <w:t xml:space="preserve">, </w:t>
      </w:r>
      <w:r w:rsidR="00577A83" w:rsidRPr="0079124F">
        <w:rPr>
          <w:rStyle w:val="Ttulo2Car"/>
          <w:b w:val="0"/>
          <w:color w:val="auto"/>
          <w:sz w:val="22"/>
          <w:szCs w:val="22"/>
          <w:lang w:bidi="es-ES"/>
        </w:rPr>
        <w:t>1</w:t>
      </w:r>
      <w:r w:rsidR="0079124F">
        <w:rPr>
          <w:rStyle w:val="Ttulo2Car"/>
          <w:b w:val="0"/>
          <w:color w:val="auto"/>
          <w:sz w:val="22"/>
          <w:szCs w:val="22"/>
          <w:lang w:bidi="es-ES"/>
        </w:rPr>
        <w:t xml:space="preserve">9 </w:t>
      </w:r>
      <w:r w:rsidR="00654162" w:rsidRPr="0079124F">
        <w:rPr>
          <w:rStyle w:val="Ttulo2Car"/>
          <w:b w:val="0"/>
          <w:color w:val="auto"/>
          <w:sz w:val="22"/>
          <w:szCs w:val="22"/>
          <w:lang w:bidi="es-ES"/>
        </w:rPr>
        <w:t>concedieron acceso a la información</w:t>
      </w:r>
      <w:r w:rsidR="0079124F">
        <w:rPr>
          <w:rStyle w:val="Ttulo2Car"/>
          <w:b w:val="0"/>
          <w:color w:val="auto"/>
          <w:sz w:val="22"/>
          <w:szCs w:val="22"/>
          <w:lang w:bidi="es-ES"/>
        </w:rPr>
        <w:t>, en dos casos el acceso a la información fue parcial</w:t>
      </w:r>
      <w:r w:rsidR="00654162" w:rsidRPr="0079124F">
        <w:rPr>
          <w:rStyle w:val="Ttulo2Car"/>
          <w:b w:val="0"/>
          <w:color w:val="auto"/>
          <w:sz w:val="22"/>
          <w:szCs w:val="22"/>
          <w:lang w:bidi="es-ES"/>
        </w:rPr>
        <w:t xml:space="preserve">. </w:t>
      </w:r>
      <w:r w:rsidR="006D6F55">
        <w:rPr>
          <w:rStyle w:val="Ttulo2Car"/>
          <w:b w:val="0"/>
          <w:color w:val="auto"/>
          <w:sz w:val="22"/>
          <w:szCs w:val="22"/>
          <w:lang w:bidi="es-ES"/>
        </w:rPr>
        <w:t>Ninguna resolución fue denegatoria</w:t>
      </w:r>
      <w:r w:rsidR="00AC109E" w:rsidRPr="0079124F">
        <w:rPr>
          <w:rStyle w:val="Ttulo2Car"/>
          <w:b w:val="0"/>
          <w:color w:val="auto"/>
          <w:sz w:val="22"/>
          <w:szCs w:val="22"/>
          <w:lang w:bidi="es-ES"/>
        </w:rPr>
        <w:t>.</w:t>
      </w:r>
    </w:p>
    <w:p w:rsidR="00F34803" w:rsidRDefault="006D6F55" w:rsidP="00F34803">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El INAP</w:t>
      </w:r>
      <w:r w:rsidR="005D006A">
        <w:rPr>
          <w:rStyle w:val="Ttulo2Car"/>
          <w:b w:val="0"/>
          <w:color w:val="auto"/>
          <w:sz w:val="22"/>
          <w:szCs w:val="22"/>
          <w:lang w:bidi="es-ES"/>
        </w:rPr>
        <w:t xml:space="preserve"> no publica </w:t>
      </w:r>
      <w:r w:rsidR="007F4BBB">
        <w:rPr>
          <w:rStyle w:val="Ttulo2Car"/>
          <w:b w:val="0"/>
          <w:color w:val="auto"/>
          <w:sz w:val="22"/>
          <w:szCs w:val="22"/>
          <w:lang w:bidi="es-ES"/>
        </w:rPr>
        <w:t xml:space="preserve"> las</w:t>
      </w:r>
      <w:r w:rsidR="00F34803" w:rsidRPr="00C25AF5">
        <w:rPr>
          <w:rStyle w:val="Ttulo2Car"/>
          <w:b w:val="0"/>
          <w:color w:val="auto"/>
          <w:sz w:val="22"/>
          <w:szCs w:val="22"/>
          <w:lang w:bidi="es-ES"/>
        </w:rPr>
        <w:t xml:space="preserve"> </w:t>
      </w:r>
      <w:r w:rsidR="005D006A">
        <w:rPr>
          <w:rStyle w:val="Ttulo2Car"/>
          <w:b w:val="0"/>
          <w:color w:val="auto"/>
          <w:sz w:val="22"/>
          <w:szCs w:val="22"/>
          <w:lang w:bidi="es-ES"/>
        </w:rPr>
        <w:t xml:space="preserve">resoluciones </w:t>
      </w:r>
      <w:r w:rsidR="00F34803" w:rsidRPr="00C25AF5">
        <w:rPr>
          <w:rStyle w:val="Ttulo2Car"/>
          <w:b w:val="0"/>
          <w:color w:val="auto"/>
          <w:sz w:val="22"/>
          <w:szCs w:val="22"/>
          <w:lang w:bidi="es-ES"/>
        </w:rPr>
        <w:t>denega</w:t>
      </w:r>
      <w:r w:rsidR="007F4BBB">
        <w:rPr>
          <w:rStyle w:val="Ttulo2Car"/>
          <w:b w:val="0"/>
          <w:color w:val="auto"/>
          <w:sz w:val="22"/>
          <w:szCs w:val="22"/>
          <w:lang w:bidi="es-ES"/>
        </w:rPr>
        <w:t>torias</w:t>
      </w:r>
      <w:r w:rsidR="00F34803" w:rsidRPr="00C25AF5">
        <w:rPr>
          <w:rStyle w:val="Ttulo2Car"/>
          <w:b w:val="0"/>
          <w:color w:val="auto"/>
          <w:sz w:val="22"/>
          <w:szCs w:val="22"/>
          <w:lang w:bidi="es-ES"/>
        </w:rPr>
        <w:t xml:space="preserve"> por aplicación de los límites del artículo 14 de</w:t>
      </w:r>
      <w:r w:rsidR="00F95C49" w:rsidRPr="00C25AF5">
        <w:rPr>
          <w:rStyle w:val="Ttulo2Car"/>
          <w:b w:val="0"/>
          <w:color w:val="auto"/>
          <w:sz w:val="22"/>
          <w:szCs w:val="22"/>
          <w:lang w:bidi="es-ES"/>
        </w:rPr>
        <w:t xml:space="preserve"> </w:t>
      </w:r>
      <w:r w:rsidR="00F34803" w:rsidRPr="00C25AF5">
        <w:rPr>
          <w:rStyle w:val="Ttulo2Car"/>
          <w:b w:val="0"/>
          <w:color w:val="auto"/>
          <w:sz w:val="22"/>
          <w:szCs w:val="22"/>
          <w:lang w:bidi="es-ES"/>
        </w:rPr>
        <w:t xml:space="preserve">la LTAIBG, tal y como establece el artículo 14.3 de la norma, que obliga a la publicación de estas resoluciones previa disociación de los datos de carácter personal. </w:t>
      </w:r>
    </w:p>
    <w:p w:rsidR="006D6F55" w:rsidRDefault="006D6F55" w:rsidP="00F34803">
      <w:pPr>
        <w:pStyle w:val="Cuerpodelboletn"/>
        <w:spacing w:before="120" w:after="120" w:line="276" w:lineRule="auto"/>
        <w:ind w:left="426"/>
        <w:rPr>
          <w:rStyle w:val="Ttulo2Car"/>
          <w:b w:val="0"/>
          <w:color w:val="auto"/>
          <w:sz w:val="22"/>
          <w:szCs w:val="22"/>
          <w:lang w:bidi="es-ES"/>
        </w:rPr>
      </w:pPr>
    </w:p>
    <w:p w:rsidR="006D6F55" w:rsidRDefault="006D6F55" w:rsidP="00F34803">
      <w:pPr>
        <w:pStyle w:val="Cuerpodelboletn"/>
        <w:spacing w:before="120" w:after="120" w:line="276" w:lineRule="auto"/>
        <w:ind w:left="426"/>
        <w:rPr>
          <w:rStyle w:val="Ttulo2Car"/>
          <w:b w:val="0"/>
          <w:color w:val="auto"/>
          <w:sz w:val="22"/>
          <w:szCs w:val="22"/>
          <w:lang w:bidi="es-ES"/>
        </w:rPr>
      </w:pPr>
    </w:p>
    <w:p w:rsidR="006D6F55" w:rsidRPr="009079EA" w:rsidRDefault="006D6F55" w:rsidP="00F34803">
      <w:pPr>
        <w:pStyle w:val="Cuerpodelboletn"/>
        <w:spacing w:before="120" w:after="120" w:line="276" w:lineRule="auto"/>
        <w:ind w:left="426"/>
        <w:rPr>
          <w:rStyle w:val="Ttulo2Car"/>
          <w:b w:val="0"/>
          <w:color w:val="auto"/>
          <w:sz w:val="22"/>
          <w:szCs w:val="22"/>
          <w:lang w:bidi="es-ES"/>
        </w:rPr>
      </w:pPr>
    </w:p>
    <w:p w:rsidR="00F7263F" w:rsidRDefault="00F7263F" w:rsidP="00F7263F">
      <w:pPr>
        <w:pStyle w:val="Cuerpodelboletn"/>
        <w:spacing w:before="120" w:after="120" w:line="312" w:lineRule="auto"/>
        <w:ind w:left="360"/>
        <w:rPr>
          <w:rStyle w:val="Ttulo2Car"/>
          <w:color w:val="00642D"/>
          <w:lang w:bidi="es-ES"/>
        </w:rPr>
      </w:pPr>
      <w:r w:rsidRPr="00A41DD5">
        <w:rPr>
          <w:rStyle w:val="Ttulo2Car"/>
          <w:color w:val="00642D"/>
          <w:lang w:bidi="es-ES"/>
        </w:rPr>
        <w:lastRenderedPageBreak/>
        <w:t>II.</w:t>
      </w:r>
      <w:r w:rsidR="00C34BB5">
        <w:rPr>
          <w:rStyle w:val="Ttulo2Car"/>
          <w:color w:val="00642D"/>
          <w:lang w:bidi="es-ES"/>
        </w:rPr>
        <w:t>4</w:t>
      </w:r>
      <w:r>
        <w:rPr>
          <w:rStyle w:val="Ttulo2Car"/>
          <w:color w:val="00642D"/>
          <w:lang w:bidi="es-ES"/>
        </w:rPr>
        <w:t xml:space="preserve"> Indicadores de resolución en 202</w:t>
      </w:r>
      <w:r w:rsidR="008839AB">
        <w:rPr>
          <w:rStyle w:val="Ttulo2Car"/>
          <w:color w:val="00642D"/>
          <w:lang w:bidi="es-ES"/>
        </w:rPr>
        <w:t>2</w:t>
      </w:r>
    </w:p>
    <w:p w:rsidR="001252EE" w:rsidRDefault="001252EE" w:rsidP="00F34803">
      <w:pPr>
        <w:ind w:left="426"/>
        <w:jc w:val="both"/>
      </w:pPr>
    </w:p>
    <w:p w:rsidR="00F34803" w:rsidRPr="006D6F55" w:rsidRDefault="006D6F55" w:rsidP="00F34803">
      <w:pPr>
        <w:ind w:left="426"/>
        <w:jc w:val="both"/>
      </w:pPr>
      <w:r>
        <w:t>El INAP</w:t>
      </w:r>
      <w:r w:rsidR="00AC109E" w:rsidRPr="006D6F55">
        <w:t xml:space="preserve"> </w:t>
      </w:r>
      <w:r>
        <w:t>dicta</w:t>
      </w:r>
      <w:r w:rsidR="00F34803" w:rsidRPr="006D6F55">
        <w:t xml:space="preserve"> resoluciones expresas para la totalidad de las solicitudes admitidas. </w:t>
      </w:r>
      <w:r w:rsidR="00AC109E" w:rsidRPr="006D6F55">
        <w:t xml:space="preserve">Casi el 70% de las resoluciones emitidas concede el acceso a la información, de estas el 69% concede acceso total. Un 4,35% de las resoluciones deniega la información solicitada aplicando los límites del artículo 14 de la LTAIBG. Poco más del 26% de las solicitudes finalizan por desistimiento u otras causas. </w:t>
      </w:r>
      <w:r w:rsidR="00F34803" w:rsidRPr="006D6F55">
        <w:t>Ninguna solicitud ha sido desestimada por silencio administrativo.</w:t>
      </w:r>
    </w:p>
    <w:p w:rsidR="001E1C29" w:rsidRPr="006D6F55" w:rsidRDefault="001E1C29" w:rsidP="001E1C29">
      <w:pPr>
        <w:pStyle w:val="Epgrafe"/>
        <w:keepNext/>
        <w:ind w:left="426"/>
        <w:rPr>
          <w:rStyle w:val="Ttulo2Car"/>
          <w:b/>
          <w:color w:val="00642D"/>
          <w:sz w:val="22"/>
          <w:szCs w:val="22"/>
          <w:lang w:bidi="es-ES"/>
        </w:rPr>
      </w:pPr>
      <w:r w:rsidRPr="006D6F55">
        <w:rPr>
          <w:rStyle w:val="Ttulo2Car"/>
          <w:b/>
          <w:color w:val="00642D"/>
          <w:sz w:val="22"/>
          <w:szCs w:val="22"/>
          <w:lang w:bidi="es-ES"/>
        </w:rPr>
        <w:t xml:space="preserve">Tabla </w:t>
      </w:r>
      <w:r w:rsidRPr="006D6F55">
        <w:rPr>
          <w:rStyle w:val="Ttulo2Car"/>
          <w:b/>
          <w:color w:val="00642D"/>
          <w:sz w:val="22"/>
          <w:szCs w:val="22"/>
          <w:lang w:bidi="es-ES"/>
        </w:rPr>
        <w:fldChar w:fldCharType="begin"/>
      </w:r>
      <w:r w:rsidRPr="006D6F55">
        <w:rPr>
          <w:rStyle w:val="Ttulo2Car"/>
          <w:b/>
          <w:color w:val="00642D"/>
          <w:sz w:val="22"/>
          <w:szCs w:val="22"/>
          <w:lang w:bidi="es-ES"/>
        </w:rPr>
        <w:instrText xml:space="preserve"> SEQ Tabla \* ARABIC </w:instrText>
      </w:r>
      <w:r w:rsidRPr="006D6F55">
        <w:rPr>
          <w:rStyle w:val="Ttulo2Car"/>
          <w:b/>
          <w:color w:val="00642D"/>
          <w:sz w:val="22"/>
          <w:szCs w:val="22"/>
          <w:lang w:bidi="es-ES"/>
        </w:rPr>
        <w:fldChar w:fldCharType="separate"/>
      </w:r>
      <w:r w:rsidRPr="006D6F55">
        <w:rPr>
          <w:rStyle w:val="Ttulo2Car"/>
          <w:b/>
          <w:color w:val="00642D"/>
          <w:sz w:val="22"/>
          <w:szCs w:val="22"/>
          <w:lang w:bidi="es-ES"/>
        </w:rPr>
        <w:t>2</w:t>
      </w:r>
      <w:r w:rsidRPr="006D6F55">
        <w:rPr>
          <w:rStyle w:val="Ttulo2Car"/>
          <w:b/>
          <w:color w:val="00642D"/>
          <w:sz w:val="22"/>
          <w:szCs w:val="22"/>
          <w:lang w:bidi="es-ES"/>
        </w:rPr>
        <w:fldChar w:fldCharType="end"/>
      </w:r>
      <w:r w:rsidRPr="006D6F55">
        <w:rPr>
          <w:rStyle w:val="Ttulo2Car"/>
          <w:b/>
          <w:color w:val="00642D"/>
          <w:sz w:val="22"/>
          <w:szCs w:val="22"/>
          <w:lang w:bidi="es-ES"/>
        </w:rPr>
        <w:t>: Indicadores de Resolución</w:t>
      </w:r>
      <w:r w:rsidR="00531D64" w:rsidRPr="006D6F55">
        <w:rPr>
          <w:rStyle w:val="Ttulo2Car"/>
          <w:b/>
          <w:color w:val="00642D"/>
          <w:sz w:val="22"/>
          <w:szCs w:val="22"/>
          <w:lang w:bidi="es-ES"/>
        </w:rPr>
        <w:t xml:space="preserve"> </w:t>
      </w:r>
      <w:r w:rsidRPr="006D6F55">
        <w:rPr>
          <w:rStyle w:val="Ttulo2Car"/>
          <w:b/>
          <w:color w:val="00642D"/>
          <w:sz w:val="22"/>
          <w:szCs w:val="22"/>
          <w:lang w:bidi="es-ES"/>
        </w:rPr>
        <w:t>202</w:t>
      </w:r>
      <w:r w:rsidR="006D6F55">
        <w:rPr>
          <w:rStyle w:val="Ttulo2Car"/>
          <w:b/>
          <w:color w:val="00642D"/>
          <w:sz w:val="22"/>
          <w:szCs w:val="22"/>
          <w:lang w:bidi="es-ES"/>
        </w:rPr>
        <w:t>2</w:t>
      </w:r>
    </w:p>
    <w:tbl>
      <w:tblPr>
        <w:tblStyle w:val="Tablaconcuadrcula"/>
        <w:tblW w:w="0" w:type="auto"/>
        <w:tblInd w:w="534" w:type="dxa"/>
        <w:tblLook w:val="04A0" w:firstRow="1" w:lastRow="0" w:firstColumn="1" w:lastColumn="0" w:noHBand="0" w:noVBand="1"/>
      </w:tblPr>
      <w:tblGrid>
        <w:gridCol w:w="1299"/>
        <w:gridCol w:w="6322"/>
        <w:gridCol w:w="1559"/>
      </w:tblGrid>
      <w:tr w:rsidR="00AC109E" w:rsidRPr="006D6F55" w:rsidTr="00AC109E">
        <w:tc>
          <w:tcPr>
            <w:tcW w:w="1299" w:type="dxa"/>
            <w:vMerge w:val="restart"/>
            <w:tcBorders>
              <w:top w:val="nil"/>
              <w:right w:val="nil"/>
            </w:tcBorders>
            <w:shd w:val="clear" w:color="auto" w:fill="4D7F52"/>
            <w:textDirection w:val="btLr"/>
          </w:tcPr>
          <w:p w:rsidR="00AC109E" w:rsidRPr="006D6F55" w:rsidRDefault="00AC109E" w:rsidP="00055B15">
            <w:pPr>
              <w:ind w:left="113" w:right="113"/>
              <w:jc w:val="center"/>
              <w:rPr>
                <w:b/>
                <w:color w:val="FFFFFF" w:themeColor="background1"/>
              </w:rPr>
            </w:pPr>
            <w:r w:rsidRPr="006D6F55">
              <w:rPr>
                <w:b/>
                <w:color w:val="FFFFFF" w:themeColor="background1"/>
              </w:rPr>
              <w:t>Indicadores de resolución</w:t>
            </w:r>
          </w:p>
        </w:tc>
        <w:tc>
          <w:tcPr>
            <w:tcW w:w="6322" w:type="dxa"/>
            <w:tcBorders>
              <w:left w:val="nil"/>
            </w:tcBorders>
          </w:tcPr>
          <w:p w:rsidR="00AC109E" w:rsidRPr="006D6F55" w:rsidRDefault="00AC109E" w:rsidP="00AD1DBF">
            <w:pPr>
              <w:rPr>
                <w:sz w:val="20"/>
                <w:szCs w:val="20"/>
              </w:rPr>
            </w:pPr>
            <w:r w:rsidRPr="006D6F55">
              <w:rPr>
                <w:sz w:val="20"/>
                <w:szCs w:val="20"/>
              </w:rPr>
              <w:t>Tasa de resolución (resoluciones expresas /solicitudes admitidas)</w:t>
            </w:r>
          </w:p>
        </w:tc>
        <w:tc>
          <w:tcPr>
            <w:tcW w:w="1559" w:type="dxa"/>
            <w:vAlign w:val="center"/>
          </w:tcPr>
          <w:p w:rsidR="00AC109E" w:rsidRPr="006D6F55" w:rsidRDefault="00AC109E" w:rsidP="00AC109E">
            <w:pPr>
              <w:jc w:val="center"/>
              <w:rPr>
                <w:sz w:val="20"/>
                <w:szCs w:val="20"/>
              </w:rPr>
            </w:pPr>
            <w:r w:rsidRPr="006D6F55">
              <w:rPr>
                <w:sz w:val="20"/>
                <w:szCs w:val="20"/>
              </w:rPr>
              <w:t>100,00</w:t>
            </w:r>
          </w:p>
        </w:tc>
      </w:tr>
      <w:tr w:rsidR="00AC109E" w:rsidRPr="006D6F55" w:rsidTr="00AC109E">
        <w:tc>
          <w:tcPr>
            <w:tcW w:w="1299" w:type="dxa"/>
            <w:vMerge/>
            <w:tcBorders>
              <w:right w:val="nil"/>
            </w:tcBorders>
            <w:shd w:val="clear" w:color="auto" w:fill="4D7F52"/>
            <w:textDirection w:val="btLr"/>
          </w:tcPr>
          <w:p w:rsidR="00AC109E" w:rsidRPr="006D6F55" w:rsidRDefault="00AC109E" w:rsidP="00055B15">
            <w:pPr>
              <w:ind w:left="113" w:right="113"/>
              <w:jc w:val="center"/>
              <w:rPr>
                <w:b/>
                <w:color w:val="FFFFFF" w:themeColor="background1"/>
              </w:rPr>
            </w:pPr>
          </w:p>
        </w:tc>
        <w:tc>
          <w:tcPr>
            <w:tcW w:w="6322" w:type="dxa"/>
            <w:tcBorders>
              <w:left w:val="nil"/>
            </w:tcBorders>
          </w:tcPr>
          <w:p w:rsidR="00AC109E" w:rsidRPr="006D6F55" w:rsidRDefault="00AC109E" w:rsidP="00FD5B21">
            <w:pPr>
              <w:rPr>
                <w:sz w:val="20"/>
                <w:szCs w:val="20"/>
              </w:rPr>
            </w:pPr>
            <w:r w:rsidRPr="006D6F55">
              <w:rPr>
                <w:sz w:val="20"/>
                <w:szCs w:val="20"/>
              </w:rPr>
              <w:t>Porcentaje de resoluciones que conceden el acceso</w:t>
            </w:r>
          </w:p>
        </w:tc>
        <w:tc>
          <w:tcPr>
            <w:tcW w:w="1559" w:type="dxa"/>
            <w:vAlign w:val="center"/>
          </w:tcPr>
          <w:p w:rsidR="00AC109E" w:rsidRPr="006D6F55" w:rsidRDefault="004D165C" w:rsidP="00AC109E">
            <w:pPr>
              <w:jc w:val="center"/>
              <w:rPr>
                <w:sz w:val="20"/>
                <w:szCs w:val="20"/>
              </w:rPr>
            </w:pPr>
            <w:r>
              <w:rPr>
                <w:sz w:val="20"/>
                <w:szCs w:val="20"/>
              </w:rPr>
              <w:t>100,00</w:t>
            </w:r>
          </w:p>
        </w:tc>
      </w:tr>
      <w:tr w:rsidR="00AC109E" w:rsidRPr="006D6F55" w:rsidTr="00AC109E">
        <w:tc>
          <w:tcPr>
            <w:tcW w:w="1299" w:type="dxa"/>
            <w:vMerge/>
            <w:tcBorders>
              <w:right w:val="nil"/>
            </w:tcBorders>
            <w:shd w:val="clear" w:color="auto" w:fill="4D7F52"/>
            <w:textDirection w:val="btLr"/>
          </w:tcPr>
          <w:p w:rsidR="00AC109E" w:rsidRPr="006D6F55" w:rsidRDefault="00AC109E" w:rsidP="00055B15">
            <w:pPr>
              <w:ind w:left="113" w:right="113"/>
              <w:jc w:val="center"/>
              <w:rPr>
                <w:b/>
                <w:color w:val="FFFFFF" w:themeColor="background1"/>
              </w:rPr>
            </w:pPr>
          </w:p>
        </w:tc>
        <w:tc>
          <w:tcPr>
            <w:tcW w:w="6322" w:type="dxa"/>
            <w:tcBorders>
              <w:left w:val="nil"/>
            </w:tcBorders>
          </w:tcPr>
          <w:p w:rsidR="00AC109E" w:rsidRPr="006D6F55" w:rsidRDefault="00AC109E" w:rsidP="00055B15">
            <w:pPr>
              <w:rPr>
                <w:sz w:val="20"/>
                <w:szCs w:val="20"/>
              </w:rPr>
            </w:pPr>
            <w:r w:rsidRPr="006D6F55">
              <w:rPr>
                <w:sz w:val="20"/>
                <w:szCs w:val="20"/>
              </w:rPr>
              <w:t>Porcentaje de resoluciones que conceden acceso parcial</w:t>
            </w:r>
          </w:p>
        </w:tc>
        <w:tc>
          <w:tcPr>
            <w:tcW w:w="1559" w:type="dxa"/>
            <w:vAlign w:val="center"/>
          </w:tcPr>
          <w:p w:rsidR="00AC109E" w:rsidRPr="006D6F55" w:rsidRDefault="004D165C" w:rsidP="00AC109E">
            <w:pPr>
              <w:jc w:val="center"/>
              <w:rPr>
                <w:sz w:val="20"/>
                <w:szCs w:val="20"/>
              </w:rPr>
            </w:pPr>
            <w:r>
              <w:rPr>
                <w:sz w:val="20"/>
                <w:szCs w:val="20"/>
              </w:rPr>
              <w:t>10,52</w:t>
            </w:r>
          </w:p>
        </w:tc>
      </w:tr>
      <w:tr w:rsidR="00AC109E" w:rsidRPr="006D6F55" w:rsidTr="00AC109E">
        <w:tc>
          <w:tcPr>
            <w:tcW w:w="1299" w:type="dxa"/>
            <w:vMerge/>
            <w:tcBorders>
              <w:right w:val="nil"/>
            </w:tcBorders>
            <w:shd w:val="clear" w:color="auto" w:fill="4D7F52"/>
            <w:textDirection w:val="btLr"/>
          </w:tcPr>
          <w:p w:rsidR="00AC109E" w:rsidRPr="006D6F55" w:rsidRDefault="00AC109E" w:rsidP="00055B15">
            <w:pPr>
              <w:ind w:left="113" w:right="113"/>
              <w:jc w:val="center"/>
              <w:rPr>
                <w:b/>
                <w:color w:val="FFFFFF" w:themeColor="background1"/>
              </w:rPr>
            </w:pPr>
          </w:p>
        </w:tc>
        <w:tc>
          <w:tcPr>
            <w:tcW w:w="6322" w:type="dxa"/>
            <w:tcBorders>
              <w:left w:val="nil"/>
            </w:tcBorders>
          </w:tcPr>
          <w:p w:rsidR="00AC109E" w:rsidRPr="006D6F55" w:rsidRDefault="00AC109E" w:rsidP="00055B15">
            <w:pPr>
              <w:rPr>
                <w:sz w:val="20"/>
                <w:szCs w:val="20"/>
              </w:rPr>
            </w:pPr>
            <w:r w:rsidRPr="006D6F55">
              <w:rPr>
                <w:sz w:val="20"/>
                <w:szCs w:val="20"/>
              </w:rPr>
              <w:t>Porcentaje de resoluciones que conceden acceso total</w:t>
            </w:r>
          </w:p>
        </w:tc>
        <w:tc>
          <w:tcPr>
            <w:tcW w:w="1559" w:type="dxa"/>
            <w:vAlign w:val="center"/>
          </w:tcPr>
          <w:p w:rsidR="00AC109E" w:rsidRPr="006D6F55" w:rsidRDefault="004D165C" w:rsidP="00AC109E">
            <w:pPr>
              <w:jc w:val="center"/>
              <w:rPr>
                <w:sz w:val="20"/>
                <w:szCs w:val="20"/>
              </w:rPr>
            </w:pPr>
            <w:r>
              <w:rPr>
                <w:sz w:val="20"/>
                <w:szCs w:val="20"/>
              </w:rPr>
              <w:t>89,47</w:t>
            </w:r>
          </w:p>
        </w:tc>
      </w:tr>
      <w:tr w:rsidR="00AC109E" w:rsidRPr="006D6F55" w:rsidTr="00AC109E">
        <w:tc>
          <w:tcPr>
            <w:tcW w:w="1299" w:type="dxa"/>
            <w:vMerge/>
            <w:tcBorders>
              <w:right w:val="nil"/>
            </w:tcBorders>
            <w:shd w:val="clear" w:color="auto" w:fill="4D7F52"/>
            <w:textDirection w:val="btLr"/>
          </w:tcPr>
          <w:p w:rsidR="00AC109E" w:rsidRPr="006D6F55" w:rsidRDefault="00AC109E" w:rsidP="00055B15">
            <w:pPr>
              <w:ind w:left="113" w:right="113"/>
              <w:jc w:val="center"/>
              <w:rPr>
                <w:b/>
                <w:color w:val="FFFFFF" w:themeColor="background1"/>
              </w:rPr>
            </w:pPr>
          </w:p>
        </w:tc>
        <w:tc>
          <w:tcPr>
            <w:tcW w:w="6322" w:type="dxa"/>
            <w:tcBorders>
              <w:left w:val="nil"/>
            </w:tcBorders>
          </w:tcPr>
          <w:p w:rsidR="00AC109E" w:rsidRPr="006D6F55" w:rsidRDefault="00AC109E" w:rsidP="00055B15">
            <w:pPr>
              <w:rPr>
                <w:sz w:val="20"/>
                <w:szCs w:val="20"/>
              </w:rPr>
            </w:pPr>
            <w:r w:rsidRPr="006D6F55">
              <w:rPr>
                <w:sz w:val="20"/>
                <w:szCs w:val="20"/>
              </w:rPr>
              <w:t>Porcentaje de resoluciones que deniegan el acceso</w:t>
            </w:r>
          </w:p>
        </w:tc>
        <w:tc>
          <w:tcPr>
            <w:tcW w:w="1559" w:type="dxa"/>
            <w:vAlign w:val="center"/>
          </w:tcPr>
          <w:p w:rsidR="00AC109E" w:rsidRPr="006D6F55" w:rsidRDefault="004D165C" w:rsidP="00AC109E">
            <w:pPr>
              <w:jc w:val="center"/>
              <w:rPr>
                <w:sz w:val="20"/>
                <w:szCs w:val="20"/>
              </w:rPr>
            </w:pPr>
            <w:r>
              <w:rPr>
                <w:sz w:val="20"/>
                <w:szCs w:val="20"/>
              </w:rPr>
              <w:t>0,00</w:t>
            </w:r>
          </w:p>
        </w:tc>
      </w:tr>
      <w:tr w:rsidR="00AC109E" w:rsidRPr="006D6F55" w:rsidTr="00AC109E">
        <w:tc>
          <w:tcPr>
            <w:tcW w:w="1299" w:type="dxa"/>
            <w:vMerge/>
            <w:tcBorders>
              <w:right w:val="nil"/>
            </w:tcBorders>
            <w:shd w:val="clear" w:color="auto" w:fill="4D7F52"/>
            <w:textDirection w:val="btLr"/>
          </w:tcPr>
          <w:p w:rsidR="00AC109E" w:rsidRPr="006D6F55" w:rsidRDefault="00AC109E" w:rsidP="00055B15">
            <w:pPr>
              <w:ind w:left="113" w:right="113"/>
              <w:jc w:val="center"/>
              <w:rPr>
                <w:b/>
                <w:color w:val="FFFFFF" w:themeColor="background1"/>
              </w:rPr>
            </w:pPr>
          </w:p>
        </w:tc>
        <w:tc>
          <w:tcPr>
            <w:tcW w:w="6322" w:type="dxa"/>
            <w:tcBorders>
              <w:left w:val="nil"/>
            </w:tcBorders>
          </w:tcPr>
          <w:p w:rsidR="00AC109E" w:rsidRPr="006D6F55" w:rsidRDefault="00AC109E" w:rsidP="00055B15">
            <w:pPr>
              <w:rPr>
                <w:sz w:val="20"/>
                <w:szCs w:val="20"/>
              </w:rPr>
            </w:pPr>
            <w:r w:rsidRPr="006D6F55">
              <w:rPr>
                <w:sz w:val="20"/>
                <w:szCs w:val="20"/>
              </w:rPr>
              <w:t>Porcentaje de resoluciones que finalizan por silencio administrativo</w:t>
            </w:r>
          </w:p>
        </w:tc>
        <w:tc>
          <w:tcPr>
            <w:tcW w:w="1559" w:type="dxa"/>
            <w:vAlign w:val="center"/>
          </w:tcPr>
          <w:p w:rsidR="00AC109E" w:rsidRPr="006D6F55" w:rsidRDefault="004D165C" w:rsidP="00AC109E">
            <w:pPr>
              <w:jc w:val="center"/>
              <w:rPr>
                <w:sz w:val="20"/>
                <w:szCs w:val="20"/>
              </w:rPr>
            </w:pPr>
            <w:r>
              <w:rPr>
                <w:sz w:val="20"/>
                <w:szCs w:val="20"/>
              </w:rPr>
              <w:t>0</w:t>
            </w:r>
            <w:r w:rsidR="00AC109E" w:rsidRPr="006D6F55">
              <w:rPr>
                <w:sz w:val="20"/>
                <w:szCs w:val="20"/>
              </w:rPr>
              <w:t>,00</w:t>
            </w:r>
          </w:p>
        </w:tc>
      </w:tr>
    </w:tbl>
    <w:p w:rsidR="00055B15" w:rsidRDefault="00055B15" w:rsidP="00B812AB"/>
    <w:p w:rsidR="00B812AB" w:rsidRPr="00E34195" w:rsidRDefault="00EB237F"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B378E2" w:rsidRDefault="004D165C" w:rsidP="00411640">
      <w:pPr>
        <w:ind w:left="426"/>
        <w:jc w:val="both"/>
        <w:rPr>
          <w:rStyle w:val="Ttulo2Car"/>
          <w:b w:val="0"/>
          <w:color w:val="auto"/>
          <w:sz w:val="22"/>
          <w:szCs w:val="22"/>
          <w:lang w:bidi="es-ES"/>
        </w:rPr>
      </w:pPr>
      <w:r>
        <w:rPr>
          <w:rStyle w:val="Ttulo2Car"/>
          <w:b w:val="0"/>
          <w:color w:val="auto"/>
          <w:sz w:val="22"/>
          <w:szCs w:val="22"/>
          <w:lang w:bidi="es-ES"/>
        </w:rPr>
        <w:t>El INAP</w:t>
      </w:r>
      <w:r w:rsidR="00B378E2">
        <w:rPr>
          <w:rStyle w:val="Ttulo2Car"/>
          <w:b w:val="0"/>
          <w:color w:val="auto"/>
          <w:sz w:val="22"/>
          <w:szCs w:val="22"/>
          <w:lang w:bidi="es-ES"/>
        </w:rPr>
        <w:t xml:space="preserve"> </w:t>
      </w:r>
      <w:r w:rsidR="008839AB">
        <w:rPr>
          <w:rStyle w:val="Ttulo2Car"/>
          <w:b w:val="0"/>
          <w:color w:val="auto"/>
          <w:sz w:val="22"/>
          <w:szCs w:val="22"/>
          <w:lang w:bidi="es-ES"/>
        </w:rPr>
        <w:t xml:space="preserve">no </w:t>
      </w:r>
      <w:r w:rsidR="00411640" w:rsidRPr="00411640">
        <w:rPr>
          <w:rStyle w:val="Ttulo2Car"/>
          <w:b w:val="0"/>
          <w:color w:val="auto"/>
          <w:sz w:val="22"/>
          <w:szCs w:val="22"/>
          <w:lang w:bidi="es-ES"/>
        </w:rPr>
        <w:t>cuenta</w:t>
      </w:r>
      <w:r w:rsidR="00411640">
        <w:rPr>
          <w:rStyle w:val="Ttulo2Car"/>
          <w:b w:val="0"/>
          <w:color w:val="auto"/>
          <w:sz w:val="22"/>
          <w:szCs w:val="22"/>
          <w:lang w:bidi="es-ES"/>
        </w:rPr>
        <w:t xml:space="preserve"> en su </w:t>
      </w:r>
      <w:r w:rsidR="00EE3509">
        <w:rPr>
          <w:rStyle w:val="Ttulo2Car"/>
          <w:b w:val="0"/>
          <w:color w:val="auto"/>
          <w:sz w:val="22"/>
          <w:szCs w:val="22"/>
          <w:lang w:bidi="es-ES"/>
        </w:rPr>
        <w:t>web institucional</w:t>
      </w:r>
      <w:r w:rsidR="00411640">
        <w:rPr>
          <w:rStyle w:val="Ttulo2Car"/>
          <w:b w:val="0"/>
          <w:color w:val="auto"/>
          <w:sz w:val="22"/>
          <w:szCs w:val="22"/>
          <w:lang w:bidi="es-ES"/>
        </w:rPr>
        <w:t xml:space="preserve"> </w:t>
      </w:r>
      <w:r w:rsidR="00411640" w:rsidRPr="00411640">
        <w:rPr>
          <w:rStyle w:val="Ttulo2Car"/>
          <w:b w:val="0"/>
          <w:color w:val="auto"/>
          <w:sz w:val="22"/>
          <w:szCs w:val="22"/>
          <w:lang w:bidi="es-ES"/>
        </w:rPr>
        <w:t xml:space="preserve">con un apartado específico </w:t>
      </w:r>
      <w:r w:rsidR="008839AB">
        <w:rPr>
          <w:rStyle w:val="Ttulo2Car"/>
          <w:b w:val="0"/>
          <w:color w:val="auto"/>
          <w:sz w:val="22"/>
          <w:szCs w:val="22"/>
          <w:lang w:bidi="es-ES"/>
        </w:rPr>
        <w:t xml:space="preserve">para la presentación de las solicitudes de acceso a información pública de la entidad. En consecuencia, </w:t>
      </w:r>
      <w:r w:rsidR="00E57E17">
        <w:rPr>
          <w:rStyle w:val="Ttulo2Car"/>
          <w:b w:val="0"/>
          <w:color w:val="auto"/>
          <w:sz w:val="22"/>
          <w:szCs w:val="22"/>
          <w:lang w:bidi="es-ES"/>
        </w:rPr>
        <w:t xml:space="preserve"> </w:t>
      </w:r>
      <w:r w:rsidR="008839AB">
        <w:rPr>
          <w:rStyle w:val="Ttulo2Car"/>
          <w:b w:val="0"/>
          <w:color w:val="auto"/>
          <w:sz w:val="22"/>
          <w:szCs w:val="22"/>
          <w:lang w:bidi="es-ES"/>
        </w:rPr>
        <w:t xml:space="preserve">no </w:t>
      </w:r>
      <w:r w:rsidR="00E57E17">
        <w:rPr>
          <w:rStyle w:val="Ttulo2Car"/>
          <w:b w:val="0"/>
          <w:color w:val="auto"/>
          <w:sz w:val="22"/>
          <w:szCs w:val="22"/>
          <w:lang w:bidi="es-ES"/>
        </w:rPr>
        <w:t>se informa</w:t>
      </w:r>
      <w:r w:rsidR="008839AB">
        <w:rPr>
          <w:rStyle w:val="Ttulo2Car"/>
          <w:b w:val="0"/>
          <w:color w:val="auto"/>
          <w:sz w:val="22"/>
          <w:szCs w:val="22"/>
          <w:lang w:bidi="es-ES"/>
        </w:rPr>
        <w:t xml:space="preserve"> sobre el derecho de los ciudadanos a solicitar información pública del </w:t>
      </w:r>
      <w:r w:rsidR="00DA5100">
        <w:rPr>
          <w:rStyle w:val="Ttulo2Car"/>
          <w:b w:val="0"/>
          <w:color w:val="auto"/>
          <w:sz w:val="22"/>
          <w:szCs w:val="22"/>
          <w:lang w:bidi="es-ES"/>
        </w:rPr>
        <w:t>organismo</w:t>
      </w:r>
      <w:r w:rsidR="008839AB">
        <w:rPr>
          <w:rStyle w:val="Ttulo2Car"/>
          <w:b w:val="0"/>
          <w:color w:val="auto"/>
          <w:sz w:val="22"/>
          <w:szCs w:val="22"/>
          <w:lang w:bidi="es-ES"/>
        </w:rPr>
        <w:t>, al amparo de la LTAIBG y tampoco sobre</w:t>
      </w:r>
      <w:r w:rsidR="00E57E17">
        <w:rPr>
          <w:rStyle w:val="Ttulo2Car"/>
          <w:b w:val="0"/>
          <w:color w:val="auto"/>
          <w:sz w:val="22"/>
          <w:szCs w:val="22"/>
          <w:lang w:bidi="es-ES"/>
        </w:rPr>
        <w:t xml:space="preserve"> los medios habilitados </w:t>
      </w:r>
      <w:r w:rsidR="008839AB">
        <w:rPr>
          <w:rStyle w:val="Ttulo2Car"/>
          <w:b w:val="0"/>
          <w:color w:val="auto"/>
          <w:sz w:val="22"/>
          <w:szCs w:val="22"/>
          <w:lang w:bidi="es-ES"/>
        </w:rPr>
        <w:t>ni sobre los requisitos exigidos para la presentación de estas solicitudes</w:t>
      </w:r>
      <w:r w:rsidR="00411640" w:rsidRPr="00411640">
        <w:rPr>
          <w:rStyle w:val="Ttulo2Car"/>
          <w:b w:val="0"/>
          <w:color w:val="auto"/>
          <w:sz w:val="22"/>
          <w:szCs w:val="22"/>
          <w:lang w:bidi="es-ES"/>
        </w:rPr>
        <w:t xml:space="preserve">. </w:t>
      </w:r>
    </w:p>
    <w:p w:rsidR="00B40246" w:rsidRPr="00E34195" w:rsidRDefault="00EB237F"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1E1C29" w:rsidRDefault="00F34803" w:rsidP="00A915A2">
      <w:pPr>
        <w:pStyle w:val="Cuerpodelboletn"/>
        <w:spacing w:before="120" w:after="120" w:line="276" w:lineRule="auto"/>
        <w:ind w:left="426"/>
        <w:rPr>
          <w:rStyle w:val="Ttulo2Car"/>
          <w:sz w:val="22"/>
          <w:szCs w:val="22"/>
        </w:rPr>
      </w:pPr>
      <w:r w:rsidRPr="005C4D89">
        <w:rPr>
          <w:color w:val="auto"/>
          <w:lang w:bidi="es-ES"/>
        </w:rPr>
        <w:t xml:space="preserve">Con fecha </w:t>
      </w:r>
      <w:r w:rsidR="008839AB">
        <w:rPr>
          <w:color w:val="auto"/>
          <w:lang w:bidi="es-ES"/>
        </w:rPr>
        <w:t>11</w:t>
      </w:r>
      <w:r w:rsidR="00FC2FB9">
        <w:rPr>
          <w:color w:val="auto"/>
          <w:lang w:bidi="es-ES"/>
        </w:rPr>
        <w:t>/0</w:t>
      </w:r>
      <w:r w:rsidR="00E57E17">
        <w:rPr>
          <w:color w:val="auto"/>
          <w:lang w:bidi="es-ES"/>
        </w:rPr>
        <w:t>5</w:t>
      </w:r>
      <w:r w:rsidR="000B2A81">
        <w:rPr>
          <w:color w:val="auto"/>
          <w:lang w:bidi="es-ES"/>
        </w:rPr>
        <w:t>/</w:t>
      </w:r>
      <w:r>
        <w:rPr>
          <w:color w:val="auto"/>
          <w:lang w:bidi="es-ES"/>
        </w:rPr>
        <w:t>202</w:t>
      </w:r>
      <w:r w:rsidR="008839AB">
        <w:rPr>
          <w:color w:val="auto"/>
          <w:lang w:bidi="es-ES"/>
        </w:rPr>
        <w:t>3</w:t>
      </w:r>
      <w:r>
        <w:rPr>
          <w:color w:val="auto"/>
          <w:lang w:bidi="es-ES"/>
        </w:rPr>
        <w:t xml:space="preserve"> se presentó </w:t>
      </w:r>
      <w:r w:rsidR="00904E47">
        <w:rPr>
          <w:color w:val="auto"/>
          <w:lang w:bidi="es-ES"/>
        </w:rPr>
        <w:t xml:space="preserve">a través </w:t>
      </w:r>
      <w:r w:rsidR="00E57E17">
        <w:rPr>
          <w:color w:val="auto"/>
          <w:lang w:bidi="es-ES"/>
        </w:rPr>
        <w:t xml:space="preserve">del </w:t>
      </w:r>
      <w:r w:rsidR="004D165C">
        <w:rPr>
          <w:color w:val="auto"/>
          <w:lang w:bidi="es-ES"/>
        </w:rPr>
        <w:t xml:space="preserve">Registro Electrónico General </w:t>
      </w:r>
      <w:r w:rsidR="00E57E17">
        <w:rPr>
          <w:color w:val="auto"/>
          <w:lang w:bidi="es-ES"/>
        </w:rPr>
        <w:t>una solicitud de acceso a información pública de la entidad</w:t>
      </w:r>
      <w:r>
        <w:rPr>
          <w:color w:val="auto"/>
          <w:lang w:bidi="es-ES"/>
        </w:rPr>
        <w:t xml:space="preserve">. </w:t>
      </w:r>
      <w:r w:rsidR="00EE3509">
        <w:rPr>
          <w:color w:val="auto"/>
          <w:lang w:bidi="es-ES"/>
        </w:rPr>
        <w:t>En la misma fecha se emite un acuse de recibo de la presentación de la solicitud.</w:t>
      </w: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B4742" w:rsidRDefault="004D165C" w:rsidP="00741849">
      <w:pPr>
        <w:pStyle w:val="Cuerpodelboletn"/>
        <w:spacing w:before="120" w:after="120" w:line="276" w:lineRule="auto"/>
        <w:ind w:left="426"/>
        <w:rPr>
          <w:color w:val="auto"/>
          <w:lang w:bidi="es-ES"/>
        </w:rPr>
      </w:pPr>
      <w:r>
        <w:rPr>
          <w:color w:val="auto"/>
          <w:lang w:bidi="es-ES"/>
        </w:rPr>
        <w:t>S</w:t>
      </w:r>
      <w:r w:rsidR="00B108F0" w:rsidRPr="004D165C">
        <w:rPr>
          <w:color w:val="auto"/>
          <w:lang w:bidi="es-ES"/>
        </w:rPr>
        <w:t>e</w:t>
      </w:r>
      <w:r w:rsidR="00F34803" w:rsidRPr="004D165C">
        <w:rPr>
          <w:color w:val="auto"/>
          <w:lang w:bidi="es-ES"/>
        </w:rPr>
        <w:t xml:space="preserve"> </w:t>
      </w:r>
      <w:r w:rsidR="00904E47" w:rsidRPr="004D165C">
        <w:rPr>
          <w:color w:val="auto"/>
          <w:lang w:bidi="es-ES"/>
        </w:rPr>
        <w:t xml:space="preserve">comunica el </w:t>
      </w:r>
      <w:r w:rsidR="00F34803" w:rsidRPr="004D165C">
        <w:rPr>
          <w:color w:val="auto"/>
          <w:lang w:bidi="es-ES"/>
        </w:rPr>
        <w:t>inicio de la tramitación de la solicitud.</w:t>
      </w:r>
      <w:r w:rsidR="00F34803">
        <w:rPr>
          <w:color w:val="auto"/>
          <w:lang w:bidi="es-ES"/>
        </w:rPr>
        <w:t xml:space="preserve"> </w:t>
      </w:r>
    </w:p>
    <w:p w:rsidR="00AB4742" w:rsidRDefault="00AB4742" w:rsidP="00A915A2">
      <w:pPr>
        <w:pStyle w:val="Cuerpodelboletn"/>
        <w:spacing w:before="120" w:after="120" w:line="276" w:lineRule="auto"/>
        <w:ind w:left="426"/>
        <w:rPr>
          <w:color w:val="auto"/>
          <w:lang w:bidi="es-ES"/>
        </w:rPr>
      </w:pP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904E47" w:rsidRPr="004D165C" w:rsidRDefault="00D41FBA" w:rsidP="00AC715D">
      <w:pPr>
        <w:pStyle w:val="Cuerpodelboletn"/>
        <w:numPr>
          <w:ilvl w:val="0"/>
          <w:numId w:val="6"/>
        </w:numPr>
        <w:spacing w:before="120" w:after="120" w:line="276" w:lineRule="auto"/>
        <w:rPr>
          <w:color w:val="auto"/>
          <w:lang w:bidi="es-ES"/>
        </w:rPr>
      </w:pPr>
      <w:r w:rsidRPr="004D165C">
        <w:rPr>
          <w:color w:val="auto"/>
          <w:lang w:bidi="es-ES"/>
        </w:rPr>
        <w:t>S</w:t>
      </w:r>
      <w:r w:rsidR="00AC715D" w:rsidRPr="004D165C">
        <w:rPr>
          <w:color w:val="auto"/>
          <w:lang w:bidi="es-ES"/>
        </w:rPr>
        <w:t>e</w:t>
      </w:r>
      <w:r w:rsidR="00626819" w:rsidRPr="004D165C">
        <w:rPr>
          <w:color w:val="auto"/>
          <w:lang w:bidi="es-ES"/>
        </w:rPr>
        <w:t xml:space="preserve"> dicta </w:t>
      </w:r>
      <w:r w:rsidR="00F34803" w:rsidRPr="004D165C">
        <w:rPr>
          <w:color w:val="auto"/>
          <w:lang w:bidi="es-ES"/>
        </w:rPr>
        <w:t>resolución expresa</w:t>
      </w:r>
      <w:r w:rsidR="00741849" w:rsidRPr="004D165C">
        <w:rPr>
          <w:color w:val="auto"/>
          <w:lang w:bidi="es-ES"/>
        </w:rPr>
        <w:t xml:space="preserve"> c</w:t>
      </w:r>
      <w:r w:rsidR="00AC715D" w:rsidRPr="004D165C">
        <w:rPr>
          <w:color w:val="auto"/>
          <w:lang w:bidi="es-ES"/>
        </w:rPr>
        <w:t xml:space="preserve">on fecha </w:t>
      </w:r>
      <w:r w:rsidR="004D165C">
        <w:rPr>
          <w:color w:val="auto"/>
          <w:lang w:bidi="es-ES"/>
        </w:rPr>
        <w:t>08</w:t>
      </w:r>
      <w:r w:rsidR="00447511" w:rsidRPr="004D165C">
        <w:rPr>
          <w:color w:val="auto"/>
          <w:lang w:bidi="es-ES"/>
        </w:rPr>
        <w:t>/0</w:t>
      </w:r>
      <w:r w:rsidR="00E57E17" w:rsidRPr="004D165C">
        <w:rPr>
          <w:color w:val="auto"/>
          <w:lang w:bidi="es-ES"/>
        </w:rPr>
        <w:t>6</w:t>
      </w:r>
      <w:r w:rsidR="00AC715D" w:rsidRPr="004D165C">
        <w:rPr>
          <w:color w:val="auto"/>
          <w:lang w:bidi="es-ES"/>
        </w:rPr>
        <w:t>/202</w:t>
      </w:r>
      <w:r w:rsidR="004D165C">
        <w:rPr>
          <w:color w:val="auto"/>
          <w:lang w:bidi="es-ES"/>
        </w:rPr>
        <w:t>3</w:t>
      </w:r>
      <w:r w:rsidR="00904E47" w:rsidRPr="004D165C">
        <w:rPr>
          <w:color w:val="auto"/>
          <w:lang w:bidi="es-ES"/>
        </w:rPr>
        <w:t>.</w:t>
      </w:r>
      <w:r w:rsidR="00531D64" w:rsidRPr="004D165C">
        <w:rPr>
          <w:color w:val="auto"/>
          <w:lang w:bidi="es-ES"/>
        </w:rPr>
        <w:t xml:space="preserve"> </w:t>
      </w:r>
    </w:p>
    <w:p w:rsidR="004A133A" w:rsidRPr="004D165C" w:rsidRDefault="004A133A" w:rsidP="00A915A2">
      <w:pPr>
        <w:pStyle w:val="Cuerpodelboletn"/>
        <w:numPr>
          <w:ilvl w:val="0"/>
          <w:numId w:val="6"/>
        </w:numPr>
        <w:spacing w:before="120" w:after="120" w:line="276" w:lineRule="auto"/>
        <w:rPr>
          <w:color w:val="auto"/>
          <w:lang w:bidi="es-ES"/>
        </w:rPr>
      </w:pPr>
      <w:r w:rsidRPr="004D165C">
        <w:rPr>
          <w:color w:val="auto"/>
          <w:lang w:bidi="es-ES"/>
        </w:rPr>
        <w:t xml:space="preserve">La resolución está firmada por </w:t>
      </w:r>
      <w:r w:rsidR="004D165C">
        <w:rPr>
          <w:color w:val="auto"/>
          <w:lang w:bidi="es-ES"/>
        </w:rPr>
        <w:t>la Directora del INAP</w:t>
      </w:r>
      <w:r w:rsidRPr="004D165C">
        <w:rPr>
          <w:color w:val="auto"/>
          <w:lang w:bidi="es-ES"/>
        </w:rPr>
        <w:t>.</w:t>
      </w:r>
    </w:p>
    <w:p w:rsidR="00F34803" w:rsidRPr="004D165C" w:rsidRDefault="004A133A" w:rsidP="00A915A2">
      <w:pPr>
        <w:pStyle w:val="Cuerpodelboletn"/>
        <w:numPr>
          <w:ilvl w:val="0"/>
          <w:numId w:val="6"/>
        </w:numPr>
        <w:spacing w:before="120" w:after="120" w:line="276" w:lineRule="auto"/>
        <w:rPr>
          <w:color w:val="auto"/>
          <w:lang w:bidi="es-ES"/>
        </w:rPr>
      </w:pPr>
      <w:r w:rsidRPr="004D165C">
        <w:rPr>
          <w:color w:val="auto"/>
          <w:lang w:bidi="es-ES"/>
        </w:rPr>
        <w:lastRenderedPageBreak/>
        <w:t>La resolución está completa, es clara y está estructurada. S</w:t>
      </w:r>
      <w:r w:rsidR="001C238B" w:rsidRPr="004D165C">
        <w:rPr>
          <w:color w:val="auto"/>
          <w:lang w:bidi="es-ES"/>
        </w:rPr>
        <w:t xml:space="preserve">e </w:t>
      </w:r>
      <w:r w:rsidR="00904E47" w:rsidRPr="004D165C">
        <w:rPr>
          <w:color w:val="auto"/>
          <w:lang w:bidi="es-ES"/>
        </w:rPr>
        <w:t>informa de los posibles recursos que el solicitante puede interponer en caso de disconformidad con la informa</w:t>
      </w:r>
      <w:r w:rsidR="004D165C">
        <w:rPr>
          <w:color w:val="auto"/>
          <w:lang w:bidi="es-ES"/>
        </w:rPr>
        <w:t>ción recibida y del plazo para interponerlos</w:t>
      </w:r>
    </w:p>
    <w:p w:rsidR="00447511" w:rsidRPr="004D165C" w:rsidRDefault="00046805" w:rsidP="001E1C29">
      <w:pPr>
        <w:pStyle w:val="Cuerpodelboletn"/>
        <w:numPr>
          <w:ilvl w:val="0"/>
          <w:numId w:val="6"/>
        </w:numPr>
        <w:spacing w:before="120" w:after="120" w:line="312" w:lineRule="auto"/>
        <w:rPr>
          <w:color w:val="auto"/>
          <w:lang w:bidi="es-ES"/>
        </w:rPr>
      </w:pPr>
      <w:r w:rsidRPr="004D165C">
        <w:rPr>
          <w:color w:val="auto"/>
          <w:lang w:bidi="es-ES"/>
        </w:rPr>
        <w:t xml:space="preserve">La información </w:t>
      </w:r>
      <w:r w:rsidR="00AC715D" w:rsidRPr="004D165C">
        <w:rPr>
          <w:color w:val="auto"/>
          <w:lang w:bidi="es-ES"/>
        </w:rPr>
        <w:t>se proporciona</w:t>
      </w:r>
      <w:r w:rsidR="001E1C29" w:rsidRPr="004D165C">
        <w:rPr>
          <w:color w:val="auto"/>
          <w:lang w:bidi="es-ES"/>
        </w:rPr>
        <w:t xml:space="preserve"> </w:t>
      </w:r>
      <w:r w:rsidR="0038280F" w:rsidRPr="004D165C">
        <w:rPr>
          <w:color w:val="auto"/>
          <w:lang w:bidi="es-ES"/>
        </w:rPr>
        <w:t>en la propia resolución</w:t>
      </w:r>
      <w:r w:rsidRPr="004D165C">
        <w:rPr>
          <w:color w:val="auto"/>
          <w:lang w:bidi="es-ES"/>
        </w:rPr>
        <w:t>.</w:t>
      </w:r>
      <w:r w:rsidR="009913A5" w:rsidRPr="004D165C">
        <w:rPr>
          <w:color w:val="auto"/>
          <w:lang w:bidi="es-ES"/>
        </w:rPr>
        <w:t xml:space="preserve"> </w:t>
      </w:r>
    </w:p>
    <w:p w:rsidR="003A260E" w:rsidRDefault="003A260E"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E57E17">
          <w:pPr>
            <w:pStyle w:val="Cuerpodelboletn"/>
            <w:spacing w:before="120" w:after="120" w:line="312" w:lineRule="auto"/>
            <w:rPr>
              <w:b/>
              <w:color w:val="00642D"/>
              <w:sz w:val="32"/>
            </w:rPr>
          </w:pPr>
          <w:r w:rsidRPr="00256215">
            <w:rPr>
              <w:b/>
              <w:color w:val="00642D"/>
              <w:sz w:val="30"/>
              <w:szCs w:val="30"/>
            </w:rPr>
            <w:t xml:space="preserve">IV.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w:t>
          </w:r>
          <w:r w:rsidR="005D006A">
            <w:rPr>
              <w:b/>
              <w:color w:val="00642D"/>
              <w:sz w:val="30"/>
              <w:szCs w:val="30"/>
            </w:rPr>
            <w:t>2</w:t>
          </w:r>
        </w:p>
      </w:sdtContent>
    </w:sdt>
    <w:p w:rsidR="00256215" w:rsidRDefault="00256215" w:rsidP="00256215">
      <w:pPr>
        <w:pStyle w:val="Cuerpodelboletn"/>
      </w:pPr>
    </w:p>
    <w:p w:rsidR="00DF6C30" w:rsidRPr="004A133A" w:rsidRDefault="005D006A" w:rsidP="00DF6C30">
      <w:pPr>
        <w:pStyle w:val="Cuerpodelboletn"/>
        <w:spacing w:before="120" w:after="120" w:line="276" w:lineRule="auto"/>
        <w:ind w:left="425"/>
      </w:pPr>
      <w:r>
        <w:t>El Consejo de Transparencia y Buen Gobierno no ha recibido reclamaciones contra resolucion</w:t>
      </w:r>
      <w:r w:rsidR="004D165C">
        <w:t>es del INAP</w:t>
      </w:r>
      <w:r>
        <w:t>.</w:t>
      </w:r>
    </w:p>
    <w:p w:rsidR="001F251B" w:rsidRPr="00256215" w:rsidRDefault="00EB237F"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 xml:space="preserve">V. </w:t>
          </w:r>
          <w:r w:rsidR="001F251B">
            <w:rPr>
              <w:b/>
              <w:color w:val="00642D"/>
              <w:sz w:val="30"/>
              <w:szCs w:val="30"/>
            </w:rPr>
            <w:t>Buenas prácticas</w:t>
          </w:r>
          <w:r w:rsidR="001F251B" w:rsidRPr="00256215">
            <w:rPr>
              <w:b/>
              <w:color w:val="00642D"/>
              <w:sz w:val="30"/>
              <w:szCs w:val="30"/>
            </w:rPr>
            <w:t xml:space="preserve"> </w:t>
          </w:r>
        </w:sdtContent>
      </w:sdt>
    </w:p>
    <w:p w:rsidR="0063118A" w:rsidRDefault="005D006A" w:rsidP="0063118A">
      <w:pPr>
        <w:ind w:left="426"/>
      </w:pPr>
      <w:r>
        <w:t xml:space="preserve">Dado que </w:t>
      </w:r>
      <w:r w:rsidR="004D165C">
        <w:t>el INAP</w:t>
      </w:r>
      <w:r>
        <w:t xml:space="preserve"> </w:t>
      </w:r>
      <w:r w:rsidR="00236AF5">
        <w:t>carece</w:t>
      </w:r>
      <w:r>
        <w:t xml:space="preserve"> de un especio específico para la presentación de las solicitudes de acceso a información pública no caben buenas prácticas que señalar.</w:t>
      </w:r>
    </w:p>
    <w:p w:rsidR="00256215" w:rsidRDefault="00EB237F"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BB63C9" w:rsidRPr="004D165C" w:rsidRDefault="004D165C" w:rsidP="00F34803">
      <w:pPr>
        <w:pStyle w:val="Prrafodelista"/>
        <w:ind w:left="644"/>
        <w:jc w:val="both"/>
        <w:rPr>
          <w:bCs/>
        </w:rPr>
      </w:pPr>
      <w:r>
        <w:rPr>
          <w:bCs/>
        </w:rPr>
        <w:t>El INAP</w:t>
      </w:r>
      <w:r w:rsidR="00F34803" w:rsidRPr="004D165C">
        <w:rPr>
          <w:bCs/>
        </w:rPr>
        <w:t xml:space="preserve"> tramita </w:t>
      </w:r>
      <w:r w:rsidR="001E1C29" w:rsidRPr="004D165C">
        <w:rPr>
          <w:bCs/>
        </w:rPr>
        <w:t xml:space="preserve">el </w:t>
      </w:r>
      <w:r w:rsidR="00D74E79" w:rsidRPr="004D165C">
        <w:rPr>
          <w:bCs/>
        </w:rPr>
        <w:t>100% de las solicitudes que recibe y</w:t>
      </w:r>
      <w:r w:rsidR="00F34803" w:rsidRPr="004D165C">
        <w:rPr>
          <w:bCs/>
        </w:rPr>
        <w:t xml:space="preserve"> admite </w:t>
      </w:r>
      <w:r w:rsidR="00AC109E" w:rsidRPr="004D165C">
        <w:rPr>
          <w:bCs/>
        </w:rPr>
        <w:t>poco más de</w:t>
      </w:r>
      <w:r>
        <w:rPr>
          <w:bCs/>
        </w:rPr>
        <w:t>l 51%</w:t>
      </w:r>
      <w:r w:rsidR="00AC109E" w:rsidRPr="004D165C">
        <w:rPr>
          <w:bCs/>
        </w:rPr>
        <w:t xml:space="preserve"> </w:t>
      </w:r>
      <w:r w:rsidR="00DF6C30" w:rsidRPr="004D165C">
        <w:rPr>
          <w:bCs/>
        </w:rPr>
        <w:t>de</w:t>
      </w:r>
      <w:r w:rsidR="00AC109E" w:rsidRPr="004D165C">
        <w:rPr>
          <w:bCs/>
        </w:rPr>
        <w:t xml:space="preserve"> e</w:t>
      </w:r>
      <w:r w:rsidR="00DF6C30" w:rsidRPr="004D165C">
        <w:rPr>
          <w:bCs/>
        </w:rPr>
        <w:t>l</w:t>
      </w:r>
      <w:r w:rsidR="00F34803" w:rsidRPr="004D165C">
        <w:rPr>
          <w:bCs/>
        </w:rPr>
        <w:t>las</w:t>
      </w:r>
      <w:r w:rsidR="00D74E79" w:rsidRPr="004D165C">
        <w:rPr>
          <w:bCs/>
        </w:rPr>
        <w:t xml:space="preserve">. </w:t>
      </w:r>
      <w:r w:rsidR="00AC109E" w:rsidRPr="004D165C">
        <w:rPr>
          <w:bCs/>
        </w:rPr>
        <w:t xml:space="preserve">La tasa de inadmisión si sitúa en el </w:t>
      </w:r>
      <w:r>
        <w:rPr>
          <w:bCs/>
        </w:rPr>
        <w:t>48,7</w:t>
      </w:r>
      <w:r w:rsidR="00AC109E" w:rsidRPr="004D165C">
        <w:rPr>
          <w:bCs/>
        </w:rPr>
        <w:t xml:space="preserve">%, siendo la principal causa </w:t>
      </w:r>
      <w:r>
        <w:rPr>
          <w:bCs/>
        </w:rPr>
        <w:t>el hecho de que la solicitud había sido presentada por una persona interesada en un procedimiento en curso</w:t>
      </w:r>
      <w:r w:rsidR="00AC109E" w:rsidRPr="004D165C">
        <w:rPr>
          <w:bCs/>
        </w:rPr>
        <w:t xml:space="preserve">. </w:t>
      </w:r>
    </w:p>
    <w:p w:rsidR="00BB63C9" w:rsidRPr="004D165C" w:rsidRDefault="00BB63C9" w:rsidP="00F34803">
      <w:pPr>
        <w:pStyle w:val="Prrafodelista"/>
        <w:ind w:left="644"/>
        <w:jc w:val="both"/>
        <w:rPr>
          <w:bCs/>
        </w:rPr>
      </w:pPr>
    </w:p>
    <w:p w:rsidR="00BB63C9" w:rsidRPr="005358B1" w:rsidRDefault="00BB63C9" w:rsidP="004D165C">
      <w:pPr>
        <w:pStyle w:val="Prrafodelista"/>
        <w:ind w:left="709"/>
        <w:jc w:val="both"/>
        <w:rPr>
          <w:bCs/>
        </w:rPr>
      </w:pPr>
      <w:r w:rsidRPr="004D165C">
        <w:rPr>
          <w:bCs/>
        </w:rPr>
        <w:t xml:space="preserve">Por lo que respecta a las resoluciones, se emite resolución expresa para la totalidad de las solicitudes admitidas, concediendo el acceso total a la información solicitada en </w:t>
      </w:r>
      <w:r w:rsidR="004D165C">
        <w:rPr>
          <w:bCs/>
        </w:rPr>
        <w:t>más del 89</w:t>
      </w:r>
      <w:r w:rsidRPr="004D165C">
        <w:rPr>
          <w:bCs/>
        </w:rPr>
        <w:t xml:space="preserve">% de los casos. </w:t>
      </w:r>
      <w:r w:rsidR="004D165C">
        <w:rPr>
          <w:bCs/>
        </w:rPr>
        <w:t>No se ha denegado ninguna solicitud de información en 2022.</w:t>
      </w:r>
    </w:p>
    <w:p w:rsidR="00D74E79" w:rsidRDefault="00D74E79" w:rsidP="00F34803">
      <w:pPr>
        <w:pStyle w:val="Prrafodelista"/>
        <w:ind w:left="644"/>
        <w:jc w:val="both"/>
        <w:rPr>
          <w:bCs/>
        </w:rPr>
      </w:pPr>
    </w:p>
    <w:p w:rsidR="005D006A" w:rsidRDefault="005D006A" w:rsidP="005D006A">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5D006A" w:rsidRDefault="005D006A" w:rsidP="005D006A">
      <w:pPr>
        <w:pStyle w:val="Prrafodelista"/>
        <w:ind w:left="644"/>
        <w:jc w:val="both"/>
        <w:rPr>
          <w:bCs/>
        </w:rPr>
      </w:pPr>
    </w:p>
    <w:p w:rsidR="005D006A" w:rsidRDefault="004D165C"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El INAP</w:t>
      </w:r>
      <w:r w:rsidR="005D006A" w:rsidRPr="00F33EF2">
        <w:rPr>
          <w:bCs/>
        </w:rPr>
        <w:t xml:space="preserve"> </w:t>
      </w:r>
      <w:r w:rsidR="005D006A">
        <w:rPr>
          <w:bCs/>
        </w:rPr>
        <w:t xml:space="preserve">debería publicar en su </w:t>
      </w:r>
      <w:r w:rsidR="00236AF5">
        <w:rPr>
          <w:bCs/>
        </w:rPr>
        <w:t>web institucional</w:t>
      </w:r>
      <w:r w:rsidR="005D006A">
        <w:rPr>
          <w:bCs/>
        </w:rPr>
        <w:t xml:space="preserve"> las resoluciones que deniegan el acceso a la información por aplicación de los límites del artículo 14, según lo dispuesto por el artículo 14.3 de la LTAIBG.</w:t>
      </w:r>
    </w:p>
    <w:p w:rsidR="00EB237F" w:rsidRDefault="00EB237F"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p>
    <w:p w:rsidR="00EB237F" w:rsidRDefault="00EB237F" w:rsidP="00EB237F">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El problema que lleva a este CTBG a plantear esta recomendación, es que el Portal, publica las resoluciones denegatorias por aplicación de los límites del artículo 14 para el conjunto de Ministerios, y no permite la búsqueda por organismo o entidad dependiente o vinculada, lo que implica que l</w:t>
      </w:r>
      <w:bookmarkStart w:id="0" w:name="_GoBack"/>
      <w:bookmarkEnd w:id="0"/>
      <w:r>
        <w:rPr>
          <w:bCs/>
        </w:rPr>
        <w:t xml:space="preserve">a búsqueda de registros en el </w:t>
      </w:r>
      <w:proofErr w:type="spellStart"/>
      <w:r>
        <w:rPr>
          <w:bCs/>
        </w:rPr>
        <w:t>excel</w:t>
      </w:r>
      <w:proofErr w:type="spellEnd"/>
      <w:r>
        <w:rPr>
          <w:bCs/>
        </w:rPr>
        <w:t xml:space="preserve"> que se proporciona deba efectuarse por el Ministerio de adscripción de la entidad, información de la que no siempre dispone la ciudadanía. Una cuestión adicional es que en el caso de</w:t>
      </w:r>
      <w:r>
        <w:rPr>
          <w:bCs/>
        </w:rPr>
        <w:t>l</w:t>
      </w:r>
      <w:r>
        <w:rPr>
          <w:bCs/>
        </w:rPr>
        <w:t xml:space="preserve"> </w:t>
      </w:r>
      <w:r>
        <w:rPr>
          <w:bCs/>
        </w:rPr>
        <w:t>INAP</w:t>
      </w:r>
      <w:r>
        <w:rPr>
          <w:bCs/>
        </w:rPr>
        <w:t xml:space="preserve">, su Ministerio de adscripción ha cambiado de denominación en los últimos años, lo que dificulta aún más la localización de la información.   </w:t>
      </w:r>
    </w:p>
    <w:p w:rsidR="00EB237F" w:rsidRDefault="00EB237F" w:rsidP="00EB237F">
      <w:pPr>
        <w:pStyle w:val="Prrafodelista"/>
        <w:pBdr>
          <w:top w:val="single" w:sz="4" w:space="1" w:color="008000"/>
          <w:left w:val="single" w:sz="4" w:space="4" w:color="008000"/>
          <w:bottom w:val="single" w:sz="4" w:space="1" w:color="008000"/>
          <w:right w:val="single" w:sz="4" w:space="4" w:color="008000"/>
        </w:pBdr>
        <w:ind w:left="644"/>
        <w:jc w:val="both"/>
        <w:rPr>
          <w:bCs/>
        </w:rPr>
      </w:pPr>
    </w:p>
    <w:p w:rsidR="005D006A" w:rsidRPr="008648E8"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lastRenderedPageBreak/>
        <w:t>En el caso de que no hubiese solicitudes denegadas por aplicación de estos límites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5D006A" w:rsidRDefault="00F34803" w:rsidP="005D006A">
      <w:pPr>
        <w:pStyle w:val="Prrafodelista"/>
        <w:ind w:left="644"/>
      </w:pPr>
      <w:r>
        <w:t xml:space="preserve">Como se ha indicado, </w:t>
      </w:r>
      <w:r w:rsidR="004D165C">
        <w:t>el INAP</w:t>
      </w:r>
      <w:r w:rsidR="005D006A">
        <w:t xml:space="preserve"> no dispone de un espacio en su web institucional que facilite el ejercicio del derecho de acceso a la información. No se informa sobre la posibilidad de que los ciudadanos efectúen solicitudes de acceso a información pública dirigidas a la entidad y tampoco sobre los medios de presentación de solicitudes, requisitos ni sobre el procedimiento. </w:t>
      </w:r>
    </w:p>
    <w:p w:rsidR="005D006A" w:rsidRDefault="005D006A" w:rsidP="005D006A">
      <w:pPr>
        <w:pStyle w:val="Prrafodelista"/>
        <w:ind w:left="644"/>
        <w:jc w:val="both"/>
      </w:pPr>
    </w:p>
    <w:p w:rsidR="005D006A" w:rsidRPr="008D4B85" w:rsidRDefault="005D006A" w:rsidP="005D006A">
      <w:pPr>
        <w:pBdr>
          <w:top w:val="single" w:sz="4" w:space="3" w:color="008000"/>
          <w:left w:val="single" w:sz="4" w:space="4" w:color="008000"/>
          <w:bottom w:val="single" w:sz="4" w:space="1" w:color="008000"/>
          <w:right w:val="single" w:sz="4" w:space="4" w:color="008000"/>
        </w:pBdr>
        <w:ind w:left="567"/>
        <w:contextualSpacing/>
        <w:jc w:val="both"/>
      </w:pPr>
      <w:r w:rsidRPr="008D4B85">
        <w:t>Este Consejo recomienda que, para facilitar el acceso de la ciudadanía al ejercicio del derecho de acceso a la información pública, se incluya un enlace a un apartado específico en el que se proporcione información sobre el derecho que asiste a los ciudadanos a solicitar información pública, se indiquen los medios habilitados para la presentación de las solicitudes de información pública dirigidas a la institución y se informe sobre los requisitos necesarios para la presentación de una solicitud de ac</w:t>
      </w:r>
      <w:r w:rsidR="00EF40EB">
        <w:t>ceso a la información pública dl INAP</w:t>
      </w:r>
      <w:r w:rsidRPr="008D4B85">
        <w:t xml:space="preserve">. </w:t>
      </w:r>
    </w:p>
    <w:p w:rsidR="005D006A" w:rsidRPr="008D4B85" w:rsidRDefault="005D006A" w:rsidP="005D006A">
      <w:pPr>
        <w:pBdr>
          <w:top w:val="single" w:sz="4" w:space="3" w:color="008000"/>
          <w:left w:val="single" w:sz="4" w:space="4" w:color="008000"/>
          <w:bottom w:val="single" w:sz="4" w:space="1" w:color="008000"/>
          <w:right w:val="single" w:sz="4" w:space="4" w:color="008000"/>
        </w:pBdr>
        <w:ind w:left="567"/>
        <w:contextualSpacing/>
        <w:jc w:val="both"/>
      </w:pPr>
    </w:p>
    <w:p w:rsidR="005D006A" w:rsidRPr="008D4B85" w:rsidRDefault="005D006A" w:rsidP="005D006A">
      <w:pPr>
        <w:pBdr>
          <w:top w:val="single" w:sz="4" w:space="3" w:color="008000"/>
          <w:left w:val="single" w:sz="4" w:space="4" w:color="008000"/>
          <w:bottom w:val="single" w:sz="4" w:space="1" w:color="008000"/>
          <w:right w:val="single" w:sz="4" w:space="4" w:color="008000"/>
        </w:pBdr>
        <w:ind w:left="567"/>
        <w:contextualSpacing/>
        <w:jc w:val="both"/>
      </w:pPr>
      <w:r w:rsidRPr="008D4B85">
        <w:t>Este mismo espacio podría utilizarse para la publicación de las resoluciones denegatorias por aplicación de los límites del artículo</w:t>
      </w:r>
      <w:r w:rsidR="00DA5100">
        <w:t xml:space="preserve"> </w:t>
      </w:r>
      <w:r w:rsidRPr="008D4B85">
        <w:t>14 de la LTAIBG.</w:t>
      </w:r>
    </w:p>
    <w:p w:rsidR="00F900E1" w:rsidRDefault="00F900E1" w:rsidP="005D006A">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B31C4E" w:rsidRPr="00EF40EB" w:rsidRDefault="00F34803" w:rsidP="002E0A33">
      <w:pPr>
        <w:pStyle w:val="Prrafodelista"/>
        <w:ind w:left="426"/>
        <w:jc w:val="both"/>
      </w:pPr>
      <w:r w:rsidRPr="00EF40EB">
        <w:t>La gestión de la solicitud de acceso presentada se ha ajustado al procedimiento establecido po</w:t>
      </w:r>
      <w:r w:rsidR="00A915A2" w:rsidRPr="00EF40EB">
        <w:t xml:space="preserve">r la LTAIBG. </w:t>
      </w:r>
      <w:r w:rsidR="002E0A33" w:rsidRPr="00EF40EB">
        <w:t xml:space="preserve">La resolución </w:t>
      </w:r>
      <w:r w:rsidR="00EF40EB">
        <w:t xml:space="preserve">dictada por </w:t>
      </w:r>
      <w:r w:rsidR="00EF40EB">
        <w:rPr>
          <w:lang w:bidi="es-ES"/>
        </w:rPr>
        <w:t>la Directora del INAP</w:t>
      </w:r>
      <w:r w:rsidR="003A260E" w:rsidRPr="00EF40EB">
        <w:t xml:space="preserve"> </w:t>
      </w:r>
      <w:r w:rsidR="002E0A33" w:rsidRPr="00EF40EB">
        <w:t>está motivada y correctamente estructurada, es clara y compr</w:t>
      </w:r>
      <w:r w:rsidR="0063118A" w:rsidRPr="00EF40EB">
        <w:t>ensible</w:t>
      </w:r>
      <w:r w:rsidR="00FC2FB9" w:rsidRPr="00EF40EB">
        <w:t xml:space="preserve"> e</w:t>
      </w:r>
      <w:r w:rsidR="0063118A" w:rsidRPr="00EF40EB">
        <w:t xml:space="preserve"> incluye pie de recurso.</w:t>
      </w:r>
      <w:r w:rsidR="00DF6C30" w:rsidRPr="00EF40EB">
        <w:t xml:space="preserve"> </w:t>
      </w:r>
    </w:p>
    <w:p w:rsidR="00D84B7B" w:rsidRPr="00EF40EB" w:rsidRDefault="0063118A" w:rsidP="00D84B7B">
      <w:pPr>
        <w:tabs>
          <w:tab w:val="left" w:pos="426"/>
        </w:tabs>
        <w:ind w:left="426"/>
        <w:contextualSpacing/>
        <w:jc w:val="both"/>
      </w:pPr>
      <w:r w:rsidRPr="00EF40EB">
        <w:t>L</w:t>
      </w:r>
      <w:r w:rsidR="00D84B7B" w:rsidRPr="00EF40EB">
        <w:t xml:space="preserve">a información se proporciona </w:t>
      </w:r>
      <w:r w:rsidR="003A260E" w:rsidRPr="00EF40EB">
        <w:t xml:space="preserve">en el momento de la notificación </w:t>
      </w:r>
      <w:r w:rsidR="00AF6C5C" w:rsidRPr="00EF40EB">
        <w:t>aunque no en el formato solicitado</w:t>
      </w:r>
      <w:r w:rsidR="00B31C4E" w:rsidRPr="00EF40EB">
        <w:t>.</w:t>
      </w:r>
    </w:p>
    <w:p w:rsidR="00E541AF" w:rsidRDefault="00E541AF" w:rsidP="00E541AF">
      <w:pPr>
        <w:pStyle w:val="Prrafodelista"/>
        <w:pBdr>
          <w:top w:val="single" w:sz="4" w:space="1" w:color="00B050"/>
          <w:left w:val="single" w:sz="4" w:space="4" w:color="00B050"/>
          <w:bottom w:val="single" w:sz="4" w:space="1" w:color="00B050"/>
          <w:right w:val="single" w:sz="4" w:space="4" w:color="00B050"/>
        </w:pBdr>
        <w:ind w:left="644"/>
        <w:jc w:val="both"/>
      </w:pPr>
      <w:r w:rsidRPr="00EF40EB">
        <w:t>En la medida de lo posible la información debería entregarse en el formato establecido por la persona solicitante.</w:t>
      </w:r>
      <w:r>
        <w:t xml:space="preserve"> </w:t>
      </w:r>
    </w:p>
    <w:p w:rsidR="00E541AF" w:rsidRPr="00D84B7B" w:rsidRDefault="00E541AF" w:rsidP="00D84B7B">
      <w:pPr>
        <w:tabs>
          <w:tab w:val="left" w:pos="426"/>
        </w:tabs>
        <w:ind w:left="426"/>
        <w:contextualSpacing/>
        <w:jc w:val="both"/>
      </w:pPr>
    </w:p>
    <w:p w:rsidR="00B40246" w:rsidRDefault="00B40246" w:rsidP="00D84B7B">
      <w:pPr>
        <w:pStyle w:val="Prrafodelista"/>
        <w:ind w:left="644"/>
        <w:jc w:val="both"/>
      </w:pPr>
    </w:p>
    <w:sectPr w:rsidR="00B40246" w:rsidSect="00DF63E7">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65C" w:rsidRDefault="004D165C" w:rsidP="00932008">
      <w:pPr>
        <w:spacing w:after="0" w:line="240" w:lineRule="auto"/>
      </w:pPr>
      <w:r>
        <w:separator/>
      </w:r>
    </w:p>
  </w:endnote>
  <w:endnote w:type="continuationSeparator" w:id="0">
    <w:p w:rsidR="004D165C" w:rsidRDefault="004D165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4D165C" w:rsidRPr="00C533E7" w:rsidRDefault="004D165C">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EB237F">
          <w:rPr>
            <w:noProof/>
            <w:sz w:val="18"/>
            <w:szCs w:val="18"/>
          </w:rPr>
          <w:t>4</w:t>
        </w:r>
        <w:r w:rsidRPr="00C533E7">
          <w:rPr>
            <w:sz w:val="18"/>
            <w:szCs w:val="18"/>
          </w:rPr>
          <w:fldChar w:fldCharType="end"/>
        </w:r>
      </w:p>
    </w:sdtContent>
  </w:sdt>
  <w:p w:rsidR="004D165C" w:rsidRDefault="004D16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65C" w:rsidRDefault="004D165C" w:rsidP="00932008">
      <w:pPr>
        <w:spacing w:after="0" w:line="240" w:lineRule="auto"/>
      </w:pPr>
      <w:r>
        <w:separator/>
      </w:r>
    </w:p>
  </w:footnote>
  <w:footnote w:type="continuationSeparator" w:id="0">
    <w:p w:rsidR="004D165C" w:rsidRDefault="004D165C"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3"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1BB51E8"/>
    <w:multiLevelType w:val="hybridMultilevel"/>
    <w:tmpl w:val="0914B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691A"/>
    <w:rsid w:val="000262A3"/>
    <w:rsid w:val="000266FD"/>
    <w:rsid w:val="00032FA6"/>
    <w:rsid w:val="00046805"/>
    <w:rsid w:val="00055B15"/>
    <w:rsid w:val="00056B19"/>
    <w:rsid w:val="00076680"/>
    <w:rsid w:val="000965B3"/>
    <w:rsid w:val="000A1C07"/>
    <w:rsid w:val="000B0A0D"/>
    <w:rsid w:val="000B2A81"/>
    <w:rsid w:val="000C6CFF"/>
    <w:rsid w:val="00102733"/>
    <w:rsid w:val="001252EE"/>
    <w:rsid w:val="0012783F"/>
    <w:rsid w:val="001561A4"/>
    <w:rsid w:val="00176A94"/>
    <w:rsid w:val="00194000"/>
    <w:rsid w:val="001B3D6A"/>
    <w:rsid w:val="001C238B"/>
    <w:rsid w:val="001E1C29"/>
    <w:rsid w:val="001F251B"/>
    <w:rsid w:val="001F25E4"/>
    <w:rsid w:val="00236AF5"/>
    <w:rsid w:val="00241D7A"/>
    <w:rsid w:val="00255A7E"/>
    <w:rsid w:val="00256215"/>
    <w:rsid w:val="002615D8"/>
    <w:rsid w:val="0026281C"/>
    <w:rsid w:val="002A154B"/>
    <w:rsid w:val="002A479C"/>
    <w:rsid w:val="002E0A33"/>
    <w:rsid w:val="003145AD"/>
    <w:rsid w:val="00334115"/>
    <w:rsid w:val="00340559"/>
    <w:rsid w:val="00341F8F"/>
    <w:rsid w:val="0038280F"/>
    <w:rsid w:val="003A260E"/>
    <w:rsid w:val="003B5288"/>
    <w:rsid w:val="003F271E"/>
    <w:rsid w:val="003F572A"/>
    <w:rsid w:val="00411640"/>
    <w:rsid w:val="00447511"/>
    <w:rsid w:val="004537FB"/>
    <w:rsid w:val="004A123A"/>
    <w:rsid w:val="004A133A"/>
    <w:rsid w:val="004A706B"/>
    <w:rsid w:val="004B4DC3"/>
    <w:rsid w:val="004D165C"/>
    <w:rsid w:val="004D6E73"/>
    <w:rsid w:val="004F2655"/>
    <w:rsid w:val="00531D64"/>
    <w:rsid w:val="005446A8"/>
    <w:rsid w:val="00561402"/>
    <w:rsid w:val="0057532F"/>
    <w:rsid w:val="00577A83"/>
    <w:rsid w:val="00595AAF"/>
    <w:rsid w:val="005A0354"/>
    <w:rsid w:val="005A2AD2"/>
    <w:rsid w:val="005B1F0E"/>
    <w:rsid w:val="005B3C15"/>
    <w:rsid w:val="005D006A"/>
    <w:rsid w:val="005E37C8"/>
    <w:rsid w:val="00610D8A"/>
    <w:rsid w:val="00626819"/>
    <w:rsid w:val="0063118A"/>
    <w:rsid w:val="00654162"/>
    <w:rsid w:val="006A2766"/>
    <w:rsid w:val="006A2E9A"/>
    <w:rsid w:val="006D6F55"/>
    <w:rsid w:val="00706E04"/>
    <w:rsid w:val="00707CFE"/>
    <w:rsid w:val="00710031"/>
    <w:rsid w:val="00727BA2"/>
    <w:rsid w:val="00741849"/>
    <w:rsid w:val="00743756"/>
    <w:rsid w:val="00786832"/>
    <w:rsid w:val="0079124F"/>
    <w:rsid w:val="007932E6"/>
    <w:rsid w:val="007B0F99"/>
    <w:rsid w:val="007B1EF0"/>
    <w:rsid w:val="007C57AB"/>
    <w:rsid w:val="007C5F74"/>
    <w:rsid w:val="007D6B40"/>
    <w:rsid w:val="007F4BBB"/>
    <w:rsid w:val="00815659"/>
    <w:rsid w:val="008207D9"/>
    <w:rsid w:val="00832D4F"/>
    <w:rsid w:val="00833900"/>
    <w:rsid w:val="00844FA9"/>
    <w:rsid w:val="008839AB"/>
    <w:rsid w:val="00892E66"/>
    <w:rsid w:val="008C1E1E"/>
    <w:rsid w:val="00904E47"/>
    <w:rsid w:val="00923092"/>
    <w:rsid w:val="009239D9"/>
    <w:rsid w:val="00930638"/>
    <w:rsid w:val="00932008"/>
    <w:rsid w:val="009609E9"/>
    <w:rsid w:val="0096522C"/>
    <w:rsid w:val="00983919"/>
    <w:rsid w:val="009913A5"/>
    <w:rsid w:val="00A41DD5"/>
    <w:rsid w:val="00A544D3"/>
    <w:rsid w:val="00A8003E"/>
    <w:rsid w:val="00A915A2"/>
    <w:rsid w:val="00AB4742"/>
    <w:rsid w:val="00AC109E"/>
    <w:rsid w:val="00AC715D"/>
    <w:rsid w:val="00AC7259"/>
    <w:rsid w:val="00AD1B67"/>
    <w:rsid w:val="00AD1DBF"/>
    <w:rsid w:val="00AE1CBE"/>
    <w:rsid w:val="00AE788F"/>
    <w:rsid w:val="00AF6C5C"/>
    <w:rsid w:val="00B108F0"/>
    <w:rsid w:val="00B31C4E"/>
    <w:rsid w:val="00B378E2"/>
    <w:rsid w:val="00B40246"/>
    <w:rsid w:val="00B5583D"/>
    <w:rsid w:val="00B812AB"/>
    <w:rsid w:val="00B841AE"/>
    <w:rsid w:val="00B84669"/>
    <w:rsid w:val="00B86DCF"/>
    <w:rsid w:val="00BA266E"/>
    <w:rsid w:val="00BB63C9"/>
    <w:rsid w:val="00BB6799"/>
    <w:rsid w:val="00BD41F9"/>
    <w:rsid w:val="00BD4582"/>
    <w:rsid w:val="00BE6A46"/>
    <w:rsid w:val="00BF5EDE"/>
    <w:rsid w:val="00C02768"/>
    <w:rsid w:val="00C25AF5"/>
    <w:rsid w:val="00C33A23"/>
    <w:rsid w:val="00C34BB5"/>
    <w:rsid w:val="00C4479B"/>
    <w:rsid w:val="00C533E7"/>
    <w:rsid w:val="00C5744D"/>
    <w:rsid w:val="00C627FB"/>
    <w:rsid w:val="00CB1D1D"/>
    <w:rsid w:val="00CB5511"/>
    <w:rsid w:val="00CB7518"/>
    <w:rsid w:val="00CC2049"/>
    <w:rsid w:val="00CC587B"/>
    <w:rsid w:val="00CC610D"/>
    <w:rsid w:val="00CD0605"/>
    <w:rsid w:val="00D41FBA"/>
    <w:rsid w:val="00D445A7"/>
    <w:rsid w:val="00D52E43"/>
    <w:rsid w:val="00D74E79"/>
    <w:rsid w:val="00D84B7B"/>
    <w:rsid w:val="00D93A14"/>
    <w:rsid w:val="00D96F84"/>
    <w:rsid w:val="00DA4FE5"/>
    <w:rsid w:val="00DA5100"/>
    <w:rsid w:val="00DB76AF"/>
    <w:rsid w:val="00DC0848"/>
    <w:rsid w:val="00DD3E02"/>
    <w:rsid w:val="00DE4AA9"/>
    <w:rsid w:val="00DF2ACE"/>
    <w:rsid w:val="00DF4D57"/>
    <w:rsid w:val="00DF63E7"/>
    <w:rsid w:val="00DF6C30"/>
    <w:rsid w:val="00E3088D"/>
    <w:rsid w:val="00E34195"/>
    <w:rsid w:val="00E4702F"/>
    <w:rsid w:val="00E47613"/>
    <w:rsid w:val="00E541AF"/>
    <w:rsid w:val="00E569FD"/>
    <w:rsid w:val="00E57E17"/>
    <w:rsid w:val="00EB237F"/>
    <w:rsid w:val="00ED3EAD"/>
    <w:rsid w:val="00EE3509"/>
    <w:rsid w:val="00EE5BDF"/>
    <w:rsid w:val="00EF40EB"/>
    <w:rsid w:val="00F14DA4"/>
    <w:rsid w:val="00F34803"/>
    <w:rsid w:val="00F47C3B"/>
    <w:rsid w:val="00F50AE2"/>
    <w:rsid w:val="00F71D7D"/>
    <w:rsid w:val="00F7263F"/>
    <w:rsid w:val="00F76499"/>
    <w:rsid w:val="00F900E1"/>
    <w:rsid w:val="00F95C49"/>
    <w:rsid w:val="00FC2FB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spPr>
            <a:solidFill>
              <a:srgbClr val="00B050"/>
            </a:solidFill>
          </c:spPr>
          <c:invertIfNegative val="0"/>
          <c:dLbls>
            <c:showLegendKey val="0"/>
            <c:showVal val="1"/>
            <c:showCatName val="0"/>
            <c:showSerName val="0"/>
            <c:showPercent val="0"/>
            <c:showBubbleSize val="0"/>
            <c:showLeaderLines val="0"/>
          </c:dLbls>
          <c:cat>
            <c:strRef>
              <c:f>Correos!$E$2:$L$2</c:f>
              <c:strCache>
                <c:ptCount val="8"/>
                <c:pt idx="0">
                  <c:v> información en curso de elaboración o de publicación general</c:v>
                </c:pt>
                <c:pt idx="1">
                  <c:v> información auxiliar o de apoyo</c:v>
                </c:pt>
                <c:pt idx="2">
                  <c:v> acción previa de reelaboración</c:v>
                </c:pt>
                <c:pt idx="3">
                  <c:v> órgano no competente y desconocimiento del competente</c:v>
                </c:pt>
                <c:pt idx="4">
                  <c:v> solicitud repetitiva o abusiva</c:v>
                </c:pt>
                <c:pt idx="5">
                  <c:v> solicitudes de información de interesados en un procedimiento administrativo en curso sobre documentos que se integren en el mismo</c:v>
                </c:pt>
                <c:pt idx="6">
                  <c:v> solicitudes de información con un régimen específico de acceso a la información.</c:v>
                </c:pt>
                <c:pt idx="7">
                  <c:v> Otras causas.</c:v>
                </c:pt>
              </c:strCache>
            </c:strRef>
          </c:cat>
          <c:val>
            <c:numRef>
              <c:f>Correos!$E$4:$L$4</c:f>
              <c:numCache>
                <c:formatCode>0.0%</c:formatCode>
                <c:ptCount val="8"/>
                <c:pt idx="0">
                  <c:v>0</c:v>
                </c:pt>
                <c:pt idx="1">
                  <c:v>0</c:v>
                </c:pt>
                <c:pt idx="2">
                  <c:v>0</c:v>
                </c:pt>
                <c:pt idx="3">
                  <c:v>5.2631578947368418E-2</c:v>
                </c:pt>
                <c:pt idx="4">
                  <c:v>0.15789473684210525</c:v>
                </c:pt>
                <c:pt idx="5">
                  <c:v>0.78947368421052633</c:v>
                </c:pt>
                <c:pt idx="6">
                  <c:v>0</c:v>
                </c:pt>
                <c:pt idx="7">
                  <c:v>0</c:v>
                </c:pt>
              </c:numCache>
            </c:numRef>
          </c:val>
        </c:ser>
        <c:dLbls>
          <c:showLegendKey val="0"/>
          <c:showVal val="0"/>
          <c:showCatName val="0"/>
          <c:showSerName val="0"/>
          <c:showPercent val="0"/>
          <c:showBubbleSize val="0"/>
        </c:dLbls>
        <c:gapWidth val="150"/>
        <c:axId val="264001024"/>
        <c:axId val="290230656"/>
      </c:barChart>
      <c:catAx>
        <c:axId val="264001024"/>
        <c:scaling>
          <c:orientation val="minMax"/>
        </c:scaling>
        <c:delete val="0"/>
        <c:axPos val="l"/>
        <c:majorTickMark val="out"/>
        <c:minorTickMark val="none"/>
        <c:tickLblPos val="nextTo"/>
        <c:crossAx val="290230656"/>
        <c:crosses val="autoZero"/>
        <c:auto val="1"/>
        <c:lblAlgn val="ctr"/>
        <c:lblOffset val="1000"/>
        <c:noMultiLvlLbl val="0"/>
      </c:catAx>
      <c:valAx>
        <c:axId val="290230656"/>
        <c:scaling>
          <c:orientation val="minMax"/>
          <c:max val="1"/>
        </c:scaling>
        <c:delete val="0"/>
        <c:axPos val="b"/>
        <c:numFmt formatCode="0%" sourceLinked="0"/>
        <c:majorTickMark val="out"/>
        <c:minorTickMark val="none"/>
        <c:tickLblPos val="nextTo"/>
        <c:crossAx val="264001024"/>
        <c:crosses val="autoZero"/>
        <c:crossBetween val="between"/>
        <c:majorUnit val="0.2"/>
      </c:valAx>
    </c:plotArea>
    <c:plotVisOnly val="1"/>
    <c:dispBlanksAs val="gap"/>
    <c:showDLblsOverMax val="0"/>
  </c:chart>
  <c:txPr>
    <a:bodyPr/>
    <a:lstStyle/>
    <a:p>
      <a:pPr>
        <a:defRPr sz="800"/>
      </a:pPr>
      <a:endParaRPr lang="es-E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55B2A"/>
    <w:rsid w:val="00274CEE"/>
    <w:rsid w:val="002A5B0E"/>
    <w:rsid w:val="002A69E7"/>
    <w:rsid w:val="002C1748"/>
    <w:rsid w:val="002C7AFA"/>
    <w:rsid w:val="003D088C"/>
    <w:rsid w:val="004437AC"/>
    <w:rsid w:val="00543A52"/>
    <w:rsid w:val="00546DCA"/>
    <w:rsid w:val="00602B9C"/>
    <w:rsid w:val="006D7969"/>
    <w:rsid w:val="0087096B"/>
    <w:rsid w:val="00A80EAD"/>
    <w:rsid w:val="00AB1850"/>
    <w:rsid w:val="00AB757F"/>
    <w:rsid w:val="00C20906"/>
    <w:rsid w:val="00C26568"/>
    <w:rsid w:val="00C60DC9"/>
    <w:rsid w:val="00D35513"/>
    <w:rsid w:val="00DC5AD7"/>
    <w:rsid w:val="00E147F2"/>
    <w:rsid w:val="00E16D50"/>
    <w:rsid w:val="00E30568"/>
    <w:rsid w:val="00E5085E"/>
    <w:rsid w:val="00E83D79"/>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1F62471-AFB9-4687-810F-05E3BB02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63</TotalTime>
  <Pages>5</Pages>
  <Words>1334</Words>
  <Characters>7341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5</cp:revision>
  <cp:lastPrinted>2007-10-26T10:03:00Z</cp:lastPrinted>
  <dcterms:created xsi:type="dcterms:W3CDTF">2023-06-12T14:41:00Z</dcterms:created>
  <dcterms:modified xsi:type="dcterms:W3CDTF">2023-06-29T08:56:00Z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