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Content>
                              <w:p w:rsidR="003D3BD3" w:rsidRDefault="003D3BD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3D3BD3" w:rsidRPr="00006957" w:rsidRDefault="003D3BD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3D3BD3" w:rsidRDefault="003D3BD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3D3BD3" w:rsidRPr="00006957" w:rsidRDefault="003D3BD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3BD3" w:rsidRDefault="003D3BD3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3D3BD3" w:rsidRDefault="003D3BD3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4E58B7" w:rsidP="0016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Ingeniería </w:t>
            </w:r>
            <w:r w:rsidR="0016234F">
              <w:rPr>
                <w:sz w:val="24"/>
                <w:szCs w:val="24"/>
              </w:rPr>
              <w:t>y Economía del Transporte, SME (INECO)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4E58B7" w:rsidP="004E5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04/07/</w:t>
            </w:r>
            <w:r w:rsidR="00720995">
              <w:rPr>
                <w:sz w:val="24"/>
                <w:szCs w:val="24"/>
              </w:rPr>
              <w:t>2023</w:t>
            </w:r>
          </w:p>
        </w:tc>
      </w:tr>
    </w:tbl>
    <w:p w:rsidR="00BA266E" w:rsidRDefault="00BA266E"/>
    <w:p w:rsidR="00561402" w:rsidRPr="0012783F" w:rsidRDefault="008230A5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E85A64">
        <w:rPr>
          <w:bCs/>
          <w:color w:val="auto"/>
          <w:szCs w:val="22"/>
        </w:rPr>
        <w:t xml:space="preserve">La gestión de las solicitudes de acceso se efectúa por </w:t>
      </w:r>
      <w:r w:rsidR="008230A5">
        <w:rPr>
          <w:bCs/>
          <w:color w:val="auto"/>
          <w:szCs w:val="22"/>
        </w:rPr>
        <w:t>la Secretaría General</w:t>
      </w:r>
      <w:r w:rsidRPr="00E85A64">
        <w:rPr>
          <w:bCs/>
          <w:color w:val="auto"/>
          <w:szCs w:val="22"/>
        </w:rPr>
        <w:t xml:space="preserve">, que cuenta con </w:t>
      </w:r>
      <w:r w:rsidR="008230A5">
        <w:rPr>
          <w:bCs/>
          <w:color w:val="auto"/>
          <w:szCs w:val="22"/>
        </w:rPr>
        <w:t>tres</w:t>
      </w:r>
      <w:r w:rsidRPr="00E85A64">
        <w:rPr>
          <w:bCs/>
          <w:color w:val="auto"/>
          <w:szCs w:val="22"/>
        </w:rPr>
        <w:t xml:space="preserve"> persona</w:t>
      </w:r>
      <w:r w:rsidR="00FB642E">
        <w:rPr>
          <w:bCs/>
          <w:color w:val="auto"/>
          <w:szCs w:val="22"/>
        </w:rPr>
        <w:t>s</w:t>
      </w:r>
      <w:r w:rsidR="00E85A64">
        <w:rPr>
          <w:bCs/>
          <w:color w:val="auto"/>
          <w:szCs w:val="22"/>
        </w:rPr>
        <w:t xml:space="preserve"> para abordar esta actividad, compatibilizándola con otras actividades y tareas.</w:t>
      </w:r>
      <w:r w:rsidRPr="00E85A64">
        <w:rPr>
          <w:bCs/>
          <w:color w:val="auto"/>
          <w:szCs w:val="22"/>
        </w:rPr>
        <w:t xml:space="preserve"> </w:t>
      </w:r>
    </w:p>
    <w:p w:rsidR="00E85A64" w:rsidRPr="00BA266E" w:rsidRDefault="00E85A64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8230A5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</w:t>
          </w:r>
          <w:r w:rsidR="0001691A">
            <w:rPr>
              <w:b/>
              <w:color w:val="00642D"/>
              <w:sz w:val="30"/>
              <w:szCs w:val="30"/>
            </w:rPr>
            <w:t>22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F7263F" w:rsidRDefault="00F7263F" w:rsidP="00F726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 xml:space="preserve">2 Indicadores de tramitación </w:t>
      </w:r>
      <w:r w:rsidR="008839AB">
        <w:rPr>
          <w:rStyle w:val="Ttulo2Car"/>
          <w:color w:val="00642D"/>
          <w:lang w:bidi="es-ES"/>
        </w:rPr>
        <w:t>en 2022</w:t>
      </w:r>
    </w:p>
    <w:p w:rsidR="00F34803" w:rsidRDefault="004058F8" w:rsidP="00835A1E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Según informa </w:t>
      </w:r>
      <w:r w:rsidR="008230A5">
        <w:rPr>
          <w:rStyle w:val="Ttulo2Car"/>
          <w:b w:val="0"/>
          <w:color w:val="auto"/>
          <w:sz w:val="22"/>
          <w:szCs w:val="22"/>
          <w:lang w:bidi="es-ES"/>
        </w:rPr>
        <w:t>INECO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en 2022 se presentaron </w:t>
      </w:r>
      <w:r w:rsidR="008230A5">
        <w:rPr>
          <w:rStyle w:val="Ttulo2Car"/>
          <w:b w:val="0"/>
          <w:color w:val="auto"/>
          <w:sz w:val="22"/>
          <w:szCs w:val="22"/>
          <w:lang w:bidi="es-ES"/>
        </w:rPr>
        <w:t>3</w:t>
      </w:r>
      <w:r w:rsidR="00FB642E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solicitudes de acceso a información pública de la </w:t>
      </w:r>
      <w:r w:rsidR="00FB642E">
        <w:rPr>
          <w:rStyle w:val="Ttulo2Car"/>
          <w:b w:val="0"/>
          <w:color w:val="auto"/>
          <w:sz w:val="22"/>
          <w:szCs w:val="22"/>
          <w:lang w:bidi="es-ES"/>
        </w:rPr>
        <w:t xml:space="preserve">entidad, que se tramitaron a lo largo del año. Las </w:t>
      </w:r>
      <w:r w:rsidR="008230A5">
        <w:rPr>
          <w:rStyle w:val="Ttulo2Car"/>
          <w:b w:val="0"/>
          <w:color w:val="auto"/>
          <w:sz w:val="22"/>
          <w:szCs w:val="22"/>
          <w:lang w:bidi="es-ES"/>
        </w:rPr>
        <w:t xml:space="preserve">3 </w:t>
      </w:r>
      <w:r w:rsidR="00FB642E">
        <w:rPr>
          <w:rStyle w:val="Ttulo2Car"/>
          <w:b w:val="0"/>
          <w:color w:val="auto"/>
          <w:sz w:val="22"/>
          <w:szCs w:val="22"/>
          <w:lang w:bidi="es-ES"/>
        </w:rPr>
        <w:t>solicitudes fueron admitidas. Se dictó resolución expresa en todos los casos</w:t>
      </w:r>
      <w:r w:rsidR="008230A5">
        <w:rPr>
          <w:rStyle w:val="Ttulo2Car"/>
          <w:b w:val="0"/>
          <w:color w:val="auto"/>
          <w:sz w:val="22"/>
          <w:szCs w:val="22"/>
          <w:lang w:bidi="es-ES"/>
        </w:rPr>
        <w:t>, concediendo acceso total a la información solicitada</w:t>
      </w:r>
      <w:r w:rsidR="00124B64">
        <w:rPr>
          <w:rStyle w:val="Ttulo2Car"/>
          <w:b w:val="0"/>
          <w:color w:val="auto"/>
          <w:sz w:val="22"/>
          <w:szCs w:val="22"/>
          <w:lang w:bidi="es-ES"/>
        </w:rPr>
        <w:t xml:space="preserve">. Ninguna solicitud fue denegada. </w:t>
      </w:r>
      <w:r w:rsidR="00FB642E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34803" w:rsidRDefault="008230A5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INECO</w:t>
      </w:r>
      <w:r w:rsidR="00124B64">
        <w:rPr>
          <w:rStyle w:val="Ttulo2Car"/>
          <w:b w:val="0"/>
          <w:color w:val="auto"/>
          <w:sz w:val="22"/>
          <w:szCs w:val="22"/>
          <w:lang w:bidi="es-ES"/>
        </w:rPr>
        <w:t xml:space="preserve"> no</w:t>
      </w:r>
      <w:r w:rsidR="005D006A">
        <w:rPr>
          <w:rStyle w:val="Ttulo2Car"/>
          <w:b w:val="0"/>
          <w:color w:val="auto"/>
          <w:sz w:val="22"/>
          <w:szCs w:val="22"/>
          <w:lang w:bidi="es-ES"/>
        </w:rPr>
        <w:t xml:space="preserve"> publica </w:t>
      </w:r>
      <w:r w:rsidR="007F4BBB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ED23E9">
        <w:rPr>
          <w:rStyle w:val="Ttulo2Car"/>
          <w:b w:val="0"/>
          <w:color w:val="auto"/>
          <w:sz w:val="22"/>
          <w:szCs w:val="22"/>
          <w:lang w:bidi="es-ES"/>
        </w:rPr>
        <w:t xml:space="preserve">en su Portal de Transparencia, </w:t>
      </w:r>
      <w:r w:rsidR="007F4BBB">
        <w:rPr>
          <w:rStyle w:val="Ttulo2Car"/>
          <w:b w:val="0"/>
          <w:color w:val="auto"/>
          <w:sz w:val="22"/>
          <w:szCs w:val="22"/>
          <w:lang w:bidi="es-ES"/>
        </w:rPr>
        <w:t>las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5D006A">
        <w:rPr>
          <w:rStyle w:val="Ttulo2Car"/>
          <w:b w:val="0"/>
          <w:color w:val="auto"/>
          <w:sz w:val="22"/>
          <w:szCs w:val="22"/>
          <w:lang w:bidi="es-ES"/>
        </w:rPr>
        <w:t xml:space="preserve">resoluciones 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>denega</w:t>
      </w:r>
      <w:r w:rsidR="007F4BBB">
        <w:rPr>
          <w:rStyle w:val="Ttulo2Car"/>
          <w:b w:val="0"/>
          <w:color w:val="auto"/>
          <w:sz w:val="22"/>
          <w:szCs w:val="22"/>
          <w:lang w:bidi="es-ES"/>
        </w:rPr>
        <w:t>torias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A077E8" w:rsidRDefault="00A077E8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8230A5" w:rsidRDefault="008230A5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8230A5" w:rsidRDefault="008230A5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8230A5" w:rsidRDefault="008230A5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B812AB" w:rsidRPr="00E34195" w:rsidRDefault="008230A5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A351F7" w:rsidRDefault="008230A5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INECO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>cuenta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en su </w:t>
      </w:r>
      <w:r w:rsidR="00296731">
        <w:rPr>
          <w:rStyle w:val="Ttulo2Car"/>
          <w:b w:val="0"/>
          <w:color w:val="auto"/>
          <w:sz w:val="22"/>
          <w:szCs w:val="22"/>
          <w:lang w:bidi="es-ES"/>
        </w:rPr>
        <w:t>Portal de Transparencias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con un apartado específico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para la presentación de las solicitudes de acceso a información pública de la entidad. </w:t>
      </w:r>
      <w:r w:rsidR="00A351F7">
        <w:rPr>
          <w:rStyle w:val="Ttulo2Car"/>
          <w:b w:val="0"/>
          <w:color w:val="auto"/>
          <w:sz w:val="22"/>
          <w:szCs w:val="22"/>
          <w:lang w:bidi="es-ES"/>
        </w:rPr>
        <w:t xml:space="preserve">En este apartado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A351F7">
        <w:rPr>
          <w:rStyle w:val="Ttulo2Car"/>
          <w:b w:val="0"/>
          <w:color w:val="auto"/>
          <w:sz w:val="22"/>
          <w:szCs w:val="22"/>
          <w:lang w:bidi="es-ES"/>
        </w:rPr>
        <w:t xml:space="preserve">se informa de la posibilidad de solicitar información pública de la </w:t>
      </w:r>
      <w:r w:rsidR="00296731">
        <w:rPr>
          <w:rStyle w:val="Ttulo2Car"/>
          <w:b w:val="0"/>
          <w:color w:val="auto"/>
          <w:sz w:val="22"/>
          <w:szCs w:val="22"/>
          <w:lang w:bidi="es-ES"/>
        </w:rPr>
        <w:t>entidad</w:t>
      </w:r>
      <w:r w:rsidR="00A351F7">
        <w:rPr>
          <w:rStyle w:val="Ttulo2Car"/>
          <w:b w:val="0"/>
          <w:color w:val="auto"/>
          <w:sz w:val="22"/>
          <w:szCs w:val="22"/>
          <w:lang w:bidi="es-ES"/>
        </w:rPr>
        <w:t xml:space="preserve"> al amparo de la LTAIBG. </w:t>
      </w:r>
    </w:p>
    <w:p w:rsidR="00A077E8" w:rsidRDefault="00A351F7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Para la presentación de las solicitudes, </w:t>
      </w:r>
      <w:r w:rsidR="008230A5">
        <w:rPr>
          <w:rStyle w:val="Ttulo2Car"/>
          <w:b w:val="0"/>
          <w:color w:val="auto"/>
          <w:sz w:val="22"/>
          <w:szCs w:val="22"/>
          <w:lang w:bidi="es-ES"/>
        </w:rPr>
        <w:t>se proporciona un formulario web</w:t>
      </w:r>
      <w:r w:rsidR="004058F8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  <w:r w:rsidR="00A077E8">
        <w:rPr>
          <w:rStyle w:val="Ttulo2Car"/>
          <w:b w:val="0"/>
          <w:color w:val="auto"/>
          <w:sz w:val="22"/>
          <w:szCs w:val="22"/>
          <w:lang w:bidi="es-ES"/>
        </w:rPr>
        <w:t>No se informa sobre los medios de contacto con las administraciones públicas contemplados en la Ley 39/2015.</w:t>
      </w:r>
      <w:r w:rsidR="008230A5">
        <w:rPr>
          <w:rStyle w:val="Ttulo2Car"/>
          <w:b w:val="0"/>
          <w:color w:val="auto"/>
          <w:sz w:val="22"/>
          <w:szCs w:val="22"/>
          <w:lang w:bidi="es-ES"/>
        </w:rPr>
        <w:t xml:space="preserve"> Tampoco se publican instrucciones ni se informa sobre el procedimiento.</w:t>
      </w:r>
    </w:p>
    <w:p w:rsidR="00B40246" w:rsidRPr="00E34195" w:rsidRDefault="008230A5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Pr="00D246A4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D246A4">
        <w:rPr>
          <w:rStyle w:val="Ttulo2Car"/>
          <w:sz w:val="22"/>
          <w:szCs w:val="22"/>
        </w:rPr>
        <w:t>Inicio del procedimiento</w:t>
      </w:r>
      <w:r w:rsidRPr="00D246A4">
        <w:rPr>
          <w:color w:val="auto"/>
          <w:lang w:bidi="es-ES"/>
        </w:rPr>
        <w:t xml:space="preserve">. </w:t>
      </w:r>
    </w:p>
    <w:p w:rsidR="001E1C29" w:rsidRPr="00D246A4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D246A4">
        <w:rPr>
          <w:color w:val="auto"/>
          <w:lang w:bidi="es-ES"/>
        </w:rPr>
        <w:t xml:space="preserve">Con fecha </w:t>
      </w:r>
      <w:r w:rsidR="008230A5">
        <w:rPr>
          <w:color w:val="auto"/>
          <w:lang w:bidi="es-ES"/>
        </w:rPr>
        <w:t>09</w:t>
      </w:r>
      <w:r w:rsidR="00FC2FB9" w:rsidRPr="00D246A4">
        <w:rPr>
          <w:color w:val="auto"/>
          <w:lang w:bidi="es-ES"/>
        </w:rPr>
        <w:t>/0</w:t>
      </w:r>
      <w:r w:rsidR="00E57E17" w:rsidRPr="00D246A4">
        <w:rPr>
          <w:color w:val="auto"/>
          <w:lang w:bidi="es-ES"/>
        </w:rPr>
        <w:t>5</w:t>
      </w:r>
      <w:r w:rsidR="000B2A81" w:rsidRPr="00D246A4">
        <w:rPr>
          <w:color w:val="auto"/>
          <w:lang w:bidi="es-ES"/>
        </w:rPr>
        <w:t>/</w:t>
      </w:r>
      <w:r w:rsidRPr="00D246A4">
        <w:rPr>
          <w:color w:val="auto"/>
          <w:lang w:bidi="es-ES"/>
        </w:rPr>
        <w:t>202</w:t>
      </w:r>
      <w:r w:rsidR="008839AB" w:rsidRPr="00D246A4">
        <w:rPr>
          <w:color w:val="auto"/>
          <w:lang w:bidi="es-ES"/>
        </w:rPr>
        <w:t>3</w:t>
      </w:r>
      <w:r w:rsidRPr="00D246A4">
        <w:rPr>
          <w:color w:val="auto"/>
          <w:lang w:bidi="es-ES"/>
        </w:rPr>
        <w:t xml:space="preserve"> se presentó </w:t>
      </w:r>
      <w:r w:rsidR="00904E47" w:rsidRPr="00D246A4">
        <w:rPr>
          <w:color w:val="auto"/>
          <w:lang w:bidi="es-ES"/>
        </w:rPr>
        <w:t xml:space="preserve">a través </w:t>
      </w:r>
      <w:r w:rsidR="00E57E17" w:rsidRPr="00D246A4">
        <w:rPr>
          <w:color w:val="auto"/>
          <w:lang w:bidi="es-ES"/>
        </w:rPr>
        <w:t xml:space="preserve">del </w:t>
      </w:r>
      <w:r w:rsidR="008230A5">
        <w:rPr>
          <w:color w:val="auto"/>
          <w:lang w:bidi="es-ES"/>
        </w:rPr>
        <w:t>formulario web</w:t>
      </w:r>
      <w:r w:rsidR="003D3BD3">
        <w:rPr>
          <w:color w:val="auto"/>
          <w:lang w:bidi="es-ES"/>
        </w:rPr>
        <w:t xml:space="preserve"> ubicado en el apartado Buzón de Transparencia</w:t>
      </w:r>
      <w:r w:rsidR="00D246A4">
        <w:rPr>
          <w:color w:val="auto"/>
          <w:lang w:bidi="es-ES"/>
        </w:rPr>
        <w:t xml:space="preserve">, </w:t>
      </w:r>
      <w:r w:rsidR="00E57E17" w:rsidRPr="00D246A4">
        <w:rPr>
          <w:color w:val="auto"/>
          <w:lang w:bidi="es-ES"/>
        </w:rPr>
        <w:t>una solicitud de acceso a información pública de la entidad</w:t>
      </w:r>
      <w:r w:rsidRPr="00D246A4">
        <w:rPr>
          <w:color w:val="auto"/>
          <w:lang w:bidi="es-ES"/>
        </w:rPr>
        <w:t xml:space="preserve">. </w:t>
      </w:r>
      <w:r w:rsidR="00A077E8">
        <w:rPr>
          <w:color w:val="auto"/>
          <w:lang w:bidi="es-ES"/>
        </w:rPr>
        <w:t>S</w:t>
      </w:r>
      <w:r w:rsidR="00EE3509" w:rsidRPr="00D246A4">
        <w:rPr>
          <w:color w:val="auto"/>
          <w:lang w:bidi="es-ES"/>
        </w:rPr>
        <w:t>e emite un acuse de recibo de la presentación de la solicitud</w:t>
      </w:r>
      <w:r w:rsidR="00A077E8">
        <w:rPr>
          <w:color w:val="auto"/>
          <w:lang w:bidi="es-ES"/>
        </w:rPr>
        <w:t xml:space="preserve"> en la misma fecha</w:t>
      </w:r>
      <w:r w:rsidR="00EE3509" w:rsidRPr="00D246A4">
        <w:rPr>
          <w:color w:val="auto"/>
          <w:lang w:bidi="es-ES"/>
        </w:rPr>
        <w:t>.</w:t>
      </w:r>
    </w:p>
    <w:p w:rsidR="00F34803" w:rsidRPr="00D246A4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D246A4">
        <w:rPr>
          <w:rStyle w:val="Ttulo2Car"/>
          <w:sz w:val="22"/>
          <w:szCs w:val="22"/>
        </w:rPr>
        <w:t>Tramitación</w:t>
      </w:r>
    </w:p>
    <w:p w:rsidR="00AB4742" w:rsidRPr="00D246A4" w:rsidRDefault="00E57E17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D246A4">
        <w:rPr>
          <w:color w:val="auto"/>
          <w:lang w:bidi="es-ES"/>
        </w:rPr>
        <w:t>No</w:t>
      </w:r>
      <w:r w:rsidR="00B108F0" w:rsidRPr="00D246A4">
        <w:rPr>
          <w:color w:val="auto"/>
          <w:lang w:bidi="es-ES"/>
        </w:rPr>
        <w:t xml:space="preserve"> se</w:t>
      </w:r>
      <w:r w:rsidR="00F34803" w:rsidRPr="00D246A4">
        <w:rPr>
          <w:color w:val="auto"/>
          <w:lang w:bidi="es-ES"/>
        </w:rPr>
        <w:t xml:space="preserve"> </w:t>
      </w:r>
      <w:r w:rsidR="00904E47" w:rsidRPr="00D246A4">
        <w:rPr>
          <w:color w:val="auto"/>
          <w:lang w:bidi="es-ES"/>
        </w:rPr>
        <w:t xml:space="preserve">comunica el </w:t>
      </w:r>
      <w:r w:rsidR="00F34803" w:rsidRPr="00D246A4">
        <w:rPr>
          <w:color w:val="auto"/>
          <w:lang w:bidi="es-ES"/>
        </w:rPr>
        <w:t xml:space="preserve">inicio de la tramitación de la solicitud. </w:t>
      </w:r>
    </w:p>
    <w:p w:rsidR="00AB4742" w:rsidRPr="00D246A4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Pr="00D246A4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D246A4">
        <w:rPr>
          <w:rStyle w:val="Ttulo2Car"/>
          <w:sz w:val="22"/>
          <w:szCs w:val="22"/>
        </w:rPr>
        <w:t>Resolución</w:t>
      </w:r>
    </w:p>
    <w:p w:rsidR="00097907" w:rsidRPr="004D165C" w:rsidRDefault="00097907" w:rsidP="00097907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4D165C">
        <w:rPr>
          <w:color w:val="auto"/>
          <w:lang w:bidi="es-ES"/>
        </w:rPr>
        <w:t xml:space="preserve">Se dicta resolución expresa con fecha </w:t>
      </w:r>
      <w:r>
        <w:rPr>
          <w:color w:val="auto"/>
          <w:lang w:bidi="es-ES"/>
        </w:rPr>
        <w:t>0</w:t>
      </w:r>
      <w:r w:rsidR="008230A5">
        <w:rPr>
          <w:color w:val="auto"/>
          <w:lang w:bidi="es-ES"/>
        </w:rPr>
        <w:t>5</w:t>
      </w:r>
      <w:r w:rsidRPr="004D165C">
        <w:rPr>
          <w:color w:val="auto"/>
          <w:lang w:bidi="es-ES"/>
        </w:rPr>
        <w:t>/06/202</w:t>
      </w:r>
      <w:r>
        <w:rPr>
          <w:color w:val="auto"/>
          <w:lang w:bidi="es-ES"/>
        </w:rPr>
        <w:t>3</w:t>
      </w:r>
      <w:r w:rsidRPr="004D165C">
        <w:rPr>
          <w:color w:val="auto"/>
          <w:lang w:bidi="es-ES"/>
        </w:rPr>
        <w:t xml:space="preserve">. </w:t>
      </w:r>
    </w:p>
    <w:p w:rsidR="00097907" w:rsidRPr="004D165C" w:rsidRDefault="00097907" w:rsidP="00097907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4D165C">
        <w:rPr>
          <w:color w:val="auto"/>
          <w:lang w:bidi="es-ES"/>
        </w:rPr>
        <w:t xml:space="preserve">La resolución está firmada por </w:t>
      </w:r>
      <w:r>
        <w:rPr>
          <w:color w:val="auto"/>
          <w:lang w:bidi="es-ES"/>
        </w:rPr>
        <w:t xml:space="preserve">el </w:t>
      </w:r>
      <w:r w:rsidR="008230A5">
        <w:rPr>
          <w:color w:val="auto"/>
          <w:lang w:bidi="es-ES"/>
        </w:rPr>
        <w:t>Presidente</w:t>
      </w:r>
      <w:r w:rsidRPr="004D165C">
        <w:rPr>
          <w:color w:val="auto"/>
          <w:lang w:bidi="es-ES"/>
        </w:rPr>
        <w:t>.</w:t>
      </w:r>
    </w:p>
    <w:p w:rsidR="00097907" w:rsidRPr="004D165C" w:rsidRDefault="00097907" w:rsidP="00097907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4D165C">
        <w:rPr>
          <w:color w:val="auto"/>
          <w:lang w:bidi="es-ES"/>
        </w:rPr>
        <w:t>La resolución está completa, es clara y está estructurada. Se informa de los posibles recursos que el solicitante puede interponer en caso de disconformidad con la informa</w:t>
      </w:r>
      <w:r>
        <w:rPr>
          <w:color w:val="auto"/>
          <w:lang w:bidi="es-ES"/>
        </w:rPr>
        <w:t>ción recibida y del plazo para interponerlos</w:t>
      </w:r>
    </w:p>
    <w:p w:rsidR="00097907" w:rsidRPr="004D165C" w:rsidRDefault="00097907" w:rsidP="00097907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4D165C">
        <w:rPr>
          <w:color w:val="auto"/>
          <w:lang w:bidi="es-ES"/>
        </w:rPr>
        <w:t xml:space="preserve">La información se proporciona en la propia resolución. </w:t>
      </w:r>
    </w:p>
    <w:p w:rsidR="005720B5" w:rsidRDefault="005720B5" w:rsidP="001E1C29">
      <w:pPr>
        <w:pStyle w:val="Cuerpodelboletn"/>
        <w:spacing w:before="120" w:after="120" w:line="312" w:lineRule="auto"/>
        <w:ind w:left="1146"/>
        <w:rPr>
          <w:color w:val="auto"/>
          <w:highlight w:val="yellow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5720B5" w:rsidRDefault="00256215" w:rsidP="00E57E17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5720B5">
            <w:rPr>
              <w:b/>
              <w:color w:val="00642D"/>
              <w:sz w:val="30"/>
              <w:szCs w:val="30"/>
            </w:rPr>
            <w:t>IV. Reclamaciones ante el Consejo de Transparencia</w:t>
          </w:r>
          <w:r w:rsidR="00EE5BDF" w:rsidRPr="005720B5">
            <w:rPr>
              <w:b/>
              <w:color w:val="00642D"/>
              <w:sz w:val="30"/>
              <w:szCs w:val="30"/>
            </w:rPr>
            <w:t xml:space="preserve"> y Buen Gobierno</w:t>
          </w:r>
          <w:r w:rsidRPr="005720B5">
            <w:rPr>
              <w:b/>
              <w:color w:val="00642D"/>
              <w:sz w:val="30"/>
              <w:szCs w:val="30"/>
            </w:rPr>
            <w:t xml:space="preserve"> </w:t>
          </w:r>
          <w:r w:rsidR="00AC715D" w:rsidRPr="005720B5">
            <w:rPr>
              <w:b/>
              <w:color w:val="00642D"/>
              <w:sz w:val="30"/>
              <w:szCs w:val="30"/>
            </w:rPr>
            <w:t>en el periodo 2015-202</w:t>
          </w:r>
          <w:r w:rsidR="005D006A" w:rsidRPr="005720B5">
            <w:rPr>
              <w:b/>
              <w:color w:val="00642D"/>
              <w:sz w:val="30"/>
              <w:szCs w:val="30"/>
            </w:rPr>
            <w:t>2</w:t>
          </w:r>
        </w:p>
      </w:sdtContent>
    </w:sdt>
    <w:p w:rsidR="00256215" w:rsidRPr="00296731" w:rsidRDefault="00256215" w:rsidP="00256215">
      <w:pPr>
        <w:pStyle w:val="Cuerpodelboletn"/>
        <w:rPr>
          <w:highlight w:val="yellow"/>
        </w:rPr>
      </w:pPr>
    </w:p>
    <w:p w:rsidR="003D3BD3" w:rsidRDefault="005720B5" w:rsidP="003D3BD3">
      <w:pPr>
        <w:pStyle w:val="Cuerpodelboletn"/>
        <w:spacing w:before="120" w:after="120" w:line="276" w:lineRule="auto"/>
        <w:ind w:left="425"/>
      </w:pPr>
      <w:r w:rsidRPr="005720B5">
        <w:t>El CTBG</w:t>
      </w:r>
      <w:r w:rsidR="00F21A5A">
        <w:t xml:space="preserve"> </w:t>
      </w:r>
      <w:r w:rsidRPr="005720B5">
        <w:t xml:space="preserve">ha recibido </w:t>
      </w:r>
      <w:r w:rsidR="008230A5">
        <w:t xml:space="preserve">6 </w:t>
      </w:r>
      <w:r w:rsidRPr="005720B5">
        <w:t xml:space="preserve">reclamaciones contra resoluciones </w:t>
      </w:r>
      <w:r w:rsidR="00A322B3">
        <w:t xml:space="preserve">de </w:t>
      </w:r>
      <w:r w:rsidR="008230A5">
        <w:t>INECO</w:t>
      </w:r>
      <w:r w:rsidR="00A322B3">
        <w:t xml:space="preserve"> </w:t>
      </w:r>
      <w:r w:rsidRPr="005720B5">
        <w:t xml:space="preserve"> en materia de acceso a la información pública. </w:t>
      </w:r>
      <w:r w:rsidR="003D3BD3">
        <w:rPr>
          <w:color w:val="auto"/>
        </w:rPr>
        <w:t>De ellas, cuatro fueron estimadas</w:t>
      </w:r>
      <w:r w:rsidR="003D3BD3" w:rsidRPr="004A133A">
        <w:t xml:space="preserve"> </w:t>
      </w:r>
      <w:r w:rsidR="003D3BD3">
        <w:t xml:space="preserve">y dos desestimados. </w:t>
      </w:r>
    </w:p>
    <w:p w:rsidR="003D3BD3" w:rsidRDefault="003D3BD3" w:rsidP="003D3BD3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INECO presentó recurso contencioso-administrativo contra una de las resoluciones favorables a los reclamantes, lo que sitúa la tasa de litigiosidad en el 25%. La sentencia dictada, que ha adquirido firmeza, fue favorable al CTBG. </w:t>
      </w:r>
    </w:p>
    <w:p w:rsidR="003D3BD3" w:rsidRDefault="003D3BD3" w:rsidP="003D3BD3">
      <w:pPr>
        <w:pStyle w:val="Cuerpodelboletn"/>
        <w:spacing w:before="120" w:after="120" w:line="276" w:lineRule="auto"/>
        <w:ind w:left="425"/>
        <w:rPr>
          <w:color w:val="auto"/>
        </w:rPr>
      </w:pPr>
    </w:p>
    <w:tbl>
      <w:tblPr>
        <w:tblStyle w:val="Tablaconcuadrcula3"/>
        <w:tblW w:w="0" w:type="auto"/>
        <w:tblInd w:w="959" w:type="dxa"/>
        <w:tblLook w:val="04A0" w:firstRow="1" w:lastRow="0" w:firstColumn="1" w:lastColumn="0" w:noHBand="0" w:noVBand="1"/>
      </w:tblPr>
      <w:tblGrid>
        <w:gridCol w:w="1132"/>
        <w:gridCol w:w="4013"/>
        <w:gridCol w:w="1756"/>
        <w:gridCol w:w="1427"/>
      </w:tblGrid>
      <w:tr w:rsidR="003D3BD3" w:rsidRPr="00871B3A" w:rsidTr="003D3BD3">
        <w:tc>
          <w:tcPr>
            <w:tcW w:w="1132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007635"/>
            <w:textDirection w:val="btLr"/>
          </w:tcPr>
          <w:p w:rsidR="003D3BD3" w:rsidRPr="00871B3A" w:rsidRDefault="003D3BD3" w:rsidP="003D3BD3">
            <w:pPr>
              <w:ind w:left="113" w:right="113"/>
              <w:jc w:val="center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5769" w:type="dxa"/>
            <w:gridSpan w:val="2"/>
            <w:tcBorders>
              <w:left w:val="nil"/>
            </w:tcBorders>
          </w:tcPr>
          <w:p w:rsidR="003D3BD3" w:rsidRPr="00871B3A" w:rsidRDefault="003D3BD3" w:rsidP="003D3BD3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 de Resoluciones de la entidad recurridas ante el CTBG</w:t>
            </w:r>
          </w:p>
        </w:tc>
        <w:tc>
          <w:tcPr>
            <w:tcW w:w="1427" w:type="dxa"/>
            <w:vAlign w:val="center"/>
          </w:tcPr>
          <w:p w:rsidR="003D3BD3" w:rsidRPr="00871B3A" w:rsidRDefault="003D3BD3" w:rsidP="003D3B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3D3BD3" w:rsidRPr="00871B3A" w:rsidTr="003D3BD3">
        <w:trPr>
          <w:trHeight w:val="248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3D3BD3" w:rsidRPr="00871B3A" w:rsidRDefault="003D3BD3" w:rsidP="003D3BD3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</w:tcPr>
          <w:p w:rsidR="003D3BD3" w:rsidRPr="00871B3A" w:rsidRDefault="003D3BD3" w:rsidP="003D3BD3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 de Resoluciones del CTBG favorables a la entidad</w:t>
            </w:r>
          </w:p>
        </w:tc>
        <w:tc>
          <w:tcPr>
            <w:tcW w:w="1756" w:type="dxa"/>
            <w:tcBorders>
              <w:left w:val="nil"/>
            </w:tcBorders>
          </w:tcPr>
          <w:p w:rsidR="003D3BD3" w:rsidRPr="00871B3A" w:rsidRDefault="003D3BD3" w:rsidP="003D3BD3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</w:t>
            </w:r>
          </w:p>
        </w:tc>
        <w:tc>
          <w:tcPr>
            <w:tcW w:w="1427" w:type="dxa"/>
            <w:vAlign w:val="center"/>
          </w:tcPr>
          <w:p w:rsidR="003D3BD3" w:rsidRPr="00871B3A" w:rsidRDefault="003D3BD3" w:rsidP="003D3B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3D3BD3" w:rsidRPr="00871B3A" w:rsidTr="003D3BD3">
        <w:trPr>
          <w:trHeight w:val="247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3D3BD3" w:rsidRPr="00871B3A" w:rsidRDefault="003D3BD3" w:rsidP="003D3BD3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</w:tcPr>
          <w:p w:rsidR="003D3BD3" w:rsidRPr="00871B3A" w:rsidRDefault="003D3BD3" w:rsidP="003D3BD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3D3BD3" w:rsidRPr="00871B3A" w:rsidRDefault="003D3BD3" w:rsidP="003D3BD3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Porcentaje</w:t>
            </w:r>
          </w:p>
        </w:tc>
        <w:tc>
          <w:tcPr>
            <w:tcW w:w="1427" w:type="dxa"/>
            <w:vAlign w:val="center"/>
          </w:tcPr>
          <w:p w:rsidR="003D3BD3" w:rsidRPr="00871B3A" w:rsidRDefault="003D3BD3" w:rsidP="003D3B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33,3</w:t>
            </w:r>
          </w:p>
        </w:tc>
      </w:tr>
      <w:tr w:rsidR="003D3BD3" w:rsidRPr="00871B3A" w:rsidTr="003D3BD3">
        <w:trPr>
          <w:trHeight w:val="248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3D3BD3" w:rsidRPr="00871B3A" w:rsidRDefault="003D3BD3" w:rsidP="003D3BD3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</w:tcPr>
          <w:p w:rsidR="003D3BD3" w:rsidRPr="00871B3A" w:rsidRDefault="003D3BD3" w:rsidP="003D3BD3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 de Resoluciones del CTBG favorables a los reclamantes</w:t>
            </w:r>
          </w:p>
        </w:tc>
        <w:tc>
          <w:tcPr>
            <w:tcW w:w="1756" w:type="dxa"/>
            <w:tcBorders>
              <w:left w:val="nil"/>
            </w:tcBorders>
          </w:tcPr>
          <w:p w:rsidR="003D3BD3" w:rsidRPr="00871B3A" w:rsidRDefault="003D3BD3" w:rsidP="003D3BD3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</w:t>
            </w:r>
          </w:p>
        </w:tc>
        <w:tc>
          <w:tcPr>
            <w:tcW w:w="1427" w:type="dxa"/>
            <w:vAlign w:val="center"/>
          </w:tcPr>
          <w:p w:rsidR="003D3BD3" w:rsidRPr="00871B3A" w:rsidRDefault="003D3BD3" w:rsidP="003D3B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3D3BD3" w:rsidRPr="00871B3A" w:rsidTr="003D3BD3">
        <w:trPr>
          <w:trHeight w:val="247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3D3BD3" w:rsidRPr="00871B3A" w:rsidRDefault="003D3BD3" w:rsidP="003D3BD3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</w:tcPr>
          <w:p w:rsidR="003D3BD3" w:rsidRPr="00871B3A" w:rsidRDefault="003D3BD3" w:rsidP="003D3BD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3D3BD3" w:rsidRPr="00871B3A" w:rsidRDefault="003D3BD3" w:rsidP="003D3BD3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Porcentaje</w:t>
            </w:r>
          </w:p>
        </w:tc>
        <w:tc>
          <w:tcPr>
            <w:tcW w:w="1427" w:type="dxa"/>
            <w:vAlign w:val="center"/>
          </w:tcPr>
          <w:p w:rsidR="003D3BD3" w:rsidRPr="00871B3A" w:rsidRDefault="003D3BD3" w:rsidP="003D3B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66,7</w:t>
            </w:r>
          </w:p>
        </w:tc>
      </w:tr>
      <w:tr w:rsidR="003D3BD3" w:rsidRPr="00871B3A" w:rsidTr="003D3BD3"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3D3BD3" w:rsidRPr="00871B3A" w:rsidRDefault="003D3BD3" w:rsidP="003D3BD3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5769" w:type="dxa"/>
            <w:gridSpan w:val="2"/>
            <w:tcBorders>
              <w:left w:val="nil"/>
            </w:tcBorders>
          </w:tcPr>
          <w:p w:rsidR="003D3BD3" w:rsidRPr="00871B3A" w:rsidRDefault="003D3BD3" w:rsidP="003D3BD3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 de Resoluciones del CTBG favorables a los reclamantes recurridas ante la jurisdicción contencioso-administrativa</w:t>
            </w:r>
          </w:p>
        </w:tc>
        <w:tc>
          <w:tcPr>
            <w:tcW w:w="1427" w:type="dxa"/>
            <w:vAlign w:val="center"/>
          </w:tcPr>
          <w:p w:rsidR="003D3BD3" w:rsidRPr="00871B3A" w:rsidRDefault="003D3BD3" w:rsidP="003D3B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3D3BD3" w:rsidRPr="00871B3A" w:rsidTr="003D3BD3"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3D3BD3" w:rsidRPr="00871B3A" w:rsidRDefault="003D3BD3" w:rsidP="003D3BD3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5769" w:type="dxa"/>
            <w:gridSpan w:val="2"/>
            <w:tcBorders>
              <w:left w:val="nil"/>
            </w:tcBorders>
          </w:tcPr>
          <w:p w:rsidR="003D3BD3" w:rsidRPr="00871B3A" w:rsidRDefault="003D3BD3" w:rsidP="003D3BD3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Tasa de litigiosidad</w:t>
            </w:r>
          </w:p>
        </w:tc>
        <w:tc>
          <w:tcPr>
            <w:tcW w:w="1427" w:type="dxa"/>
            <w:vAlign w:val="center"/>
          </w:tcPr>
          <w:p w:rsidR="003D3BD3" w:rsidRPr="00871B3A" w:rsidRDefault="003D3BD3" w:rsidP="003D3B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</w:t>
            </w:r>
          </w:p>
        </w:tc>
      </w:tr>
      <w:tr w:rsidR="003D3BD3" w:rsidRPr="00871B3A" w:rsidTr="003D3BD3"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3D3BD3" w:rsidRPr="00871B3A" w:rsidRDefault="003D3BD3" w:rsidP="003D3BD3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  <w:vAlign w:val="center"/>
          </w:tcPr>
          <w:p w:rsidR="003D3BD3" w:rsidRPr="00871B3A" w:rsidRDefault="003D3BD3" w:rsidP="003D3BD3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Sentencias firmes favorables al CTBG</w:t>
            </w:r>
          </w:p>
        </w:tc>
        <w:tc>
          <w:tcPr>
            <w:tcW w:w="1756" w:type="dxa"/>
            <w:tcBorders>
              <w:left w:val="nil"/>
            </w:tcBorders>
          </w:tcPr>
          <w:p w:rsidR="003D3BD3" w:rsidRPr="00871B3A" w:rsidRDefault="003D3BD3" w:rsidP="003D3BD3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 xml:space="preserve">Nº </w:t>
            </w:r>
          </w:p>
        </w:tc>
        <w:tc>
          <w:tcPr>
            <w:tcW w:w="1427" w:type="dxa"/>
            <w:vAlign w:val="center"/>
          </w:tcPr>
          <w:p w:rsidR="003D3BD3" w:rsidRPr="00871B3A" w:rsidRDefault="003D3BD3" w:rsidP="003D3B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3D3BD3" w:rsidRPr="00871B3A" w:rsidTr="003D3BD3">
        <w:trPr>
          <w:trHeight w:val="113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3D3BD3" w:rsidRPr="00871B3A" w:rsidRDefault="003D3BD3" w:rsidP="003D3BD3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  <w:vAlign w:val="center"/>
          </w:tcPr>
          <w:p w:rsidR="003D3BD3" w:rsidRPr="00871B3A" w:rsidRDefault="003D3BD3" w:rsidP="003D3BD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3D3BD3" w:rsidRPr="00871B3A" w:rsidRDefault="003D3BD3" w:rsidP="003D3BD3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Porcentaje</w:t>
            </w:r>
          </w:p>
        </w:tc>
        <w:tc>
          <w:tcPr>
            <w:tcW w:w="1427" w:type="dxa"/>
            <w:vAlign w:val="center"/>
          </w:tcPr>
          <w:p w:rsidR="003D3BD3" w:rsidRPr="00871B3A" w:rsidRDefault="003D3BD3" w:rsidP="003D3B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3D3BD3" w:rsidRPr="00871B3A" w:rsidTr="003D3BD3">
        <w:trPr>
          <w:trHeight w:val="248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3D3BD3" w:rsidRPr="00871B3A" w:rsidRDefault="003D3BD3" w:rsidP="003D3BD3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  <w:vAlign w:val="center"/>
          </w:tcPr>
          <w:p w:rsidR="003D3BD3" w:rsidRPr="00871B3A" w:rsidRDefault="003D3BD3" w:rsidP="003D3BD3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Sentencias firmes favorables a la entidad</w:t>
            </w:r>
          </w:p>
        </w:tc>
        <w:tc>
          <w:tcPr>
            <w:tcW w:w="1756" w:type="dxa"/>
            <w:tcBorders>
              <w:left w:val="nil"/>
            </w:tcBorders>
          </w:tcPr>
          <w:p w:rsidR="003D3BD3" w:rsidRPr="00871B3A" w:rsidRDefault="003D3BD3" w:rsidP="003D3BD3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 xml:space="preserve">Nº </w:t>
            </w:r>
          </w:p>
        </w:tc>
        <w:tc>
          <w:tcPr>
            <w:tcW w:w="1427" w:type="dxa"/>
            <w:vAlign w:val="center"/>
          </w:tcPr>
          <w:p w:rsidR="003D3BD3" w:rsidRPr="00871B3A" w:rsidRDefault="003D3BD3" w:rsidP="003D3B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3D3BD3" w:rsidRPr="00871B3A" w:rsidTr="003D3BD3">
        <w:trPr>
          <w:trHeight w:val="247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3D3BD3" w:rsidRPr="00871B3A" w:rsidRDefault="003D3BD3" w:rsidP="003D3BD3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</w:tcPr>
          <w:p w:rsidR="003D3BD3" w:rsidRPr="00871B3A" w:rsidRDefault="003D3BD3" w:rsidP="003D3BD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3D3BD3" w:rsidRPr="00871B3A" w:rsidRDefault="003D3BD3" w:rsidP="003D3BD3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Porcentaje</w:t>
            </w:r>
          </w:p>
        </w:tc>
        <w:tc>
          <w:tcPr>
            <w:tcW w:w="1427" w:type="dxa"/>
            <w:vAlign w:val="center"/>
          </w:tcPr>
          <w:p w:rsidR="003D3BD3" w:rsidRPr="00871B3A" w:rsidRDefault="003D3BD3" w:rsidP="003D3B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3D3BD3" w:rsidRPr="004A133A" w:rsidRDefault="003D3BD3" w:rsidP="003D3BD3">
      <w:pPr>
        <w:pStyle w:val="Cuerpodelboletn"/>
        <w:spacing w:before="120" w:after="120" w:line="276" w:lineRule="auto"/>
        <w:ind w:left="425"/>
      </w:pPr>
    </w:p>
    <w:p w:rsidR="005720B5" w:rsidRPr="005720B5" w:rsidRDefault="005720B5" w:rsidP="00F21A5A">
      <w:pPr>
        <w:spacing w:before="120" w:after="120"/>
        <w:ind w:left="425"/>
        <w:jc w:val="both"/>
        <w:rPr>
          <w:szCs w:val="24"/>
        </w:rPr>
      </w:pPr>
    </w:p>
    <w:p w:rsidR="005720B5" w:rsidRPr="00296731" w:rsidRDefault="005720B5" w:rsidP="00DF6C30">
      <w:pPr>
        <w:pStyle w:val="Cuerpodelboletn"/>
        <w:spacing w:before="120" w:after="120" w:line="276" w:lineRule="auto"/>
        <w:ind w:left="425"/>
        <w:rPr>
          <w:highlight w:val="yellow"/>
        </w:rPr>
      </w:pPr>
    </w:p>
    <w:p w:rsidR="001F251B" w:rsidRPr="00AA1248" w:rsidRDefault="008230A5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AA1248">
            <w:rPr>
              <w:b/>
              <w:color w:val="00642D"/>
              <w:sz w:val="30"/>
              <w:szCs w:val="30"/>
            </w:rPr>
            <w:t xml:space="preserve">V. Buenas prácticas </w:t>
          </w:r>
        </w:sdtContent>
      </w:sdt>
    </w:p>
    <w:p w:rsidR="00A52CEF" w:rsidRPr="00AA1248" w:rsidRDefault="003D3BD3" w:rsidP="00A52CEF">
      <w:pPr>
        <w:spacing w:before="120" w:after="120"/>
        <w:ind w:left="426"/>
        <w:jc w:val="both"/>
      </w:pPr>
      <w:r>
        <w:t>INECO</w:t>
      </w:r>
      <w:r w:rsidR="00A52CEF" w:rsidRPr="00AA1248">
        <w:t xml:space="preserve"> presenta en la gestión de las solicitudes de acceso a información pública buenas prácticas que podrían ser aplicadas por otras instituciones y organizaciones públicas. Entre ellas cabe destacar:</w:t>
      </w:r>
    </w:p>
    <w:p w:rsidR="00A52CEF" w:rsidRDefault="00A52CEF" w:rsidP="00A52CEF">
      <w:pPr>
        <w:pStyle w:val="Prrafodelista"/>
        <w:numPr>
          <w:ilvl w:val="0"/>
          <w:numId w:val="10"/>
        </w:numPr>
        <w:spacing w:before="120" w:after="120"/>
        <w:ind w:left="1134"/>
        <w:contextualSpacing w:val="0"/>
        <w:jc w:val="both"/>
      </w:pPr>
      <w:r w:rsidRPr="00AA1248">
        <w:t>La disponibilidad de un espacio específico para el ejercicio del derecho de acceso.</w:t>
      </w:r>
    </w:p>
    <w:p w:rsidR="00F21A5A" w:rsidRPr="00AA1248" w:rsidRDefault="003D3BD3" w:rsidP="00A52CEF">
      <w:pPr>
        <w:pStyle w:val="Prrafodelista"/>
        <w:numPr>
          <w:ilvl w:val="0"/>
          <w:numId w:val="10"/>
        </w:numPr>
        <w:spacing w:before="120" w:after="120"/>
        <w:ind w:left="1134"/>
        <w:contextualSpacing w:val="0"/>
        <w:jc w:val="both"/>
      </w:pPr>
      <w:r>
        <w:t>La disponibilidad de un formulario web para la presentación de las solicitudes de acceso.</w:t>
      </w:r>
    </w:p>
    <w:p w:rsidR="00AA1248" w:rsidRDefault="00AA1248" w:rsidP="00A52CEF">
      <w:pPr>
        <w:pStyle w:val="Prrafodelista"/>
        <w:spacing w:before="120" w:after="120"/>
        <w:ind w:left="1134"/>
        <w:contextualSpacing w:val="0"/>
        <w:jc w:val="both"/>
      </w:pPr>
    </w:p>
    <w:p w:rsidR="00256215" w:rsidRDefault="008230A5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74E79" w:rsidRDefault="00F21A5A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 xml:space="preserve">Según informa </w:t>
      </w:r>
      <w:r w:rsidR="003D3BD3">
        <w:rPr>
          <w:bCs/>
        </w:rPr>
        <w:t>INECO</w:t>
      </w:r>
      <w:r>
        <w:rPr>
          <w:bCs/>
        </w:rPr>
        <w:t>, en 2022 se recibieron</w:t>
      </w:r>
      <w:r w:rsidR="00097907">
        <w:rPr>
          <w:bCs/>
        </w:rPr>
        <w:t xml:space="preserve"> un total de </w:t>
      </w:r>
      <w:r w:rsidR="003D3BD3">
        <w:rPr>
          <w:bCs/>
        </w:rPr>
        <w:t>tres</w:t>
      </w:r>
      <w:r>
        <w:rPr>
          <w:bCs/>
        </w:rPr>
        <w:t xml:space="preserve"> solicitudes de acceso a información pública de la </w:t>
      </w:r>
      <w:r w:rsidR="00097907">
        <w:rPr>
          <w:bCs/>
        </w:rPr>
        <w:t xml:space="preserve">entidad. Todas fueron tramitadas y admitidas. Se concedió acceso </w:t>
      </w:r>
      <w:r w:rsidR="003D3BD3">
        <w:rPr>
          <w:bCs/>
        </w:rPr>
        <w:t>total</w:t>
      </w:r>
      <w:r w:rsidR="00097907">
        <w:rPr>
          <w:bCs/>
        </w:rPr>
        <w:t xml:space="preserve"> a la información mediante resolución expresa </w:t>
      </w:r>
      <w:r w:rsidR="003D3BD3">
        <w:rPr>
          <w:bCs/>
        </w:rPr>
        <w:t>en los tres casos.</w:t>
      </w:r>
    </w:p>
    <w:p w:rsidR="00A322B3" w:rsidRDefault="00A322B3" w:rsidP="00F34803">
      <w:pPr>
        <w:pStyle w:val="Prrafodelista"/>
        <w:ind w:left="644"/>
        <w:jc w:val="both"/>
        <w:rPr>
          <w:bCs/>
        </w:rPr>
      </w:pPr>
    </w:p>
    <w:p w:rsidR="005D006A" w:rsidRDefault="003D3BD3" w:rsidP="005D006A">
      <w:pPr>
        <w:pStyle w:val="Prrafodelista"/>
        <w:ind w:left="644"/>
        <w:jc w:val="both"/>
        <w:rPr>
          <w:bCs/>
        </w:rPr>
      </w:pPr>
      <w:r>
        <w:rPr>
          <w:bCs/>
        </w:rPr>
        <w:t>INECO no</w:t>
      </w:r>
      <w:r w:rsidR="005D006A" w:rsidRPr="00D74E79">
        <w:rPr>
          <w:bCs/>
        </w:rPr>
        <w:t xml:space="preserve"> publica las resoluciones que deniegan el acceso a la información en aplicación de los límites del artículo 14.</w:t>
      </w:r>
    </w:p>
    <w:p w:rsidR="005D006A" w:rsidRDefault="005D006A" w:rsidP="005D006A">
      <w:pPr>
        <w:pStyle w:val="Prrafodelista"/>
        <w:ind w:left="644"/>
        <w:jc w:val="both"/>
        <w:rPr>
          <w:bCs/>
        </w:rPr>
      </w:pPr>
    </w:p>
    <w:p w:rsidR="003D3BD3" w:rsidRDefault="00FE17E6" w:rsidP="003D3BD3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contextualSpacing/>
        <w:jc w:val="both"/>
        <w:rPr>
          <w:bCs/>
        </w:rPr>
      </w:pPr>
      <w:r>
        <w:rPr>
          <w:bCs/>
        </w:rPr>
        <w:t>INECO</w:t>
      </w:r>
      <w:bookmarkStart w:id="0" w:name="_GoBack"/>
      <w:bookmarkEnd w:id="0"/>
      <w:r w:rsidR="003D3BD3" w:rsidRPr="003D3BD3">
        <w:rPr>
          <w:bCs/>
        </w:rPr>
        <w:t xml:space="preserve"> debería publicar en su Portal de Transparencia las resoluciones que deniegan el acceso a la información por aplicación de los límites del artículo 14, según lo dispuesto por el artículo 14.3 de la LTAIBG.</w:t>
      </w:r>
    </w:p>
    <w:p w:rsidR="003D3BD3" w:rsidRDefault="003D3BD3" w:rsidP="003D3BD3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contextualSpacing/>
        <w:jc w:val="both"/>
        <w:rPr>
          <w:bCs/>
        </w:rPr>
      </w:pPr>
    </w:p>
    <w:p w:rsidR="003D3BD3" w:rsidRPr="003D3BD3" w:rsidRDefault="003D3BD3" w:rsidP="003D3BD3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contextualSpacing/>
        <w:jc w:val="both"/>
        <w:rPr>
          <w:bCs/>
        </w:rPr>
      </w:pPr>
      <w:r w:rsidRPr="003D3BD3">
        <w:rPr>
          <w:bCs/>
        </w:rPr>
        <w:t>En el caso de que no hubiese solicitudes denegadas por aplicación de estos límites debería indicarse expresamente esta circunstancia.</w:t>
      </w:r>
    </w:p>
    <w:p w:rsidR="00DE6A97" w:rsidRDefault="00DE6A97" w:rsidP="00F34803">
      <w:pPr>
        <w:pStyle w:val="Prrafodelista"/>
        <w:ind w:left="644"/>
      </w:pPr>
    </w:p>
    <w:p w:rsidR="00A322B3" w:rsidRDefault="00A322B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lastRenderedPageBreak/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3D3BD3" w:rsidRDefault="00F34803" w:rsidP="00A52CEF">
      <w:pPr>
        <w:pStyle w:val="Prrafodelista"/>
        <w:ind w:left="644"/>
        <w:jc w:val="both"/>
      </w:pPr>
      <w:r>
        <w:t xml:space="preserve">Como se ha indicado, </w:t>
      </w:r>
      <w:r w:rsidR="003D3BD3">
        <w:t>INECO</w:t>
      </w:r>
      <w:r w:rsidR="005D006A">
        <w:t xml:space="preserve"> dispone de un espacio en su web institucional que facilit</w:t>
      </w:r>
      <w:r w:rsidR="00DE6A97">
        <w:t>a</w:t>
      </w:r>
      <w:r w:rsidR="005D006A">
        <w:t xml:space="preserve"> el ejercicio del derecho de acceso a la información. </w:t>
      </w:r>
      <w:r w:rsidR="003D3BD3">
        <w:t>En este espacio se localiza un formulario para la presentación de las solicitudes de información a través del Portal de Transparencia de la entidad. Pero no s</w:t>
      </w:r>
      <w:r w:rsidR="005D006A">
        <w:t>e informa sobre la posibilidad de que los ciudadanos efectúen solicitudes de acceso a información pública dirigidas a la entidad</w:t>
      </w:r>
      <w:r w:rsidR="003D3BD3">
        <w:t>, ni sobre el procedimiento.</w:t>
      </w:r>
    </w:p>
    <w:p w:rsidR="003D3BD3" w:rsidRDefault="003D3BD3" w:rsidP="00A52CEF">
      <w:pPr>
        <w:pStyle w:val="Prrafodelista"/>
        <w:ind w:left="644"/>
        <w:jc w:val="both"/>
      </w:pPr>
    </w:p>
    <w:p w:rsidR="009D7822" w:rsidRDefault="00A52CEF" w:rsidP="00A52CEF">
      <w:pPr>
        <w:pStyle w:val="Prrafodelista"/>
        <w:ind w:left="644"/>
        <w:jc w:val="both"/>
      </w:pPr>
      <w:r>
        <w:t xml:space="preserve">Como canales de presentación, se alude expresamente </w:t>
      </w:r>
      <w:r w:rsidR="00097907">
        <w:t xml:space="preserve">al Portal de Transparencia de </w:t>
      </w:r>
      <w:r w:rsidR="003D3BD3">
        <w:t>INECO</w:t>
      </w:r>
      <w:r w:rsidR="00097907">
        <w:t xml:space="preserve">, pero no se informa sobre los medios de contacto general con las administraciones públicas. </w:t>
      </w:r>
    </w:p>
    <w:p w:rsidR="00236782" w:rsidRPr="009D7822" w:rsidRDefault="00236782" w:rsidP="00236782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contextualSpacing/>
        <w:jc w:val="both"/>
      </w:pPr>
      <w:r w:rsidRPr="009D7822">
        <w:t xml:space="preserve">La Ley 39/2015, fija los medios a través de los cuales los ciudadanos pueden relacionarse con las administraciones y el derecho de éstos a relacionarse por el medio que consideren oportuno y a modificar en el transcurso del </w:t>
      </w:r>
      <w:r>
        <w:t xml:space="preserve">procedimiento el medio elegido, por lo que sería conveniente que se informase a los ciudadanos sobre esta cuestión. </w:t>
      </w:r>
    </w:p>
    <w:p w:rsidR="00236782" w:rsidRPr="009D7822" w:rsidRDefault="00236782" w:rsidP="00236782">
      <w:pPr>
        <w:ind w:left="644"/>
        <w:contextualSpacing/>
        <w:jc w:val="both"/>
      </w:pPr>
    </w:p>
    <w:p w:rsidR="001A76FF" w:rsidRDefault="001A76FF" w:rsidP="00A52CEF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236782" w:rsidRPr="00393F8C" w:rsidRDefault="00236782" w:rsidP="00236782">
      <w:pPr>
        <w:pStyle w:val="Prrafodelista"/>
        <w:ind w:left="426"/>
        <w:jc w:val="both"/>
      </w:pPr>
      <w:r w:rsidRPr="00393F8C">
        <w:t xml:space="preserve">La gestión de la solicitud de acceso presentada se ha ajustado al procedimiento establecido por la LTAIBG. La resolución </w:t>
      </w:r>
      <w:r>
        <w:t>dictada</w:t>
      </w:r>
      <w:r w:rsidRPr="00393F8C">
        <w:t xml:space="preserve"> </w:t>
      </w:r>
      <w:r>
        <w:t xml:space="preserve">por </w:t>
      </w:r>
      <w:r w:rsidRPr="00393F8C">
        <w:rPr>
          <w:lang w:bidi="es-ES"/>
        </w:rPr>
        <w:t xml:space="preserve">el </w:t>
      </w:r>
      <w:r w:rsidR="003D3BD3">
        <w:rPr>
          <w:lang w:bidi="es-ES"/>
        </w:rPr>
        <w:t>Presidente</w:t>
      </w:r>
      <w:r w:rsidRPr="00393F8C">
        <w:t xml:space="preserve"> está motivada y correctamente estructurada, es clara y comprensible e</w:t>
      </w:r>
      <w:r>
        <w:t xml:space="preserve"> incluye pie de recurso.</w:t>
      </w:r>
    </w:p>
    <w:p w:rsidR="00236782" w:rsidRDefault="00236782" w:rsidP="00236782">
      <w:pPr>
        <w:tabs>
          <w:tab w:val="left" w:pos="426"/>
        </w:tabs>
        <w:ind w:left="426"/>
        <w:contextualSpacing/>
        <w:jc w:val="both"/>
      </w:pPr>
      <w:r w:rsidRPr="00393F8C">
        <w:t>La información se proporciona en el momento de la notificación aunque no en el formato solicitado</w:t>
      </w:r>
      <w:r w:rsidR="000D583D">
        <w:t>.</w:t>
      </w:r>
    </w:p>
    <w:p w:rsidR="000D583D" w:rsidRDefault="000D583D" w:rsidP="00236782">
      <w:pPr>
        <w:tabs>
          <w:tab w:val="left" w:pos="426"/>
        </w:tabs>
        <w:ind w:left="426"/>
        <w:contextualSpacing/>
        <w:jc w:val="both"/>
      </w:pPr>
    </w:p>
    <w:p w:rsidR="007B7889" w:rsidRDefault="000D583D" w:rsidP="000D583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tabs>
          <w:tab w:val="left" w:pos="426"/>
        </w:tabs>
        <w:ind w:left="426"/>
        <w:contextualSpacing/>
        <w:jc w:val="both"/>
      </w:pPr>
      <w:r>
        <w:t>Aunque el volumen de la información solicitada sea reducido, e</w:t>
      </w:r>
      <w:r w:rsidRPr="000D583D">
        <w:t>n la medida de lo posible, el formato en el que se proporcion</w:t>
      </w:r>
      <w:r>
        <w:t>e</w:t>
      </w:r>
      <w:r w:rsidRPr="000D583D">
        <w:t xml:space="preserve"> la información debería adaptarse a las preferencias manifestadas por los ciudadanos en sus solicitudes  de acceso.</w:t>
      </w:r>
    </w:p>
    <w:p w:rsidR="000D583D" w:rsidRDefault="000D583D" w:rsidP="000D583D">
      <w:pPr>
        <w:tabs>
          <w:tab w:val="left" w:pos="426"/>
        </w:tabs>
        <w:ind w:left="426"/>
        <w:contextualSpacing/>
        <w:jc w:val="both"/>
      </w:pPr>
    </w:p>
    <w:p w:rsidR="000D583D" w:rsidRDefault="000D583D" w:rsidP="000D583D">
      <w:pPr>
        <w:tabs>
          <w:tab w:val="left" w:pos="426"/>
        </w:tabs>
        <w:ind w:left="426"/>
        <w:contextualSpacing/>
        <w:jc w:val="both"/>
      </w:pPr>
    </w:p>
    <w:p w:rsidR="000D583D" w:rsidRDefault="000D583D" w:rsidP="000D583D">
      <w:pPr>
        <w:tabs>
          <w:tab w:val="left" w:pos="426"/>
        </w:tabs>
        <w:ind w:left="426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Madrid, julio de 2023</w:t>
      </w:r>
    </w:p>
    <w:sectPr w:rsidR="000D583D" w:rsidSect="00DF63E7">
      <w:footerReference w:type="default" r:id="rId11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BD3" w:rsidRDefault="003D3BD3" w:rsidP="00932008">
      <w:pPr>
        <w:spacing w:after="0" w:line="240" w:lineRule="auto"/>
      </w:pPr>
      <w:r>
        <w:separator/>
      </w:r>
    </w:p>
  </w:endnote>
  <w:endnote w:type="continuationSeparator" w:id="0">
    <w:p w:rsidR="003D3BD3" w:rsidRDefault="003D3BD3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D3BD3" w:rsidRPr="00C533E7" w:rsidRDefault="003D3BD3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FE17E6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3D3BD3" w:rsidRDefault="003D3B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BD3" w:rsidRDefault="003D3BD3" w:rsidP="00932008">
      <w:pPr>
        <w:spacing w:after="0" w:line="240" w:lineRule="auto"/>
      </w:pPr>
      <w:r>
        <w:separator/>
      </w:r>
    </w:p>
  </w:footnote>
  <w:footnote w:type="continuationSeparator" w:id="0">
    <w:p w:rsidR="003D3BD3" w:rsidRDefault="003D3BD3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438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1BB51E8"/>
    <w:multiLevelType w:val="hybridMultilevel"/>
    <w:tmpl w:val="0914B1B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691A"/>
    <w:rsid w:val="000262A3"/>
    <w:rsid w:val="000266FD"/>
    <w:rsid w:val="00032FA6"/>
    <w:rsid w:val="00046805"/>
    <w:rsid w:val="00055B15"/>
    <w:rsid w:val="00056B19"/>
    <w:rsid w:val="00076680"/>
    <w:rsid w:val="000965B3"/>
    <w:rsid w:val="00097907"/>
    <w:rsid w:val="000A1C07"/>
    <w:rsid w:val="000B0A0D"/>
    <w:rsid w:val="000B2A81"/>
    <w:rsid w:val="000C6CFF"/>
    <w:rsid w:val="000D583D"/>
    <w:rsid w:val="00102733"/>
    <w:rsid w:val="00124B64"/>
    <w:rsid w:val="001252EE"/>
    <w:rsid w:val="0012783F"/>
    <w:rsid w:val="001561A4"/>
    <w:rsid w:val="0016234F"/>
    <w:rsid w:val="00176A94"/>
    <w:rsid w:val="00194000"/>
    <w:rsid w:val="001A76FF"/>
    <w:rsid w:val="001B3D6A"/>
    <w:rsid w:val="001C238B"/>
    <w:rsid w:val="001E1C29"/>
    <w:rsid w:val="001F251B"/>
    <w:rsid w:val="001F25E4"/>
    <w:rsid w:val="002260CC"/>
    <w:rsid w:val="00236782"/>
    <w:rsid w:val="00236AF5"/>
    <w:rsid w:val="00241D7A"/>
    <w:rsid w:val="00255A7E"/>
    <w:rsid w:val="00256215"/>
    <w:rsid w:val="002615D8"/>
    <w:rsid w:val="0026281C"/>
    <w:rsid w:val="00296731"/>
    <w:rsid w:val="002A154B"/>
    <w:rsid w:val="002A479C"/>
    <w:rsid w:val="002E0A33"/>
    <w:rsid w:val="003145AD"/>
    <w:rsid w:val="00334115"/>
    <w:rsid w:val="00340559"/>
    <w:rsid w:val="00341F8F"/>
    <w:rsid w:val="0038280F"/>
    <w:rsid w:val="00393F8C"/>
    <w:rsid w:val="003A260E"/>
    <w:rsid w:val="003B5288"/>
    <w:rsid w:val="003D3BD3"/>
    <w:rsid w:val="003F271E"/>
    <w:rsid w:val="003F572A"/>
    <w:rsid w:val="004058F8"/>
    <w:rsid w:val="00411640"/>
    <w:rsid w:val="00447511"/>
    <w:rsid w:val="004537FB"/>
    <w:rsid w:val="004A123A"/>
    <w:rsid w:val="004A133A"/>
    <w:rsid w:val="004A1E93"/>
    <w:rsid w:val="004A706B"/>
    <w:rsid w:val="004B4DC3"/>
    <w:rsid w:val="004D6E73"/>
    <w:rsid w:val="004E58B7"/>
    <w:rsid w:val="004F2655"/>
    <w:rsid w:val="00531D64"/>
    <w:rsid w:val="005446A8"/>
    <w:rsid w:val="00561402"/>
    <w:rsid w:val="005720B5"/>
    <w:rsid w:val="0057532F"/>
    <w:rsid w:val="00577A83"/>
    <w:rsid w:val="00595AAF"/>
    <w:rsid w:val="005A0354"/>
    <w:rsid w:val="005A2AD2"/>
    <w:rsid w:val="005B1F0E"/>
    <w:rsid w:val="005B3C15"/>
    <w:rsid w:val="005D006A"/>
    <w:rsid w:val="005E37C8"/>
    <w:rsid w:val="00610D8A"/>
    <w:rsid w:val="00626819"/>
    <w:rsid w:val="0063118A"/>
    <w:rsid w:val="00654162"/>
    <w:rsid w:val="006A2766"/>
    <w:rsid w:val="006A2E9A"/>
    <w:rsid w:val="00706E04"/>
    <w:rsid w:val="00707CFE"/>
    <w:rsid w:val="00710031"/>
    <w:rsid w:val="00720995"/>
    <w:rsid w:val="00727BA2"/>
    <w:rsid w:val="00741849"/>
    <w:rsid w:val="00743756"/>
    <w:rsid w:val="00786832"/>
    <w:rsid w:val="007932E6"/>
    <w:rsid w:val="007B0F99"/>
    <w:rsid w:val="007B1EF0"/>
    <w:rsid w:val="007B7889"/>
    <w:rsid w:val="007C57AB"/>
    <w:rsid w:val="007C5F74"/>
    <w:rsid w:val="007D6B40"/>
    <w:rsid w:val="007F4BBB"/>
    <w:rsid w:val="00815659"/>
    <w:rsid w:val="008207D9"/>
    <w:rsid w:val="008230A5"/>
    <w:rsid w:val="00832D4F"/>
    <w:rsid w:val="00833900"/>
    <w:rsid w:val="00835A1E"/>
    <w:rsid w:val="00844FA9"/>
    <w:rsid w:val="008839AB"/>
    <w:rsid w:val="008C1E1E"/>
    <w:rsid w:val="00904E47"/>
    <w:rsid w:val="00923092"/>
    <w:rsid w:val="009239D9"/>
    <w:rsid w:val="00930638"/>
    <w:rsid w:val="00931DA6"/>
    <w:rsid w:val="00932008"/>
    <w:rsid w:val="009609E9"/>
    <w:rsid w:val="0096522C"/>
    <w:rsid w:val="00983919"/>
    <w:rsid w:val="009913A5"/>
    <w:rsid w:val="009D7822"/>
    <w:rsid w:val="00A077E8"/>
    <w:rsid w:val="00A322B3"/>
    <w:rsid w:val="00A351F7"/>
    <w:rsid w:val="00A41DD5"/>
    <w:rsid w:val="00A52CEF"/>
    <w:rsid w:val="00A544D3"/>
    <w:rsid w:val="00A8003E"/>
    <w:rsid w:val="00A915A2"/>
    <w:rsid w:val="00AA1248"/>
    <w:rsid w:val="00AB4742"/>
    <w:rsid w:val="00AC109E"/>
    <w:rsid w:val="00AC715D"/>
    <w:rsid w:val="00AC7259"/>
    <w:rsid w:val="00AD1B67"/>
    <w:rsid w:val="00AD1DBF"/>
    <w:rsid w:val="00AE1CBE"/>
    <w:rsid w:val="00AE788F"/>
    <w:rsid w:val="00AF6C5C"/>
    <w:rsid w:val="00B108F0"/>
    <w:rsid w:val="00B31C4E"/>
    <w:rsid w:val="00B378E2"/>
    <w:rsid w:val="00B40246"/>
    <w:rsid w:val="00B5583D"/>
    <w:rsid w:val="00B812AB"/>
    <w:rsid w:val="00B841AE"/>
    <w:rsid w:val="00B84669"/>
    <w:rsid w:val="00BA266E"/>
    <w:rsid w:val="00BB63C9"/>
    <w:rsid w:val="00BB6799"/>
    <w:rsid w:val="00BD41F9"/>
    <w:rsid w:val="00BD4582"/>
    <w:rsid w:val="00BE6A46"/>
    <w:rsid w:val="00BF5EDE"/>
    <w:rsid w:val="00C02768"/>
    <w:rsid w:val="00C25AF5"/>
    <w:rsid w:val="00C33A23"/>
    <w:rsid w:val="00C34BB5"/>
    <w:rsid w:val="00C4479B"/>
    <w:rsid w:val="00C45FB7"/>
    <w:rsid w:val="00C533E7"/>
    <w:rsid w:val="00C5744D"/>
    <w:rsid w:val="00C627FB"/>
    <w:rsid w:val="00CB5511"/>
    <w:rsid w:val="00CB7518"/>
    <w:rsid w:val="00CC2049"/>
    <w:rsid w:val="00CC3BC5"/>
    <w:rsid w:val="00CC587B"/>
    <w:rsid w:val="00CC610D"/>
    <w:rsid w:val="00CD0605"/>
    <w:rsid w:val="00D246A4"/>
    <w:rsid w:val="00D41FBA"/>
    <w:rsid w:val="00D445A7"/>
    <w:rsid w:val="00D52E43"/>
    <w:rsid w:val="00D74E79"/>
    <w:rsid w:val="00D84B7B"/>
    <w:rsid w:val="00D93A14"/>
    <w:rsid w:val="00D96F84"/>
    <w:rsid w:val="00DA4FE5"/>
    <w:rsid w:val="00DA5100"/>
    <w:rsid w:val="00DB76AF"/>
    <w:rsid w:val="00DC0848"/>
    <w:rsid w:val="00DD3E02"/>
    <w:rsid w:val="00DE4AA9"/>
    <w:rsid w:val="00DE6A97"/>
    <w:rsid w:val="00DF2ACE"/>
    <w:rsid w:val="00DF4D57"/>
    <w:rsid w:val="00DF63E7"/>
    <w:rsid w:val="00DF6C30"/>
    <w:rsid w:val="00E3088D"/>
    <w:rsid w:val="00E34195"/>
    <w:rsid w:val="00E4702F"/>
    <w:rsid w:val="00E47613"/>
    <w:rsid w:val="00E541AF"/>
    <w:rsid w:val="00E569FD"/>
    <w:rsid w:val="00E57E17"/>
    <w:rsid w:val="00E85A64"/>
    <w:rsid w:val="00ED23E9"/>
    <w:rsid w:val="00ED3EAD"/>
    <w:rsid w:val="00ED4A93"/>
    <w:rsid w:val="00EE3509"/>
    <w:rsid w:val="00EE5BDF"/>
    <w:rsid w:val="00F14DA4"/>
    <w:rsid w:val="00F21A5A"/>
    <w:rsid w:val="00F34803"/>
    <w:rsid w:val="00F47C3B"/>
    <w:rsid w:val="00F50AE2"/>
    <w:rsid w:val="00F65BF4"/>
    <w:rsid w:val="00F71D7D"/>
    <w:rsid w:val="00F7263F"/>
    <w:rsid w:val="00F76499"/>
    <w:rsid w:val="00F900E1"/>
    <w:rsid w:val="00F95C49"/>
    <w:rsid w:val="00FB642E"/>
    <w:rsid w:val="00FC2FB9"/>
    <w:rsid w:val="00FD5B21"/>
    <w:rsid w:val="00FE0FC5"/>
    <w:rsid w:val="00F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572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246A4"/>
    <w:rPr>
      <w:color w:val="0000FF" w:themeColor="hyperlink"/>
      <w:u w:val="singl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3D3BD3"/>
    <w:pPr>
      <w:spacing w:after="0" w:line="240" w:lineRule="auto"/>
    </w:pPr>
    <w:rPr>
      <w:rFonts w:eastAsia="Georg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572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246A4"/>
    <w:rPr>
      <w:color w:val="0000FF" w:themeColor="hyperlink"/>
      <w:u w:val="singl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3D3BD3"/>
    <w:pPr>
      <w:spacing w:after="0" w:line="240" w:lineRule="auto"/>
    </w:pPr>
    <w:rPr>
      <w:rFonts w:eastAsia="Georg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74CEE"/>
    <w:rsid w:val="002A5B0E"/>
    <w:rsid w:val="002A69E7"/>
    <w:rsid w:val="002C1748"/>
    <w:rsid w:val="002C7AFA"/>
    <w:rsid w:val="00317E39"/>
    <w:rsid w:val="003D088C"/>
    <w:rsid w:val="003F4D90"/>
    <w:rsid w:val="004437AC"/>
    <w:rsid w:val="00543A52"/>
    <w:rsid w:val="00546DCA"/>
    <w:rsid w:val="00602B9C"/>
    <w:rsid w:val="006D7969"/>
    <w:rsid w:val="00732E07"/>
    <w:rsid w:val="0087096B"/>
    <w:rsid w:val="009316B2"/>
    <w:rsid w:val="00A80EAD"/>
    <w:rsid w:val="00AB1850"/>
    <w:rsid w:val="00AB757F"/>
    <w:rsid w:val="00C20906"/>
    <w:rsid w:val="00C26568"/>
    <w:rsid w:val="00C60DC9"/>
    <w:rsid w:val="00CA3FCC"/>
    <w:rsid w:val="00D35513"/>
    <w:rsid w:val="00DC5AD7"/>
    <w:rsid w:val="00E147F2"/>
    <w:rsid w:val="00E16D50"/>
    <w:rsid w:val="00E30568"/>
    <w:rsid w:val="00E5085E"/>
    <w:rsid w:val="00E83D79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CB13BE-AB98-4D90-ACF6-DFE7A431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55</TotalTime>
  <Pages>4</Pages>
  <Words>1004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4</cp:revision>
  <cp:lastPrinted>2007-10-26T10:03:00Z</cp:lastPrinted>
  <dcterms:created xsi:type="dcterms:W3CDTF">2023-07-04T14:47:00Z</dcterms:created>
  <dcterms:modified xsi:type="dcterms:W3CDTF">2023-07-05T08:25:00Z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