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A328B0" w:rsidRDefault="00A328B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A328B0" w:rsidRPr="00006957" w:rsidRDefault="00A328B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A328B0" w:rsidRDefault="00A328B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A328B0" w:rsidRPr="00006957" w:rsidRDefault="00A328B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8B0" w:rsidRDefault="00A328B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328B0" w:rsidRDefault="00A328B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B3570" w:rsidP="0069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Autoridad Portuaria de </w:t>
            </w:r>
            <w:r w:rsidR="00691A46">
              <w:rPr>
                <w:sz w:val="24"/>
                <w:szCs w:val="24"/>
              </w:rPr>
              <w:t>Marín y la Ría de Pontevedra</w:t>
            </w:r>
            <w:r>
              <w:rPr>
                <w:sz w:val="24"/>
                <w:szCs w:val="24"/>
              </w:rPr>
              <w:t xml:space="preserve"> (AP</w:t>
            </w:r>
            <w:r w:rsidR="00691A46">
              <w:rPr>
                <w:sz w:val="24"/>
                <w:szCs w:val="24"/>
              </w:rPr>
              <w:t>MRP</w:t>
            </w:r>
            <w:r>
              <w:rPr>
                <w:sz w:val="24"/>
                <w:szCs w:val="24"/>
              </w:rPr>
              <w:t>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B3570" w:rsidP="005C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</w:t>
            </w:r>
            <w:r w:rsidR="00340559">
              <w:rPr>
                <w:sz w:val="24"/>
                <w:szCs w:val="24"/>
              </w:rPr>
              <w:t>0</w:t>
            </w:r>
            <w:r w:rsidR="005C21D3">
              <w:rPr>
                <w:sz w:val="24"/>
                <w:szCs w:val="24"/>
              </w:rPr>
              <w:t>6</w:t>
            </w:r>
            <w:r w:rsidR="00BD3B41">
              <w:rPr>
                <w:sz w:val="24"/>
                <w:szCs w:val="24"/>
              </w:rPr>
              <w:t>/202</w:t>
            </w:r>
            <w:r w:rsidR="005C21D3"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D80BD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691A46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gestión de las solicitudes de acceso a información pública de la AP, está encomendada a la Secretaría General, que cuenta con 2  personas para el desarrollo de esta actividad que compatibilizan con otras tareas</w:t>
      </w:r>
    </w:p>
    <w:p w:rsidR="0012783F" w:rsidRDefault="0075252B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>.</w:t>
      </w:r>
      <w:r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80BD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EC0779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bCs/>
        </w:rPr>
        <w:t xml:space="preserve">La AP de Marín recibió 4 solicitudes de acceso a información pública en 2022. Todas ellas fueron tramitadas y admitidas. En todos los casos se dictó resolución expresa, concediéndose acceso total a la información en 3 casos y desestimándose una de las solicitudes sobre la base del límite contemplado en el artículo 14.1. f): </w:t>
      </w:r>
      <w:r w:rsidRPr="00EC0779">
        <w:rPr>
          <w:bCs/>
        </w:rPr>
        <w:t>igualdad de las partes en los procesos judiciales y la tutela judicial efectiva</w:t>
      </w:r>
      <w:r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</w:t>
      </w:r>
      <w:r w:rsidR="002B3570">
        <w:rPr>
          <w:rStyle w:val="Ttulo2Car"/>
          <w:b w:val="0"/>
          <w:color w:val="auto"/>
          <w:sz w:val="22"/>
          <w:szCs w:val="22"/>
          <w:lang w:bidi="es-ES"/>
        </w:rPr>
        <w:t>AP</w:t>
      </w:r>
      <w:r w:rsidR="00EC0779">
        <w:rPr>
          <w:rStyle w:val="Ttulo2Car"/>
          <w:b w:val="0"/>
          <w:color w:val="auto"/>
          <w:sz w:val="22"/>
          <w:szCs w:val="22"/>
          <w:lang w:bidi="es-ES"/>
        </w:rPr>
        <w:t>MRP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EC0779" w:rsidRDefault="00EC0779" w:rsidP="00B812AB"/>
    <w:p w:rsidR="00B812AB" w:rsidRPr="00E34195" w:rsidRDefault="00D80BD9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861D0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F9546C">
        <w:rPr>
          <w:rStyle w:val="Ttulo2Car"/>
          <w:b w:val="0"/>
          <w:color w:val="auto"/>
          <w:sz w:val="22"/>
          <w:szCs w:val="22"/>
          <w:lang w:bidi="es-ES"/>
        </w:rPr>
        <w:t>AP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9B46D2">
        <w:rPr>
          <w:rStyle w:val="Ttulo2Car"/>
          <w:b w:val="0"/>
          <w:color w:val="auto"/>
          <w:sz w:val="22"/>
          <w:szCs w:val="22"/>
          <w:lang w:bidi="es-ES"/>
        </w:rPr>
        <w:t>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  <w:r w:rsidR="002B3570"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</w:t>
      </w:r>
      <w:r w:rsidR="00F9546C">
        <w:rPr>
          <w:rStyle w:val="Ttulo2Car"/>
          <w:b w:val="0"/>
          <w:color w:val="auto"/>
          <w:sz w:val="22"/>
          <w:szCs w:val="22"/>
          <w:lang w:bidi="es-ES"/>
        </w:rPr>
        <w:t>se informa sobre el derecho de los ciudadanos a solicitar información pública de la entidad, pero no se informa sobre los medios habilitados para la presentación de las solicitudes, ni sobre los requisitos establecidos ni sobre el procedimiento.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D80BD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</w:t>
      </w:r>
      <w:r w:rsidR="00F9546C">
        <w:rPr>
          <w:color w:val="auto"/>
          <w:lang w:bidi="es-ES"/>
        </w:rPr>
        <w:t>9</w:t>
      </w:r>
      <w:r w:rsidR="000B2A81">
        <w:rPr>
          <w:color w:val="auto"/>
          <w:lang w:bidi="es-ES"/>
        </w:rPr>
        <w:t>/0</w:t>
      </w:r>
      <w:r w:rsidR="00EE60CE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9B46D2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</w:t>
      </w:r>
      <w:r w:rsidR="009B46D2">
        <w:rPr>
          <w:color w:val="auto"/>
          <w:lang w:bidi="es-ES"/>
        </w:rPr>
        <w:t xml:space="preserve"> </w:t>
      </w:r>
      <w:r w:rsidR="00F9546C">
        <w:rPr>
          <w:color w:val="auto"/>
          <w:lang w:bidi="es-ES"/>
        </w:rPr>
        <w:t>Registro Electrónico General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9B46D2">
        <w:rPr>
          <w:color w:val="auto"/>
          <w:lang w:bidi="es-ES"/>
        </w:rPr>
        <w:t xml:space="preserve">Con la misma fecha </w:t>
      </w:r>
      <w:r w:rsidR="000B2A81">
        <w:rPr>
          <w:color w:val="auto"/>
          <w:lang w:bidi="es-ES"/>
        </w:rPr>
        <w:t>se emite un acuse de recibo</w:t>
      </w:r>
      <w:r w:rsidR="00AC715D"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9B46D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>
        <w:rPr>
          <w:rStyle w:val="Ttulo2Car"/>
          <w:sz w:val="22"/>
          <w:szCs w:val="22"/>
        </w:rPr>
        <w:t>Resolución</w:t>
      </w:r>
    </w:p>
    <w:p w:rsidR="00A328B0" w:rsidRDefault="00A328B0" w:rsidP="00A328B0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respuesta.</w:t>
      </w:r>
    </w:p>
    <w:p w:rsidR="00F9546C" w:rsidRDefault="00F9546C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266B02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A328B0" w:rsidRDefault="00A328B0" w:rsidP="00A328B0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17 reclamaciones contra resoluciones de la AP de Marín en materia de acceso a la información pública. De ellas, 4 fueron estimadas</w:t>
      </w:r>
      <w:r>
        <w:t xml:space="preserve">, 12 fueron desestimados y una inadmitida. </w:t>
      </w:r>
    </w:p>
    <w:p w:rsidR="00A328B0" w:rsidRDefault="00A328B0" w:rsidP="00A328B0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APMRP presentó recurso contencioso-administrativo contra dos de las resoluciones favorables a los reclamantes, lo que sitúa la tasa de litigiosidad en el 50%. La única sentencia dictada, que ha adquirido firmeza, fue favorable al CTBG. </w:t>
      </w:r>
    </w:p>
    <w:p w:rsidR="00A328B0" w:rsidRDefault="00A328B0" w:rsidP="00A328B0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328B0" w:rsidRDefault="00A328B0" w:rsidP="00A328B0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328B0" w:rsidRDefault="00A328B0" w:rsidP="00A328B0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328B0" w:rsidRDefault="00A328B0" w:rsidP="00A328B0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328B0" w:rsidRDefault="00A328B0" w:rsidP="00A328B0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A328B0" w:rsidRPr="00871B3A" w:rsidTr="00A328B0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A328B0" w:rsidRPr="00871B3A" w:rsidTr="00A328B0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328B0" w:rsidRPr="00871B3A" w:rsidTr="00A328B0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A328B0" w:rsidRPr="00871B3A" w:rsidTr="00A328B0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328B0" w:rsidRPr="00871B3A" w:rsidTr="00A328B0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A328B0" w:rsidRPr="00871B3A" w:rsidTr="00A328B0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328B0" w:rsidRPr="00871B3A" w:rsidTr="00A328B0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A328B0" w:rsidRPr="00871B3A" w:rsidTr="00A328B0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A328B0" w:rsidRPr="00871B3A" w:rsidTr="00A328B0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A328B0" w:rsidRPr="00871B3A" w:rsidTr="00A328B0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A328B0" w:rsidRPr="00871B3A" w:rsidTr="00A328B0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A328B0" w:rsidRPr="00871B3A" w:rsidRDefault="00A328B0" w:rsidP="00A328B0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A328B0" w:rsidRPr="00871B3A" w:rsidRDefault="00A328B0" w:rsidP="00A328B0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A328B0" w:rsidRPr="00871B3A" w:rsidRDefault="00A328B0" w:rsidP="00A328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680E20" w:rsidRPr="004A133A" w:rsidRDefault="00680E20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D80BD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BE71C4" w:rsidRDefault="00536112" w:rsidP="00536112">
      <w:pPr>
        <w:ind w:left="426"/>
        <w:jc w:val="both"/>
      </w:pPr>
      <w:r>
        <w:t>No caben buenas prácticas que señalar.</w:t>
      </w:r>
    </w:p>
    <w:p w:rsidR="0063118A" w:rsidRDefault="0063118A" w:rsidP="0063118A">
      <w:pPr>
        <w:ind w:left="426"/>
      </w:pPr>
    </w:p>
    <w:p w:rsidR="00256215" w:rsidRDefault="00D80BD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>Como se ha indicado</w:t>
      </w:r>
      <w:r w:rsidR="00A328B0">
        <w:rPr>
          <w:rFonts w:eastAsia="Times New Roman" w:cs="Times New Roman"/>
          <w:bCs/>
        </w:rPr>
        <w:t xml:space="preserve">, </w:t>
      </w:r>
      <w:r w:rsidRPr="00DD0521">
        <w:rPr>
          <w:rFonts w:eastAsia="Times New Roman" w:cs="Times New Roman"/>
          <w:bCs/>
        </w:rPr>
        <w:t xml:space="preserve"> la </w:t>
      </w:r>
      <w:r w:rsidR="00536112">
        <w:rPr>
          <w:rFonts w:eastAsia="Times New Roman" w:cs="Times New Roman"/>
          <w:bCs/>
        </w:rPr>
        <w:t>AP</w:t>
      </w:r>
      <w:r w:rsidRPr="00DD0521">
        <w:rPr>
          <w:rFonts w:eastAsia="Times New Roman" w:cs="Times New Roman"/>
          <w:bCs/>
        </w:rPr>
        <w:t xml:space="preserve"> </w:t>
      </w:r>
      <w:r w:rsidR="00A328B0">
        <w:rPr>
          <w:rFonts w:eastAsia="Times New Roman" w:cs="Times New Roman"/>
          <w:bCs/>
        </w:rPr>
        <w:t>recibió en 2022, cuatro solicitudes de acceso a información pública</w:t>
      </w:r>
      <w:r w:rsidRPr="00DD0521">
        <w:rPr>
          <w:rFonts w:eastAsia="Times New Roman" w:cs="Times New Roman"/>
          <w:bCs/>
        </w:rPr>
        <w:t>.</w:t>
      </w:r>
      <w:r w:rsidR="00A328B0">
        <w:rPr>
          <w:rFonts w:eastAsia="Times New Roman" w:cs="Times New Roman"/>
          <w:bCs/>
        </w:rPr>
        <w:t xml:space="preserve"> Todas ellas fueron tramitadas en el año y admitidas. Se dictó resolución expresa para estas cuatro solicitudes. En el 75% de los casos se concedió acceso total a la información y en el 25% restante se denegó el</w:t>
      </w:r>
      <w:r w:rsidR="00D80BD9">
        <w:rPr>
          <w:rFonts w:eastAsia="Times New Roman" w:cs="Times New Roman"/>
          <w:bCs/>
        </w:rPr>
        <w:t xml:space="preserve"> acceso por aplicación de los lí</w:t>
      </w:r>
      <w:r w:rsidR="00A328B0">
        <w:rPr>
          <w:rFonts w:eastAsia="Times New Roman" w:cs="Times New Roman"/>
          <w:bCs/>
        </w:rPr>
        <w:t>mites del artículo 14 de la LTAIBG.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61D0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536112">
        <w:rPr>
          <w:bCs/>
        </w:rPr>
        <w:t>A</w:t>
      </w:r>
      <w:r w:rsidR="00A328B0">
        <w:rPr>
          <w:bCs/>
        </w:rPr>
        <w:t>PMRP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E51768" w:rsidRDefault="00E51768" w:rsidP="00E51768">
      <w:pPr>
        <w:pStyle w:val="Prrafodelista"/>
        <w:ind w:left="644"/>
        <w:jc w:val="both"/>
      </w:pPr>
      <w:r>
        <w:t xml:space="preserve">La </w:t>
      </w:r>
      <w:r w:rsidR="00536112">
        <w:t>APLP</w:t>
      </w:r>
      <w:r>
        <w:t xml:space="preserve"> dispone de un espacio en su web institucional que facilita el ejercicio del derecho de acceso a la información. </w:t>
      </w:r>
      <w:r w:rsidR="00A328B0">
        <w:t>Sin embargo en este espacio no se informa ni sobre los medios habilitados para la presentación de las solicitudes ni sobre los requisito</w:t>
      </w:r>
      <w:bookmarkStart w:id="0" w:name="_GoBack"/>
      <w:bookmarkEnd w:id="0"/>
      <w:r w:rsidR="00A328B0">
        <w:t xml:space="preserve">s exigidos. </w:t>
      </w:r>
    </w:p>
    <w:p w:rsidR="00E51768" w:rsidRDefault="00E51768" w:rsidP="00E51768">
      <w:pPr>
        <w:pStyle w:val="Prrafodelista"/>
        <w:ind w:left="644"/>
        <w:jc w:val="both"/>
      </w:pPr>
    </w:p>
    <w:p w:rsidR="00E51768" w:rsidRDefault="00E51768" w:rsidP="00E51768">
      <w:pPr>
        <w:pStyle w:val="Prrafodelista"/>
        <w:ind w:left="644"/>
        <w:jc w:val="both"/>
      </w:pPr>
      <w:r w:rsidRPr="009D7822">
        <w:lastRenderedPageBreak/>
        <w:t>No se informa sobre los medios de contacto establecidos por la Ley 39/2015 a través de los cuales éstos pueden relacionarse con las administraciones públicas</w:t>
      </w:r>
      <w:r>
        <w:t>.</w:t>
      </w:r>
    </w:p>
    <w:p w:rsidR="00E51768" w:rsidRDefault="00E51768" w:rsidP="00E51768">
      <w:pPr>
        <w:pStyle w:val="Prrafodelista"/>
        <w:ind w:left="644"/>
        <w:jc w:val="both"/>
      </w:pPr>
    </w:p>
    <w:p w:rsidR="00F73410" w:rsidRPr="008D4B85" w:rsidRDefault="00F73410" w:rsidP="00F73410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</w:t>
      </w:r>
      <w:r>
        <w:t xml:space="preserve">en el apartado Derecho de Acceso del Portal de Transparencia de la AP, </w:t>
      </w:r>
      <w:r w:rsidRPr="008D4B85">
        <w:t xml:space="preserve"> </w:t>
      </w:r>
      <w:r>
        <w:t>información</w:t>
      </w:r>
      <w:r w:rsidRPr="008D4B85">
        <w:t xml:space="preserve"> </w:t>
      </w:r>
      <w:r>
        <w:t>sobre</w:t>
      </w:r>
      <w:r w:rsidRPr="008D4B85">
        <w:t xml:space="preserve"> los medios habilitados para la presentación de las solicitudes de información pública dirigidas a la institución y sobre los requisitos necesarios para la presentación de </w:t>
      </w:r>
      <w:r>
        <w:t>estas solicitudes</w:t>
      </w:r>
    </w:p>
    <w:p w:rsidR="00E51768" w:rsidRDefault="00E51768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A328B0" w:rsidRPr="008D4B85" w:rsidRDefault="00A328B0" w:rsidP="00A328B0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A328B0" w:rsidRPr="008D4B85" w:rsidRDefault="00A328B0" w:rsidP="00A328B0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>
        <w:t>la AP de Marín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A328B0" w:rsidRPr="008D4B85" w:rsidRDefault="00A328B0" w:rsidP="00A328B0">
      <w:pPr>
        <w:ind w:left="644"/>
        <w:contextualSpacing/>
        <w:jc w:val="both"/>
      </w:pPr>
    </w:p>
    <w:p w:rsidR="00E60E77" w:rsidRDefault="00E60E77" w:rsidP="008D4B85">
      <w:pPr>
        <w:pStyle w:val="Prrafodelista"/>
        <w:ind w:left="426"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BE71C4">
        <w:t>junio</w:t>
      </w:r>
      <w:r>
        <w:t xml:space="preserve"> de 202</w:t>
      </w:r>
      <w:r w:rsidR="00BE71C4">
        <w:t>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B0" w:rsidRDefault="00A328B0" w:rsidP="00932008">
      <w:pPr>
        <w:spacing w:after="0" w:line="240" w:lineRule="auto"/>
      </w:pPr>
      <w:r>
        <w:separator/>
      </w:r>
    </w:p>
  </w:endnote>
  <w:endnote w:type="continuationSeparator" w:id="0">
    <w:p w:rsidR="00A328B0" w:rsidRDefault="00A328B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328B0" w:rsidRPr="00C533E7" w:rsidRDefault="00A328B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80BD9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A328B0" w:rsidRDefault="00A328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B0" w:rsidRDefault="00A328B0" w:rsidP="00932008">
      <w:pPr>
        <w:spacing w:after="0" w:line="240" w:lineRule="auto"/>
      </w:pPr>
      <w:r>
        <w:separator/>
      </w:r>
    </w:p>
  </w:footnote>
  <w:footnote w:type="continuationSeparator" w:id="0">
    <w:p w:rsidR="00A328B0" w:rsidRDefault="00A328B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3" type="#_x0000_t75" style="width:9pt;height:9pt" o:bullet="t">
        <v:imagedata r:id="rId1" o:title="BD14533_"/>
      </v:shape>
    </w:pict>
  </w:numPicBullet>
  <w:numPicBullet w:numPicBulletId="1">
    <w:pict>
      <v:shape id="_x0000_i1414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66B02"/>
    <w:rsid w:val="002A154B"/>
    <w:rsid w:val="002B3570"/>
    <w:rsid w:val="002C3B63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36112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610D8A"/>
    <w:rsid w:val="00626819"/>
    <w:rsid w:val="0063118A"/>
    <w:rsid w:val="00654162"/>
    <w:rsid w:val="00680E20"/>
    <w:rsid w:val="00691A46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328B0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0BD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23C8C"/>
    <w:rsid w:val="00E3088D"/>
    <w:rsid w:val="00E34195"/>
    <w:rsid w:val="00E4702F"/>
    <w:rsid w:val="00E47613"/>
    <w:rsid w:val="00E51768"/>
    <w:rsid w:val="00E569FD"/>
    <w:rsid w:val="00E60E77"/>
    <w:rsid w:val="00EC0779"/>
    <w:rsid w:val="00EE5BDF"/>
    <w:rsid w:val="00EE60CE"/>
    <w:rsid w:val="00EF0588"/>
    <w:rsid w:val="00F14DA4"/>
    <w:rsid w:val="00F33EF2"/>
    <w:rsid w:val="00F34803"/>
    <w:rsid w:val="00F47C3B"/>
    <w:rsid w:val="00F50AE2"/>
    <w:rsid w:val="00F71D7D"/>
    <w:rsid w:val="00F7263F"/>
    <w:rsid w:val="00F73410"/>
    <w:rsid w:val="00F76499"/>
    <w:rsid w:val="00F900E1"/>
    <w:rsid w:val="00F9546C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A7DDB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A032C-7598-4531-B5FF-031A832C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22</TotalTime>
  <Pages>4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2023-06-27T12:14:00Z</dcterms:created>
  <dcterms:modified xsi:type="dcterms:W3CDTF">2023-06-29T08:49:00Z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