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0717CD" w:rsidRDefault="000717C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0717CD" w:rsidRPr="00006957" w:rsidRDefault="000717C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E71C4" w:rsidRDefault="00BE71C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E71C4" w:rsidRPr="00006957" w:rsidRDefault="00BE71C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17CD" w:rsidRDefault="000717C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E71C4" w:rsidRDefault="00BE71C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8607D" w:rsidP="005C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 Portuaria de Sevilla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8607D" w:rsidP="005C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D3B41">
              <w:rPr>
                <w:sz w:val="24"/>
                <w:szCs w:val="24"/>
              </w:rPr>
              <w:t>/</w:t>
            </w:r>
            <w:r w:rsidR="00340559">
              <w:rPr>
                <w:sz w:val="24"/>
                <w:szCs w:val="24"/>
              </w:rPr>
              <w:t>0</w:t>
            </w:r>
            <w:r w:rsidR="005C21D3">
              <w:rPr>
                <w:sz w:val="24"/>
                <w:szCs w:val="24"/>
              </w:rPr>
              <w:t>6</w:t>
            </w:r>
            <w:r w:rsidR="00BD3B41">
              <w:rPr>
                <w:sz w:val="24"/>
                <w:szCs w:val="24"/>
              </w:rPr>
              <w:t>/202</w:t>
            </w:r>
            <w:r w:rsidR="005C21D3"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2F766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A5143C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gestión de las solicitudes de acceso a información pública de la AP de Sevilla, se gestionan por la  Secretaría General, que cuenta con una persona dedicada a esta actividad, que compatibiliza con otras tareas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2F766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75252B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A5143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>
        <w:rPr>
          <w:rStyle w:val="Ttulo2Car"/>
          <w:color w:val="00642D"/>
          <w:lang w:bidi="es-ES"/>
        </w:rPr>
        <w:t xml:space="preserve"> </w:t>
      </w:r>
      <w:r w:rsidRPr="00B812AB">
        <w:rPr>
          <w:rStyle w:val="Ttulo2Car"/>
          <w:color w:val="00642D"/>
          <w:lang w:bidi="es-ES"/>
        </w:rPr>
        <w:t xml:space="preserve">Solicitudes gestionadas en </w:t>
      </w:r>
      <w:r>
        <w:rPr>
          <w:rStyle w:val="Ttulo2Car"/>
          <w:color w:val="00642D"/>
          <w:lang w:bidi="es-ES"/>
        </w:rPr>
        <w:t>2022</w:t>
      </w:r>
    </w:p>
    <w:p w:rsidR="00A5143C" w:rsidRDefault="00A5143C" w:rsidP="00A5143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A5143C" w:rsidRDefault="00A5143C" w:rsidP="00A5143C">
      <w:pPr>
        <w:ind w:left="426"/>
        <w:jc w:val="both"/>
      </w:pPr>
      <w:r w:rsidRPr="00892E66">
        <w:t>En 202</w:t>
      </w:r>
      <w:r>
        <w:t>2</w:t>
      </w:r>
      <w:r w:rsidRPr="00892E66">
        <w:t xml:space="preserve"> </w:t>
      </w:r>
      <w:r>
        <w:t>La AP de Sevilla</w:t>
      </w:r>
      <w:r w:rsidRPr="00892E66">
        <w:t xml:space="preserve"> recibió </w:t>
      </w:r>
      <w:r>
        <w:t>20</w:t>
      </w:r>
      <w:r w:rsidRPr="00892E66">
        <w:t xml:space="preserve"> solicitudes de información</w:t>
      </w:r>
      <w:r>
        <w:t xml:space="preserve">, de las cuales tramitó 19, quedando pendiente de tramitación una solicitud de información </w:t>
      </w:r>
      <w:r w:rsidRPr="00892E66">
        <w:t>a 31 de diciembre de 202</w:t>
      </w:r>
      <w:r>
        <w:t>2</w:t>
      </w:r>
      <w:r w:rsidRPr="00892E66">
        <w:t>.</w:t>
      </w:r>
      <w:r>
        <w:t xml:space="preserve"> </w:t>
      </w:r>
    </w:p>
    <w:p w:rsidR="00A5143C" w:rsidRDefault="00A5143C" w:rsidP="00A5143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A5143C" w:rsidRDefault="00A5143C" w:rsidP="00A5143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2 Indicadores de tramitación en 2022</w:t>
      </w:r>
    </w:p>
    <w:p w:rsidR="00A5143C" w:rsidRDefault="0019606E" w:rsidP="00A5143C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En 2022, el 95% de las solicitudes </w:t>
      </w:r>
      <w:r w:rsidR="00A5143C" w:rsidRPr="00892E66">
        <w:rPr>
          <w:rStyle w:val="Ttulo2Car"/>
          <w:b w:val="0"/>
          <w:color w:val="auto"/>
          <w:sz w:val="22"/>
          <w:szCs w:val="22"/>
          <w:lang w:bidi="es-ES"/>
        </w:rPr>
        <w:t xml:space="preserve">se tramitó en el año. </w:t>
      </w:r>
      <w:r>
        <w:rPr>
          <w:rStyle w:val="Ttulo2Car"/>
          <w:b w:val="0"/>
          <w:color w:val="auto"/>
          <w:sz w:val="22"/>
          <w:szCs w:val="22"/>
          <w:lang w:bidi="es-ES"/>
        </w:rPr>
        <w:t>Ninguna solicitud fue inadmitida y se archivó una solicitud</w:t>
      </w:r>
      <w:r w:rsidR="00A5143C" w:rsidRPr="00892E66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A5143C" w:rsidRDefault="00A5143C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9606E" w:rsidRPr="00647481" w:rsidRDefault="0019606E" w:rsidP="0019606E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lastRenderedPageBreak/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9606E" w:rsidRPr="00706E04" w:rsidTr="0019606E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20,00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19,00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Tramitación (tramitadas/(pendientes a 31/12/20</w:t>
            </w:r>
            <w:r>
              <w:rPr>
                <w:sz w:val="20"/>
                <w:szCs w:val="20"/>
              </w:rPr>
              <w:t>21</w:t>
            </w:r>
            <w:r w:rsidRPr="006A2E9A">
              <w:rPr>
                <w:sz w:val="20"/>
                <w:szCs w:val="20"/>
              </w:rPr>
              <w:t xml:space="preserve"> + recibidas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95,00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pendencia (pendientes a 31/12/202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 xml:space="preserve"> / tramitadas)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5,26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resolución en la tramitación (tramitadas/entradas en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95,00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congestión ((pendientes a 31/12/20</w:t>
            </w:r>
            <w:r>
              <w:rPr>
                <w:sz w:val="20"/>
                <w:szCs w:val="20"/>
              </w:rPr>
              <w:t>21</w:t>
            </w:r>
            <w:r w:rsidRPr="006A2E9A">
              <w:rPr>
                <w:sz w:val="20"/>
                <w:szCs w:val="20"/>
              </w:rPr>
              <w:t xml:space="preserve"> + entradas 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>) / tramitadas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105,26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Tiempo medio estimado para la tramitación de las solicitudes pendientes ((pendientes a 31/12/202</w:t>
            </w:r>
            <w:r>
              <w:rPr>
                <w:sz w:val="20"/>
                <w:szCs w:val="20"/>
              </w:rPr>
              <w:t>2</w:t>
            </w:r>
            <w:r w:rsidRPr="006A2E9A">
              <w:rPr>
                <w:sz w:val="20"/>
                <w:szCs w:val="20"/>
              </w:rPr>
              <w:t xml:space="preserve"> / tramitadas)*365 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19,21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94,74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,00</w:t>
            </w:r>
          </w:p>
        </w:tc>
      </w:tr>
      <w:tr w:rsidR="0019606E" w:rsidRPr="00706E04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5B3C1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A2E9A" w:rsidRDefault="0019606E" w:rsidP="0019606E">
            <w:pPr>
              <w:rPr>
                <w:sz w:val="20"/>
                <w:szCs w:val="20"/>
              </w:rPr>
            </w:pPr>
            <w:r w:rsidRPr="006A2E9A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5,26</w:t>
            </w:r>
          </w:p>
        </w:tc>
      </w:tr>
    </w:tbl>
    <w:p w:rsidR="0019606E" w:rsidRDefault="0019606E" w:rsidP="0019606E"/>
    <w:p w:rsidR="0019606E" w:rsidRDefault="0019606E" w:rsidP="0019606E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 xml:space="preserve">Resoluciones </w:t>
      </w:r>
      <w:r>
        <w:rPr>
          <w:rStyle w:val="Ttulo2Car"/>
          <w:color w:val="00642D"/>
          <w:lang w:bidi="es-ES"/>
        </w:rPr>
        <w:t>dictadas</w:t>
      </w:r>
      <w:r w:rsidRPr="00055B15">
        <w:rPr>
          <w:rStyle w:val="Ttulo2Car"/>
          <w:color w:val="00642D"/>
          <w:lang w:bidi="es-ES"/>
        </w:rPr>
        <w:t xml:space="preserve"> en 202</w:t>
      </w:r>
      <w:r>
        <w:rPr>
          <w:rStyle w:val="Ttulo2Car"/>
          <w:color w:val="00642D"/>
          <w:lang w:bidi="es-ES"/>
        </w:rPr>
        <w:t>2</w:t>
      </w:r>
    </w:p>
    <w:p w:rsidR="0019606E" w:rsidRDefault="0019606E" w:rsidP="0019606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9606E" w:rsidRPr="00577A83" w:rsidRDefault="0019606E" w:rsidP="0019606E">
      <w:pPr>
        <w:ind w:left="426"/>
        <w:jc w:val="both"/>
        <w:rPr>
          <w:rStyle w:val="Ttulo2Car"/>
          <w:color w:val="00642D"/>
          <w:lang w:bidi="es-ES"/>
        </w:rPr>
      </w:pPr>
      <w:r w:rsidRPr="0079124F">
        <w:rPr>
          <w:rStyle w:val="Ttulo2Car"/>
          <w:b w:val="0"/>
          <w:color w:val="auto"/>
          <w:sz w:val="22"/>
          <w:szCs w:val="22"/>
          <w:lang w:bidi="es-ES"/>
        </w:rPr>
        <w:t xml:space="preserve">Respecto de las resoluciones </w:t>
      </w:r>
      <w:r>
        <w:rPr>
          <w:rStyle w:val="Ttulo2Car"/>
          <w:b w:val="0"/>
          <w:color w:val="auto"/>
          <w:sz w:val="22"/>
          <w:szCs w:val="22"/>
          <w:lang w:bidi="es-ES"/>
        </w:rPr>
        <w:t>dictadas</w:t>
      </w:r>
      <w:r w:rsidRPr="0079124F">
        <w:rPr>
          <w:rStyle w:val="Ttulo2Car"/>
          <w:b w:val="0"/>
          <w:color w:val="auto"/>
          <w:sz w:val="22"/>
          <w:szCs w:val="22"/>
          <w:lang w:bidi="es-ES"/>
        </w:rPr>
        <w:t xml:space="preserve"> en 202</w:t>
      </w:r>
      <w:r>
        <w:rPr>
          <w:rStyle w:val="Ttulo2Car"/>
          <w:b w:val="0"/>
          <w:color w:val="auto"/>
          <w:sz w:val="22"/>
          <w:szCs w:val="22"/>
          <w:lang w:bidi="es-ES"/>
        </w:rPr>
        <w:t>2</w:t>
      </w:r>
      <w:r w:rsidRPr="0079124F">
        <w:rPr>
          <w:rStyle w:val="Ttulo2Car"/>
          <w:b w:val="0"/>
          <w:color w:val="auto"/>
          <w:sz w:val="22"/>
          <w:szCs w:val="22"/>
          <w:lang w:bidi="es-ES"/>
        </w:rPr>
        <w:t>, 1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8 </w:t>
      </w:r>
      <w:r w:rsidRPr="0079124F">
        <w:rPr>
          <w:rStyle w:val="Ttulo2Car"/>
          <w:b w:val="0"/>
          <w:color w:val="auto"/>
          <w:sz w:val="22"/>
          <w:szCs w:val="22"/>
          <w:lang w:bidi="es-ES"/>
        </w:rPr>
        <w:t>concedieron acceso a la información</w:t>
      </w:r>
      <w:r>
        <w:rPr>
          <w:rStyle w:val="Ttulo2Car"/>
          <w:b w:val="0"/>
          <w:color w:val="auto"/>
          <w:sz w:val="22"/>
          <w:szCs w:val="22"/>
          <w:lang w:bidi="es-ES"/>
        </w:rPr>
        <w:t>, en un caso el acceso a la información fue parcial</w:t>
      </w:r>
      <w:r w:rsidRPr="0079124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>
        <w:rPr>
          <w:rStyle w:val="Ttulo2Car"/>
          <w:b w:val="0"/>
          <w:color w:val="auto"/>
          <w:sz w:val="22"/>
          <w:szCs w:val="22"/>
          <w:lang w:bidi="es-ES"/>
        </w:rPr>
        <w:t>Ninguna resolución fue denegatoria</w:t>
      </w:r>
      <w:r w:rsidRPr="0079124F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19606E" w:rsidRDefault="0019606E" w:rsidP="0019606E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 de Sevilla no publica  las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19606E" w:rsidRPr="009079EA" w:rsidRDefault="0019606E" w:rsidP="0019606E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9606E" w:rsidRDefault="0019606E" w:rsidP="0019606E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4 Indicadores de resolución en 2022</w:t>
      </w:r>
    </w:p>
    <w:p w:rsidR="0019606E" w:rsidRDefault="0019606E" w:rsidP="0019606E">
      <w:pPr>
        <w:ind w:left="426"/>
        <w:jc w:val="both"/>
      </w:pPr>
    </w:p>
    <w:p w:rsidR="0019606E" w:rsidRPr="006D6F55" w:rsidRDefault="0019606E" w:rsidP="0019606E">
      <w:pPr>
        <w:ind w:left="426"/>
        <w:jc w:val="both"/>
      </w:pPr>
      <w:r>
        <w:t>La AP de Sevilla</w:t>
      </w:r>
      <w:r w:rsidRPr="006D6F55">
        <w:t xml:space="preserve"> </w:t>
      </w:r>
      <w:r>
        <w:t>dicta</w:t>
      </w:r>
      <w:r w:rsidRPr="006D6F55">
        <w:t xml:space="preserve"> resoluciones expresas para la totalidad de las solicitudes admitidas. </w:t>
      </w:r>
      <w:r>
        <w:t>E</w:t>
      </w:r>
      <w:r w:rsidRPr="006D6F55">
        <w:t xml:space="preserve">l </w:t>
      </w:r>
      <w:r>
        <w:t>10</w:t>
      </w:r>
      <w:r w:rsidRPr="006D6F55">
        <w:t xml:space="preserve">0% de las resoluciones </w:t>
      </w:r>
      <w:r>
        <w:t>dictadas</w:t>
      </w:r>
      <w:r w:rsidRPr="006D6F55">
        <w:t xml:space="preserve"> concede el acceso a la información, de estas el </w:t>
      </w:r>
      <w:r>
        <w:t>94,4</w:t>
      </w:r>
      <w:r w:rsidRPr="006D6F55">
        <w:t>% concede acceso total. Ninguna solicitud ha sido desestimada por silencio administrativo.</w:t>
      </w:r>
    </w:p>
    <w:p w:rsidR="0019606E" w:rsidRPr="006D6F55" w:rsidRDefault="0019606E" w:rsidP="0019606E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D6F55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D6F55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D6F55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D6F55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 w:rsidRPr="006D6F55"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6D6F55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D6F55">
        <w:rPr>
          <w:rStyle w:val="Ttulo2Car"/>
          <w:b/>
          <w:color w:val="00642D"/>
          <w:sz w:val="22"/>
          <w:szCs w:val="22"/>
          <w:lang w:bidi="es-ES"/>
        </w:rPr>
        <w:t>: Indicadores de Resolución 202</w:t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19606E" w:rsidRPr="006D6F55" w:rsidTr="0019606E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19606E" w:rsidRPr="006D6F5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6D6F5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19606E" w:rsidRPr="006D6F55" w:rsidRDefault="0019606E" w:rsidP="0019606E">
            <w:pPr>
              <w:rPr>
                <w:sz w:val="20"/>
                <w:szCs w:val="20"/>
              </w:rPr>
            </w:pPr>
            <w:r w:rsidRPr="006D6F55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100,00</w:t>
            </w:r>
          </w:p>
        </w:tc>
      </w:tr>
      <w:tr w:rsidR="0019606E" w:rsidRPr="006D6F55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6D6F5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D6F55" w:rsidRDefault="0019606E" w:rsidP="0019606E">
            <w:pPr>
              <w:rPr>
                <w:sz w:val="20"/>
                <w:szCs w:val="20"/>
              </w:rPr>
            </w:pPr>
            <w:r w:rsidRPr="006D6F55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100,00</w:t>
            </w:r>
          </w:p>
        </w:tc>
      </w:tr>
      <w:tr w:rsidR="0019606E" w:rsidRPr="006D6F55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6D6F5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D6F55" w:rsidRDefault="0019606E" w:rsidP="0019606E">
            <w:pPr>
              <w:rPr>
                <w:sz w:val="20"/>
                <w:szCs w:val="20"/>
              </w:rPr>
            </w:pPr>
            <w:r w:rsidRPr="006D6F55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5,56</w:t>
            </w:r>
          </w:p>
        </w:tc>
      </w:tr>
      <w:tr w:rsidR="0019606E" w:rsidRPr="006D6F55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6D6F5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D6F55" w:rsidRDefault="0019606E" w:rsidP="0019606E">
            <w:pPr>
              <w:rPr>
                <w:sz w:val="20"/>
                <w:szCs w:val="20"/>
              </w:rPr>
            </w:pPr>
            <w:r w:rsidRPr="006D6F55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94,44</w:t>
            </w:r>
          </w:p>
        </w:tc>
      </w:tr>
      <w:tr w:rsidR="0019606E" w:rsidRPr="006D6F55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6D6F5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D6F55" w:rsidRDefault="0019606E" w:rsidP="0019606E">
            <w:pPr>
              <w:rPr>
                <w:sz w:val="20"/>
                <w:szCs w:val="20"/>
              </w:rPr>
            </w:pPr>
            <w:r w:rsidRPr="006D6F55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,00</w:t>
            </w:r>
          </w:p>
        </w:tc>
      </w:tr>
      <w:tr w:rsidR="0019606E" w:rsidRPr="006D6F55" w:rsidTr="0019606E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19606E" w:rsidRPr="006D6F55" w:rsidRDefault="0019606E" w:rsidP="0019606E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19606E" w:rsidRPr="006D6F55" w:rsidRDefault="0019606E" w:rsidP="0019606E">
            <w:pPr>
              <w:rPr>
                <w:sz w:val="20"/>
                <w:szCs w:val="20"/>
              </w:rPr>
            </w:pPr>
            <w:r w:rsidRPr="006D6F55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</w:tcPr>
          <w:p w:rsidR="0019606E" w:rsidRPr="0019606E" w:rsidRDefault="0019606E" w:rsidP="0019606E">
            <w:pPr>
              <w:jc w:val="center"/>
              <w:rPr>
                <w:sz w:val="20"/>
              </w:rPr>
            </w:pPr>
            <w:r w:rsidRPr="0019606E">
              <w:rPr>
                <w:sz w:val="20"/>
              </w:rPr>
              <w:t>,00</w:t>
            </w:r>
          </w:p>
        </w:tc>
      </w:tr>
    </w:tbl>
    <w:p w:rsidR="0019606E" w:rsidRDefault="0019606E" w:rsidP="0019606E"/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A266E" w:rsidRDefault="00BA266E" w:rsidP="00B812AB"/>
    <w:p w:rsidR="00B812AB" w:rsidRPr="00E34195" w:rsidRDefault="002F766B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861D0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19606E">
        <w:rPr>
          <w:rStyle w:val="Ttulo2Car"/>
          <w:b w:val="0"/>
          <w:color w:val="auto"/>
          <w:sz w:val="22"/>
          <w:szCs w:val="22"/>
          <w:lang w:bidi="es-ES"/>
        </w:rPr>
        <w:t>AP de Sevilla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9B46D2">
        <w:rPr>
          <w:rStyle w:val="Ttulo2Car"/>
          <w:b w:val="0"/>
          <w:color w:val="auto"/>
          <w:sz w:val="22"/>
          <w:szCs w:val="22"/>
          <w:lang w:bidi="es-ES"/>
        </w:rPr>
        <w:t>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19606E" w:rsidRDefault="009B46D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este espacio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>sobre el derecho de los ciudadanos a solicitar información pública de la entidad</w:t>
      </w:r>
      <w:r w:rsidR="0019606E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19606E" w:rsidRDefault="0019606E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También se indica que la presentación de las solicitudes debe efectuarse a través de su sede electrónica y se proporciona un enlace a dicha sede. No obstante es preciso señalar que este enlace </w:t>
      </w:r>
      <w:proofErr w:type="spellStart"/>
      <w:r>
        <w:rPr>
          <w:rStyle w:val="Ttulo2Car"/>
          <w:b w:val="0"/>
          <w:color w:val="auto"/>
          <w:sz w:val="22"/>
          <w:szCs w:val="22"/>
          <w:lang w:bidi="es-ES"/>
        </w:rPr>
        <w:t>redirecciona</w:t>
      </w:r>
      <w:proofErr w:type="spellEnd"/>
      <w:r>
        <w:rPr>
          <w:rStyle w:val="Ttulo2Car"/>
          <w:b w:val="0"/>
          <w:color w:val="auto"/>
          <w:sz w:val="22"/>
          <w:szCs w:val="22"/>
          <w:lang w:bidi="es-ES"/>
        </w:rPr>
        <w:t xml:space="preserve"> a una página con acceso restringido.</w:t>
      </w:r>
    </w:p>
    <w:p w:rsidR="0019606E" w:rsidRDefault="0019606E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19606E">
        <w:rPr>
          <w:rStyle w:val="Ttulo2Car"/>
          <w:b w:val="0"/>
          <w:noProof/>
          <w:color w:val="auto"/>
          <w:sz w:val="22"/>
          <w:szCs w:val="22"/>
        </w:rPr>
        <w:drawing>
          <wp:inline distT="0" distB="0" distL="0" distR="0" wp14:anchorId="594D34D8" wp14:editId="2F3C0E40">
            <wp:extent cx="5612130" cy="30162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06E" w:rsidRDefault="0019606E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Si es posible el acceso </w:t>
      </w:r>
      <w:r w:rsidR="00E40544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enlace Sede Electrónica ubicado en el apartado Autoridad Portuaria. </w:t>
      </w:r>
      <w:r w:rsidR="006C1EA4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sede electrónica, ningún procedimiento relacionado con el ejercicio del derecho de acceso. Tampoco existen instrucciones, para la presentación de las solicitudes de acceso.  </w:t>
      </w:r>
    </w:p>
    <w:p w:rsidR="00B40246" w:rsidRPr="00E34195" w:rsidRDefault="002F766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</w:t>
      </w:r>
      <w:r w:rsidR="009B46D2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/0</w:t>
      </w:r>
      <w:r w:rsidR="006C1EA4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9B46D2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</w:t>
      </w:r>
      <w:r w:rsidR="009B46D2">
        <w:rPr>
          <w:color w:val="auto"/>
          <w:lang w:bidi="es-ES"/>
        </w:rPr>
        <w:t xml:space="preserve"> </w:t>
      </w:r>
      <w:r w:rsidR="006C1EA4">
        <w:rPr>
          <w:color w:val="auto"/>
          <w:lang w:bidi="es-ES"/>
        </w:rPr>
        <w:t>Registro Electrónico General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9B46D2">
        <w:rPr>
          <w:color w:val="auto"/>
          <w:lang w:bidi="es-ES"/>
        </w:rPr>
        <w:t xml:space="preserve">Con la misma fecha </w:t>
      </w:r>
      <w:r w:rsidR="000B2A81">
        <w:rPr>
          <w:color w:val="auto"/>
          <w:lang w:bidi="es-ES"/>
        </w:rPr>
        <w:t>se emite un acuse de recibo</w:t>
      </w:r>
      <w:r w:rsidR="00AC715D"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9B46D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0717CD" w:rsidRDefault="000717CD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0717CD" w:rsidRDefault="000717CD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lastRenderedPageBreak/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2F766B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0717CD">
        <w:rPr>
          <w:color w:val="auto"/>
        </w:rPr>
        <w:t>tres</w:t>
      </w:r>
      <w:r>
        <w:rPr>
          <w:color w:val="auto"/>
        </w:rPr>
        <w:t xml:space="preserve"> reclamaciones contra resoluciones de </w:t>
      </w:r>
      <w:r w:rsidR="00861D04">
        <w:rPr>
          <w:color w:val="auto"/>
        </w:rPr>
        <w:t xml:space="preserve">la </w:t>
      </w:r>
      <w:r w:rsidR="000717CD">
        <w:rPr>
          <w:color w:val="auto"/>
        </w:rPr>
        <w:t>AP de Sevilla</w:t>
      </w:r>
      <w:r>
        <w:rPr>
          <w:color w:val="auto"/>
        </w:rPr>
        <w:t xml:space="preserve"> en materia de acceso a la información pública. De ellas, </w:t>
      </w:r>
      <w:r w:rsidR="00680E20">
        <w:rPr>
          <w:color w:val="auto"/>
        </w:rPr>
        <w:t>dos</w:t>
      </w:r>
      <w:r w:rsidR="00861D04">
        <w:rPr>
          <w:color w:val="auto"/>
        </w:rPr>
        <w:t xml:space="preserve"> fue</w:t>
      </w:r>
      <w:r w:rsidR="000717CD">
        <w:rPr>
          <w:color w:val="auto"/>
        </w:rPr>
        <w:t xml:space="preserve">ron </w:t>
      </w:r>
      <w:r w:rsidR="00861D04">
        <w:rPr>
          <w:color w:val="auto"/>
        </w:rPr>
        <w:t xml:space="preserve"> </w:t>
      </w:r>
      <w:r w:rsidR="000717CD">
        <w:rPr>
          <w:color w:val="auto"/>
        </w:rPr>
        <w:t>des</w:t>
      </w:r>
      <w:r w:rsidR="00861D04">
        <w:rPr>
          <w:color w:val="auto"/>
        </w:rPr>
        <w:t>estimada</w:t>
      </w:r>
      <w:r w:rsidR="000717CD">
        <w:rPr>
          <w:color w:val="auto"/>
        </w:rPr>
        <w:t>s</w:t>
      </w:r>
      <w:r w:rsidRPr="004A133A">
        <w:t xml:space="preserve"> </w:t>
      </w:r>
      <w:r w:rsidR="000717CD">
        <w:t>y una estimada</w:t>
      </w:r>
      <w:r>
        <w:t xml:space="preserve">. </w:t>
      </w:r>
      <w:bookmarkStart w:id="0" w:name="_GoBack"/>
      <w:bookmarkEnd w:id="0"/>
    </w:p>
    <w:p w:rsidR="00BE71C4" w:rsidRDefault="00BE71C4" w:rsidP="00BE71C4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</w:t>
      </w:r>
      <w:r w:rsidR="000717CD">
        <w:rPr>
          <w:color w:val="auto"/>
        </w:rPr>
        <w:t>AP de Sevilla no presentó</w:t>
      </w:r>
      <w:r>
        <w:rPr>
          <w:color w:val="auto"/>
        </w:rPr>
        <w:t xml:space="preserve"> recurso contencioso-administrativo contra </w:t>
      </w:r>
      <w:r w:rsidR="000717CD">
        <w:rPr>
          <w:color w:val="auto"/>
        </w:rPr>
        <w:t>la reclamación estimada</w:t>
      </w:r>
      <w:r>
        <w:rPr>
          <w:color w:val="auto"/>
        </w:rPr>
        <w:t xml:space="preserve">. </w:t>
      </w:r>
    </w:p>
    <w:p w:rsidR="00BE71C4" w:rsidRDefault="00BE71C4" w:rsidP="00BE71C4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BE71C4" w:rsidRPr="00871B3A" w:rsidTr="00BE71C4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80E20" w:rsidRPr="004A133A" w:rsidRDefault="00680E20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2F766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BE71C4" w:rsidP="008B50E2">
      <w:pPr>
        <w:ind w:left="426"/>
        <w:jc w:val="both"/>
      </w:pPr>
      <w:r>
        <w:t xml:space="preserve">La </w:t>
      </w:r>
      <w:r w:rsidR="000717CD">
        <w:t>AP de Sevilla</w:t>
      </w:r>
      <w:r>
        <w:t xml:space="preserve"> presenta un conjunto de buenas prácticas que podrían ser aplicadas por otras organizaciones:</w:t>
      </w:r>
      <w:r w:rsidR="0063118A">
        <w:t xml:space="preserve"> </w:t>
      </w:r>
    </w:p>
    <w:p w:rsidR="00BE71C4" w:rsidRDefault="00BE71C4" w:rsidP="00BE71C4">
      <w:pPr>
        <w:pStyle w:val="Prrafodelista"/>
        <w:numPr>
          <w:ilvl w:val="0"/>
          <w:numId w:val="10"/>
        </w:numPr>
        <w:jc w:val="both"/>
      </w:pPr>
      <w:r>
        <w:t>La habilitación de un espacio específico para la presentación de las solicitudes de acceso a información pública de la entidad.</w:t>
      </w:r>
    </w:p>
    <w:p w:rsidR="00E51768" w:rsidRDefault="00E51768" w:rsidP="00BE71C4">
      <w:pPr>
        <w:pStyle w:val="Prrafodelista"/>
        <w:numPr>
          <w:ilvl w:val="0"/>
          <w:numId w:val="10"/>
        </w:numPr>
        <w:jc w:val="both"/>
      </w:pPr>
      <w:r>
        <w:t>Informar sobre el derecho de los ciudadanos a solicitar información pública.</w:t>
      </w:r>
    </w:p>
    <w:p w:rsidR="0063118A" w:rsidRDefault="0063118A" w:rsidP="0063118A">
      <w:pPr>
        <w:ind w:left="426"/>
      </w:pPr>
    </w:p>
    <w:p w:rsidR="000717CD" w:rsidRDefault="000717CD" w:rsidP="0063118A">
      <w:pPr>
        <w:ind w:left="426"/>
      </w:pPr>
    </w:p>
    <w:p w:rsidR="000717CD" w:rsidRDefault="000717CD" w:rsidP="0063118A">
      <w:pPr>
        <w:ind w:left="426"/>
      </w:pPr>
    </w:p>
    <w:p w:rsidR="000717CD" w:rsidRDefault="000717CD" w:rsidP="0063118A">
      <w:pPr>
        <w:ind w:left="426"/>
      </w:pPr>
    </w:p>
    <w:p w:rsidR="000717CD" w:rsidRDefault="000717CD" w:rsidP="0063118A">
      <w:pPr>
        <w:ind w:left="426"/>
      </w:pPr>
    </w:p>
    <w:p w:rsidR="00256215" w:rsidRDefault="002F766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0717CD" w:rsidP="00DD0521">
      <w:pPr>
        <w:ind w:left="644"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La AP de Sevilla tramitó el 95% de las solicitudes de información que recibió en 2022 – no habían quedado solicitudes pendientes en 2021. Admitió el 94,7% de las solicitudes y concedió el acceso a la información en el 100% de los casos.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61D0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0717CD">
        <w:rPr>
          <w:bCs/>
        </w:rPr>
        <w:t>AP de Sevilla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E51768" w:rsidRDefault="00E51768" w:rsidP="00E51768">
      <w:pPr>
        <w:pStyle w:val="Prrafodelista"/>
        <w:ind w:left="644"/>
        <w:jc w:val="both"/>
      </w:pPr>
      <w:r>
        <w:t xml:space="preserve">La </w:t>
      </w:r>
      <w:r w:rsidR="000717CD">
        <w:t>AP de Sevilla</w:t>
      </w:r>
      <w:r>
        <w:t xml:space="preserve"> dispone de un espacio en su web institucional que facilita el ejercicio del derecho de acceso a la información. Se informa sobre la posibilidad de que los ciudadanos efectúen solicitudes de acceso a información pública dirigidas a la entidad y también sobre los medios de presentación de solicitudes. </w:t>
      </w:r>
    </w:p>
    <w:p w:rsidR="00E51768" w:rsidRDefault="00E51768" w:rsidP="00E51768">
      <w:pPr>
        <w:pStyle w:val="Prrafodelista"/>
        <w:ind w:left="644"/>
        <w:jc w:val="both"/>
      </w:pPr>
    </w:p>
    <w:p w:rsidR="00E51768" w:rsidRDefault="00E51768" w:rsidP="00E51768">
      <w:pPr>
        <w:pStyle w:val="Prrafodelista"/>
        <w:ind w:left="644"/>
        <w:jc w:val="both"/>
      </w:pPr>
      <w:r>
        <w:t xml:space="preserve">Como canal de presentación, se alude </w:t>
      </w:r>
      <w:r w:rsidR="000717CD">
        <w:t>únicamente</w:t>
      </w:r>
      <w:r>
        <w:t xml:space="preserve"> </w:t>
      </w:r>
      <w:r w:rsidR="000717CD">
        <w:t xml:space="preserve">a la sede electrónica de la entidad. </w:t>
      </w:r>
      <w:r w:rsidRPr="009D7822">
        <w:t>No se informa sobre los medios de contacto establecidos por la Ley 39/2015 a través de los cuales éstos pueden relacionarse con las administraciones públicas</w:t>
      </w:r>
      <w:r>
        <w:t>.</w:t>
      </w:r>
    </w:p>
    <w:p w:rsidR="00E51768" w:rsidRDefault="00E51768" w:rsidP="00E51768">
      <w:pPr>
        <w:pStyle w:val="Prrafodelista"/>
        <w:ind w:left="644"/>
        <w:jc w:val="both"/>
      </w:pPr>
    </w:p>
    <w:p w:rsidR="00F900E1" w:rsidRDefault="00E51768" w:rsidP="00E51768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>procedimiento el medio elegido, por lo que sería conveniente que se informase a los ciudadanos sobre esta cuestión.</w:t>
      </w:r>
    </w:p>
    <w:p w:rsidR="00E51768" w:rsidRDefault="00E51768" w:rsidP="00E51768">
      <w:pPr>
        <w:pStyle w:val="Prrafodelista"/>
        <w:ind w:left="644"/>
        <w:jc w:val="both"/>
      </w:pPr>
    </w:p>
    <w:p w:rsidR="0038546E" w:rsidRDefault="0038546E" w:rsidP="00E51768">
      <w:pPr>
        <w:pStyle w:val="Prrafodelista"/>
        <w:ind w:left="644"/>
        <w:jc w:val="both"/>
      </w:pPr>
      <w:r>
        <w:t>El enlace a la sede electrónica que se proporciona en el apartado derecho de acceso del Portal de Transparencia da paso a una página con acceso restringido y que no parece corresponderse con la sede electrónica. Por otra parte</w:t>
      </w:r>
      <w:r w:rsidR="0011031F">
        <w:t>,</w:t>
      </w:r>
      <w:r>
        <w:t xml:space="preserve"> en la sede electrónica no se ha localizado ninguna información relativa al procedimiento de acceso a la información pública. </w:t>
      </w:r>
    </w:p>
    <w:p w:rsidR="0038546E" w:rsidRDefault="0038546E" w:rsidP="00E51768">
      <w:pPr>
        <w:pStyle w:val="Prrafodelista"/>
        <w:ind w:left="644"/>
        <w:jc w:val="both"/>
      </w:pPr>
    </w:p>
    <w:p w:rsidR="0038546E" w:rsidRDefault="0038546E" w:rsidP="0038546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Debería revisarse el enlace a la sede electrónica que se publica en el Portal de Transparencia.</w:t>
      </w:r>
    </w:p>
    <w:p w:rsidR="0038546E" w:rsidRDefault="0038546E" w:rsidP="0038546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38546E" w:rsidRDefault="0038546E" w:rsidP="0038546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Por otra parte, en la sede electrónica, debería identificarse claramente el procedimiento para el acceso a la información pública, habilitando un espacio específico para ello.</w:t>
      </w:r>
    </w:p>
    <w:p w:rsidR="0038546E" w:rsidRDefault="0038546E" w:rsidP="0038546E">
      <w:pPr>
        <w:pStyle w:val="Prrafodelista"/>
        <w:ind w:left="644"/>
        <w:jc w:val="both"/>
      </w:pPr>
    </w:p>
    <w:p w:rsidR="0038546E" w:rsidRDefault="0038546E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>
        <w:t xml:space="preserve">la </w:t>
      </w:r>
      <w:r w:rsidR="0038546E">
        <w:t xml:space="preserve">AP de </w:t>
      </w:r>
      <w:r w:rsidRPr="008D4B85">
        <w:t xml:space="preserve"> </w:t>
      </w:r>
      <w:r w:rsidR="0038546E">
        <w:t xml:space="preserve">Sevilla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BE71C4">
        <w:t>junio</w:t>
      </w:r>
      <w:r>
        <w:t xml:space="preserve"> de 202</w:t>
      </w:r>
      <w:r w:rsidR="00BE71C4">
        <w:t>3</w:t>
      </w: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CD" w:rsidRDefault="000717CD" w:rsidP="00932008">
      <w:pPr>
        <w:spacing w:after="0" w:line="240" w:lineRule="auto"/>
      </w:pPr>
      <w:r>
        <w:separator/>
      </w:r>
    </w:p>
  </w:endnote>
  <w:endnote w:type="continuationSeparator" w:id="0">
    <w:p w:rsidR="000717CD" w:rsidRDefault="000717C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717CD" w:rsidRPr="00C533E7" w:rsidRDefault="000717C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F766B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0717CD" w:rsidRDefault="000717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CD" w:rsidRDefault="000717CD" w:rsidP="00932008">
      <w:pPr>
        <w:spacing w:after="0" w:line="240" w:lineRule="auto"/>
      </w:pPr>
      <w:r>
        <w:separator/>
      </w:r>
    </w:p>
  </w:footnote>
  <w:footnote w:type="continuationSeparator" w:id="0">
    <w:p w:rsidR="000717CD" w:rsidRDefault="000717C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3" type="#_x0000_t75" style="width:9pt;height:9pt" o:bullet="t">
        <v:imagedata r:id="rId1" o:title="BD14533_"/>
      </v:shape>
    </w:pict>
  </w:numPicBullet>
  <w:numPicBullet w:numPicBulletId="1">
    <w:pict>
      <v:shape id="_x0000_i1334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17CD"/>
    <w:rsid w:val="000965B3"/>
    <w:rsid w:val="000A1C07"/>
    <w:rsid w:val="000B0A0D"/>
    <w:rsid w:val="000B2A81"/>
    <w:rsid w:val="000C6CFF"/>
    <w:rsid w:val="00102733"/>
    <w:rsid w:val="0011031F"/>
    <w:rsid w:val="001252EE"/>
    <w:rsid w:val="0012783F"/>
    <w:rsid w:val="001561A4"/>
    <w:rsid w:val="00176A94"/>
    <w:rsid w:val="00194000"/>
    <w:rsid w:val="0019606E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2F766B"/>
    <w:rsid w:val="003145AD"/>
    <w:rsid w:val="00334115"/>
    <w:rsid w:val="00340559"/>
    <w:rsid w:val="0038546E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610D8A"/>
    <w:rsid w:val="00626819"/>
    <w:rsid w:val="0063118A"/>
    <w:rsid w:val="00654162"/>
    <w:rsid w:val="00680E20"/>
    <w:rsid w:val="006A2766"/>
    <w:rsid w:val="006A2E9A"/>
    <w:rsid w:val="006C1EA4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41DD5"/>
    <w:rsid w:val="00A5143C"/>
    <w:rsid w:val="00A544D3"/>
    <w:rsid w:val="00A66275"/>
    <w:rsid w:val="00A8003E"/>
    <w:rsid w:val="00A8607D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0544"/>
    <w:rsid w:val="00E4702F"/>
    <w:rsid w:val="00E47613"/>
    <w:rsid w:val="00E51768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1561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85F72"/>
    <w:rsid w:val="003D088C"/>
    <w:rsid w:val="00543A52"/>
    <w:rsid w:val="00546DCA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9A33D-7A8F-46A8-BE74-5F043162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48</TotalTime>
  <Pages>6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2023-06-16T08:35:00Z</dcterms:created>
  <dcterms:modified xsi:type="dcterms:W3CDTF">2023-06-28T10:55:00Z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