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D5110E" w:rsidRDefault="00D5110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D5110E" w:rsidRPr="00006957" w:rsidRDefault="00D5110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D5110E" w:rsidRDefault="00D5110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D5110E" w:rsidRPr="00006957" w:rsidRDefault="00D5110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110E" w:rsidRDefault="00D5110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5110E" w:rsidRDefault="00D5110E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E490C" w:rsidP="008D7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Equipos Nucleares, SA, SME (ENSA)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E490C" w:rsidP="008D7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</w:t>
            </w:r>
            <w:r w:rsidR="00BD3B41">
              <w:rPr>
                <w:sz w:val="24"/>
                <w:szCs w:val="24"/>
              </w:rPr>
              <w:t>/202</w:t>
            </w:r>
            <w:r w:rsidR="005C21D3">
              <w:rPr>
                <w:sz w:val="24"/>
                <w:szCs w:val="24"/>
              </w:rPr>
              <w:t>3</w:t>
            </w:r>
          </w:p>
        </w:tc>
      </w:tr>
    </w:tbl>
    <w:p w:rsidR="00BA266E" w:rsidRDefault="00BA266E"/>
    <w:p w:rsidR="00561402" w:rsidRPr="0012783F" w:rsidRDefault="00FF6AFB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7743EC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Según informa </w:t>
      </w:r>
      <w:r w:rsidR="00FF6AFB">
        <w:rPr>
          <w:bCs/>
          <w:color w:val="auto"/>
          <w:szCs w:val="22"/>
        </w:rPr>
        <w:t>ENSA, la gestión de las solicitudes de acceso a información pública de la sociedad se ha encomendado a la Asesoría Jurídica, que cuenta con dos personas para realizar esta actividad compatibilizándola con otras tareas.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FF6AFB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</w:t>
          </w:r>
          <w:r w:rsidR="009B46D2">
            <w:rPr>
              <w:b/>
              <w:color w:val="00642D"/>
              <w:sz w:val="30"/>
              <w:szCs w:val="30"/>
            </w:rPr>
            <w:t>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A5143C" w:rsidRDefault="00FF6AFB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Según informa ENSA, en 2022 recibió y tramitó 1 solicitud de información, que fue inadmitida por considerarse repetitiva o abusiva.</w:t>
      </w:r>
    </w:p>
    <w:p w:rsidR="00FF6AFB" w:rsidRDefault="00FF6AFB" w:rsidP="00FF6AFB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ENSA no publica  las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7743EC" w:rsidRDefault="007743EC" w:rsidP="007743EC">
      <w:pPr>
        <w:ind w:left="426"/>
      </w:pPr>
    </w:p>
    <w:p w:rsidR="00B812AB" w:rsidRPr="00E34195" w:rsidRDefault="00FF6AFB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FF6AFB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ENSA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espacio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9B46D2">
        <w:rPr>
          <w:rStyle w:val="Ttulo2Car"/>
          <w:b w:val="0"/>
          <w:color w:val="auto"/>
          <w:sz w:val="22"/>
          <w:szCs w:val="22"/>
          <w:lang w:bidi="es-ES"/>
        </w:rPr>
        <w:t>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</w:p>
    <w:p w:rsidR="0019606E" w:rsidRDefault="009B46D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este espacio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>sobre el derecho de los ciudadanos a solicitar información pública de la entidad</w:t>
      </w:r>
      <w:r w:rsidR="0019606E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7743EC" w:rsidRDefault="0019606E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También se indica que la presentación de las solicitudes </w:t>
      </w:r>
      <w:r w:rsidR="007743EC">
        <w:rPr>
          <w:rStyle w:val="Ttulo2Car"/>
          <w:b w:val="0"/>
          <w:color w:val="auto"/>
          <w:sz w:val="22"/>
          <w:szCs w:val="22"/>
          <w:lang w:bidi="es-ES"/>
        </w:rPr>
        <w:t>puede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743EC">
        <w:rPr>
          <w:rStyle w:val="Ttulo2Car"/>
          <w:b w:val="0"/>
          <w:color w:val="auto"/>
          <w:sz w:val="22"/>
          <w:szCs w:val="22"/>
          <w:lang w:bidi="es-ES"/>
        </w:rPr>
        <w:t>realizarse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a través de </w:t>
      </w:r>
      <w:r w:rsidR="007743EC">
        <w:rPr>
          <w:rStyle w:val="Ttulo2Car"/>
          <w:b w:val="0"/>
          <w:color w:val="auto"/>
          <w:sz w:val="22"/>
          <w:szCs w:val="22"/>
          <w:lang w:bidi="es-ES"/>
        </w:rPr>
        <w:t>correo electrónico</w:t>
      </w:r>
      <w:r w:rsidR="00FF6AFB">
        <w:rPr>
          <w:rStyle w:val="Ttulo2Car"/>
          <w:b w:val="0"/>
          <w:color w:val="auto"/>
          <w:sz w:val="22"/>
          <w:szCs w:val="22"/>
          <w:lang w:bidi="es-ES"/>
        </w:rPr>
        <w:t xml:space="preserve">, correo postal a través de la propia web, proporcionando un formulario para la presentación de solicitudes por esta última vía. </w:t>
      </w:r>
    </w:p>
    <w:p w:rsidR="0019606E" w:rsidRDefault="007743EC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Por otra parte se señalan como requisitos para la presentación de las solicitudes,</w:t>
      </w:r>
      <w:r w:rsidRPr="007743EC">
        <w:t xml:space="preserve"> </w:t>
      </w:r>
      <w:r>
        <w:t xml:space="preserve">la identificación </w:t>
      </w:r>
      <w:r w:rsidRPr="007743EC">
        <w:rPr>
          <w:rStyle w:val="Ttulo2Car"/>
          <w:b w:val="0"/>
          <w:color w:val="auto"/>
          <w:sz w:val="22"/>
          <w:szCs w:val="22"/>
          <w:lang w:bidi="es-ES"/>
        </w:rPr>
        <w:t>con nombre y apellidos, NIF o pasaporte, Correo electrónico y teléfono de contacto.</w:t>
      </w:r>
      <w:r w:rsidR="00FF6AFB">
        <w:rPr>
          <w:rStyle w:val="Ttulo2Car"/>
          <w:b w:val="0"/>
          <w:color w:val="auto"/>
          <w:sz w:val="22"/>
          <w:szCs w:val="22"/>
          <w:lang w:bidi="es-ES"/>
        </w:rPr>
        <w:t xml:space="preserve"> Se informa sobre el procedimiento, incluyendo los posibles recursos y el plazo de interposición,  en caso de  disconformidad con la respuesta recibida.</w:t>
      </w:r>
    </w:p>
    <w:p w:rsidR="00B40246" w:rsidRPr="00E34195" w:rsidRDefault="00FF6AF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BE71C4" w:rsidRPr="00D5110E" w:rsidRDefault="00E3088D" w:rsidP="00046805">
      <w:pPr>
        <w:pStyle w:val="Cuerpodelboletn"/>
        <w:spacing w:before="120" w:after="120" w:line="312" w:lineRule="auto"/>
        <w:ind w:left="360"/>
        <w:rPr>
          <w:color w:val="auto"/>
        </w:rPr>
      </w:pPr>
      <w:r w:rsidRPr="00D5110E">
        <w:rPr>
          <w:color w:val="auto"/>
        </w:rPr>
        <w:t xml:space="preserve"> </w:t>
      </w:r>
      <w:r w:rsidR="00D5110E" w:rsidRPr="00D5110E">
        <w:rPr>
          <w:color w:val="auto"/>
        </w:rPr>
        <w:t xml:space="preserve">Por error, atribuible a este Consejo, no se </w:t>
      </w:r>
      <w:r w:rsidR="00D5110E">
        <w:rPr>
          <w:color w:val="auto"/>
        </w:rPr>
        <w:t>ha presentado una solicitud de acceso a información pública de ENSA.</w:t>
      </w:r>
    </w:p>
    <w:p w:rsidR="001E1C29" w:rsidRDefault="001E1C29" w:rsidP="00D5110E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680E20" w:rsidRDefault="00A66275" w:rsidP="007743EC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</w:t>
      </w:r>
      <w:r w:rsidR="007743EC">
        <w:rPr>
          <w:color w:val="auto"/>
        </w:rPr>
        <w:t xml:space="preserve">no </w:t>
      </w:r>
      <w:r>
        <w:rPr>
          <w:color w:val="auto"/>
        </w:rPr>
        <w:t xml:space="preserve">ha recibido reclamaciones contra resoluciones </w:t>
      </w:r>
      <w:r w:rsidR="00D5110E">
        <w:rPr>
          <w:color w:val="auto"/>
        </w:rPr>
        <w:t>de ENSA</w:t>
      </w:r>
      <w:r>
        <w:rPr>
          <w:color w:val="auto"/>
        </w:rPr>
        <w:t xml:space="preserve"> en materia de acceso a la información pública. </w:t>
      </w:r>
    </w:p>
    <w:p w:rsidR="002F6535" w:rsidRPr="004A133A" w:rsidRDefault="002F6535" w:rsidP="007743EC">
      <w:pPr>
        <w:pStyle w:val="Cuerpodelboletn"/>
        <w:spacing w:before="120" w:after="120" w:line="276" w:lineRule="auto"/>
        <w:ind w:left="425"/>
      </w:pPr>
    </w:p>
    <w:p w:rsidR="001F251B" w:rsidRPr="00256215" w:rsidRDefault="00FF6AFB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2F6535" w:rsidRDefault="00D5110E" w:rsidP="008B50E2">
      <w:pPr>
        <w:ind w:left="426"/>
        <w:jc w:val="both"/>
      </w:pPr>
      <w:r>
        <w:t xml:space="preserve">ENSA </w:t>
      </w:r>
      <w:r w:rsidR="00BE71C4">
        <w:t>presenta un conjunto de buenas prácticas que podrían ser aplicadas por otras organizaciones:</w:t>
      </w:r>
    </w:p>
    <w:p w:rsidR="0063118A" w:rsidRDefault="0063118A" w:rsidP="008B50E2">
      <w:pPr>
        <w:ind w:left="426"/>
        <w:jc w:val="both"/>
      </w:pPr>
      <w:r>
        <w:t xml:space="preserve"> </w:t>
      </w:r>
    </w:p>
    <w:p w:rsidR="00BE71C4" w:rsidRDefault="00BE71C4" w:rsidP="00BE71C4">
      <w:pPr>
        <w:pStyle w:val="Prrafodelista"/>
        <w:numPr>
          <w:ilvl w:val="0"/>
          <w:numId w:val="10"/>
        </w:numPr>
        <w:jc w:val="both"/>
      </w:pPr>
      <w:r>
        <w:t>La habilitación de un espacio específico para la presentación de las solicitudes de acceso a información pública de la entidad.</w:t>
      </w:r>
    </w:p>
    <w:p w:rsidR="00E51768" w:rsidRDefault="00E51768" w:rsidP="00BE71C4">
      <w:pPr>
        <w:pStyle w:val="Prrafodelista"/>
        <w:numPr>
          <w:ilvl w:val="0"/>
          <w:numId w:val="10"/>
        </w:numPr>
        <w:jc w:val="both"/>
      </w:pPr>
      <w:r>
        <w:t>Informar sobre el derecho de los ciudadanos a solicitar información pública.</w:t>
      </w:r>
    </w:p>
    <w:p w:rsidR="002F6535" w:rsidRDefault="002F6535" w:rsidP="00BE71C4">
      <w:pPr>
        <w:pStyle w:val="Prrafodelista"/>
        <w:numPr>
          <w:ilvl w:val="0"/>
          <w:numId w:val="10"/>
        </w:numPr>
        <w:jc w:val="both"/>
      </w:pPr>
      <w:r>
        <w:t xml:space="preserve">Informar </w:t>
      </w:r>
      <w:r w:rsidR="00D5110E">
        <w:t>sobre el procedimiento de gestión de las solicitudes</w:t>
      </w:r>
      <w:r>
        <w:t>.</w:t>
      </w:r>
    </w:p>
    <w:p w:rsidR="00D5110E" w:rsidRDefault="00D5110E" w:rsidP="00BE71C4">
      <w:pPr>
        <w:pStyle w:val="Prrafodelista"/>
        <w:numPr>
          <w:ilvl w:val="0"/>
          <w:numId w:val="10"/>
        </w:numPr>
        <w:jc w:val="both"/>
      </w:pPr>
      <w:r>
        <w:t>Proporcionar un formulario web para la presentación de solicitudes a través de este canal</w:t>
      </w:r>
    </w:p>
    <w:p w:rsidR="00256215" w:rsidRDefault="00FF6AFB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5110E" w:rsidRDefault="00D5110E" w:rsidP="00D5110E">
      <w:pPr>
        <w:pStyle w:val="Prrafodelista"/>
        <w:ind w:left="644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En 2022, ENSA recibió una única solicitud de acceso a información pública que fue inadmitida por considerarse repetitiva o abusiva.</w:t>
      </w:r>
    </w:p>
    <w:p w:rsidR="00D5110E" w:rsidRDefault="00D5110E" w:rsidP="00D5110E">
      <w:pPr>
        <w:pStyle w:val="Prrafodelista"/>
        <w:ind w:left="644"/>
        <w:jc w:val="both"/>
        <w:rPr>
          <w:rFonts w:eastAsia="Times New Roman" w:cs="Times New Roman"/>
          <w:bCs/>
        </w:rPr>
      </w:pPr>
    </w:p>
    <w:p w:rsidR="00D5110E" w:rsidRPr="00D5110E" w:rsidRDefault="00D5110E" w:rsidP="00D5110E">
      <w:pPr>
        <w:pStyle w:val="Prrafodelista"/>
        <w:ind w:left="644"/>
        <w:jc w:val="both"/>
        <w:rPr>
          <w:rFonts w:eastAsia="Times New Roman" w:cs="Times New Roman"/>
          <w:bCs/>
        </w:rPr>
      </w:pPr>
      <w:r w:rsidRPr="00D5110E">
        <w:rPr>
          <w:rFonts w:eastAsia="Times New Roman" w:cs="Times New Roman"/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D5110E" w:rsidRDefault="00D5110E" w:rsidP="00D5110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ENSA</w:t>
      </w:r>
      <w:r w:rsidRPr="00D5110E">
        <w:rPr>
          <w:rFonts w:eastAsia="Times New Roman" w:cs="Times New Roman"/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D5110E" w:rsidRPr="00D5110E" w:rsidRDefault="00D5110E" w:rsidP="00D5110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rFonts w:eastAsia="Times New Roman" w:cs="Times New Roman"/>
          <w:bCs/>
        </w:rPr>
      </w:pPr>
    </w:p>
    <w:p w:rsidR="00F34803" w:rsidRDefault="00D5110E" w:rsidP="00D5110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bCs/>
        </w:rPr>
      </w:pPr>
      <w:r w:rsidRPr="00D5110E">
        <w:rPr>
          <w:rFonts w:eastAsia="Times New Roman" w:cs="Times New Roman"/>
          <w:bCs/>
        </w:rPr>
        <w:t xml:space="preserve">En el caso de que no hubiese solicitudes denegadas por aplicación de estos </w:t>
      </w:r>
      <w:r>
        <w:rPr>
          <w:rFonts w:eastAsia="Times New Roman" w:cs="Times New Roman"/>
          <w:bCs/>
        </w:rPr>
        <w:t>l</w:t>
      </w:r>
      <w:r w:rsidRPr="00D5110E">
        <w:rPr>
          <w:rFonts w:eastAsia="Times New Roman" w:cs="Times New Roman"/>
          <w:bCs/>
        </w:rPr>
        <w:t>ímites debería indicarse expresamente esta circunstancia.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E51768" w:rsidRDefault="00D5110E" w:rsidP="00E51768">
      <w:pPr>
        <w:pStyle w:val="Prrafodelista"/>
        <w:ind w:left="644"/>
        <w:jc w:val="both"/>
      </w:pPr>
      <w:r>
        <w:t>ENSA</w:t>
      </w:r>
      <w:r w:rsidR="00E51768">
        <w:t xml:space="preserve"> dispone de un espacio en su web institucional que facilita el ejercicio del derecho de acceso a la información. Se informa sobre la posibilidad de que los ciudadanos efectúen solicitudes de acceso a información pública dirigidas a la entidad y también sobre los medios de presentación de solicitudes. </w:t>
      </w:r>
    </w:p>
    <w:p w:rsidR="00E51768" w:rsidRDefault="00E51768" w:rsidP="00E51768">
      <w:pPr>
        <w:pStyle w:val="Prrafodelista"/>
        <w:ind w:left="644"/>
        <w:jc w:val="both"/>
      </w:pPr>
    </w:p>
    <w:p w:rsidR="002F6535" w:rsidRDefault="00E51768" w:rsidP="00E51768">
      <w:pPr>
        <w:pStyle w:val="Prrafodelista"/>
        <w:ind w:left="644"/>
        <w:jc w:val="both"/>
      </w:pPr>
      <w:r>
        <w:t xml:space="preserve">Como canal de presentación, se alude </w:t>
      </w:r>
      <w:r w:rsidR="002F6535">
        <w:t>expresamente al correo electrónico</w:t>
      </w:r>
      <w:r w:rsidR="00D5110E">
        <w:t>, al correo postal y a la web,</w:t>
      </w:r>
      <w:r w:rsidR="002F6535">
        <w:t xml:space="preserve"> pero </w:t>
      </w:r>
      <w:r w:rsidR="00D5110E">
        <w:t xml:space="preserve">no </w:t>
      </w:r>
      <w:r w:rsidRPr="009D7822">
        <w:t>se informa sobre los medios de contacto establecidos por la Ley 39/2015 a través de los cuales éstos pueden relacionarse con las administraciones públicas</w:t>
      </w:r>
      <w:r>
        <w:t>.</w:t>
      </w:r>
      <w:r w:rsidR="002F6535">
        <w:t xml:space="preserve"> </w:t>
      </w:r>
    </w:p>
    <w:p w:rsidR="002F6535" w:rsidRDefault="002F6535" w:rsidP="00E51768">
      <w:pPr>
        <w:pStyle w:val="Prrafodelista"/>
        <w:ind w:left="644"/>
        <w:jc w:val="both"/>
      </w:pPr>
    </w:p>
    <w:p w:rsidR="00D52DE1" w:rsidRDefault="00D52DE1" w:rsidP="00D52DE1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 w:rsidRPr="009D7822">
        <w:t>La Ley 39/2015, fija los medios a través</w:t>
      </w:r>
      <w:bookmarkStart w:id="0" w:name="_GoBack"/>
      <w:bookmarkEnd w:id="0"/>
      <w:r w:rsidRPr="009D7822">
        <w:t xml:space="preserve"> de los cuales los ciudadanos pueden relacionarse con las administraciones y el derecho de éstos a relacionarse por el medio que consideren oportuno y a modificar en el transcurso del </w:t>
      </w:r>
      <w:r>
        <w:t>procedimiento el medio elegido, por lo que sería conveniente que se informase a los ciudadanos sobre esta cuestión.</w:t>
      </w:r>
    </w:p>
    <w:p w:rsidR="00D52DE1" w:rsidRDefault="00D52DE1" w:rsidP="00D52DE1">
      <w:pPr>
        <w:pStyle w:val="Prrafodelista"/>
        <w:ind w:left="644"/>
        <w:jc w:val="both"/>
      </w:pPr>
    </w:p>
    <w:p w:rsidR="00E51768" w:rsidRDefault="00E51768" w:rsidP="00E51768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7743EC" w:rsidRPr="00393F8C" w:rsidRDefault="00D52DE1" w:rsidP="007743EC">
      <w:pPr>
        <w:tabs>
          <w:tab w:val="left" w:pos="426"/>
        </w:tabs>
        <w:ind w:left="709"/>
        <w:contextualSpacing/>
        <w:jc w:val="both"/>
      </w:pPr>
      <w:r>
        <w:t>Como se ha señalado, por error atribuible a este Consejo, no se ha presentado la solicitud de acceso a información pública de la sociedad, necesaria para valorar la gestión de estas solicitudes por parte de la sociedad.</w:t>
      </w:r>
    </w:p>
    <w:p w:rsidR="007743EC" w:rsidRDefault="007743EC" w:rsidP="008D4B85">
      <w:pPr>
        <w:pStyle w:val="Prrafodelista"/>
        <w:ind w:left="426"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 xml:space="preserve">Madrid, </w:t>
      </w:r>
      <w:r w:rsidR="00D52DE1">
        <w:t>julio</w:t>
      </w:r>
      <w:r>
        <w:t xml:space="preserve"> de 202</w:t>
      </w:r>
      <w:r w:rsidR="00BE71C4">
        <w:t>3</w:t>
      </w:r>
    </w:p>
    <w:sectPr w:rsidR="00B40246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0E" w:rsidRDefault="00D5110E" w:rsidP="00932008">
      <w:pPr>
        <w:spacing w:after="0" w:line="240" w:lineRule="auto"/>
      </w:pPr>
      <w:r>
        <w:separator/>
      </w:r>
    </w:p>
  </w:endnote>
  <w:endnote w:type="continuationSeparator" w:id="0">
    <w:p w:rsidR="00D5110E" w:rsidRDefault="00D5110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5110E" w:rsidRPr="00C533E7" w:rsidRDefault="00D5110E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52DE1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D5110E" w:rsidRDefault="00D511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0E" w:rsidRDefault="00D5110E" w:rsidP="00932008">
      <w:pPr>
        <w:spacing w:after="0" w:line="240" w:lineRule="auto"/>
      </w:pPr>
      <w:r>
        <w:separator/>
      </w:r>
    </w:p>
  </w:footnote>
  <w:footnote w:type="continuationSeparator" w:id="0">
    <w:p w:rsidR="00D5110E" w:rsidRDefault="00D5110E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95" type="#_x0000_t75" style="width:9pt;height:9pt" o:bullet="t">
        <v:imagedata r:id="rId1" o:title="BD14533_"/>
      </v:shape>
    </w:pict>
  </w:numPicBullet>
  <w:numPicBullet w:numPicBulletId="1">
    <w:pict>
      <v:shape id="_x0000_i2196" type="#_x0000_t75" style="width:11.25pt;height:11.25pt" o:bullet="t">
        <v:imagedata r:id="rId2" o:title="BD14654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1919A2"/>
    <w:multiLevelType w:val="hybridMultilevel"/>
    <w:tmpl w:val="6F6C210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717CD"/>
    <w:rsid w:val="000965B3"/>
    <w:rsid w:val="000A1C07"/>
    <w:rsid w:val="000B0A0D"/>
    <w:rsid w:val="000B2A81"/>
    <w:rsid w:val="000C6CFF"/>
    <w:rsid w:val="00102733"/>
    <w:rsid w:val="0011031F"/>
    <w:rsid w:val="001252EE"/>
    <w:rsid w:val="0012783F"/>
    <w:rsid w:val="001561A4"/>
    <w:rsid w:val="00176A94"/>
    <w:rsid w:val="00194000"/>
    <w:rsid w:val="0019606E"/>
    <w:rsid w:val="001B3D6A"/>
    <w:rsid w:val="001C238B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A154B"/>
    <w:rsid w:val="002C3B63"/>
    <w:rsid w:val="002E0A33"/>
    <w:rsid w:val="002F6535"/>
    <w:rsid w:val="003145AD"/>
    <w:rsid w:val="00334115"/>
    <w:rsid w:val="00340559"/>
    <w:rsid w:val="0038546E"/>
    <w:rsid w:val="003B5288"/>
    <w:rsid w:val="003F271E"/>
    <w:rsid w:val="003F572A"/>
    <w:rsid w:val="003F6500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C21D3"/>
    <w:rsid w:val="005E37C8"/>
    <w:rsid w:val="005E490C"/>
    <w:rsid w:val="00610D8A"/>
    <w:rsid w:val="00626819"/>
    <w:rsid w:val="0063118A"/>
    <w:rsid w:val="00654162"/>
    <w:rsid w:val="00680E20"/>
    <w:rsid w:val="006A2766"/>
    <w:rsid w:val="006A2E9A"/>
    <w:rsid w:val="006C1EA4"/>
    <w:rsid w:val="00706E04"/>
    <w:rsid w:val="00707CFE"/>
    <w:rsid w:val="00710031"/>
    <w:rsid w:val="00727BA2"/>
    <w:rsid w:val="00741849"/>
    <w:rsid w:val="00743756"/>
    <w:rsid w:val="0075252B"/>
    <w:rsid w:val="007743EC"/>
    <w:rsid w:val="007B0F99"/>
    <w:rsid w:val="007B1EF0"/>
    <w:rsid w:val="007C57AB"/>
    <w:rsid w:val="007C5F74"/>
    <w:rsid w:val="007D6B40"/>
    <w:rsid w:val="007F1269"/>
    <w:rsid w:val="00815659"/>
    <w:rsid w:val="008207D9"/>
    <w:rsid w:val="00833900"/>
    <w:rsid w:val="00844FA9"/>
    <w:rsid w:val="00861D04"/>
    <w:rsid w:val="008B50E2"/>
    <w:rsid w:val="008C1E1E"/>
    <w:rsid w:val="008D4B85"/>
    <w:rsid w:val="008D7CCB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B46D2"/>
    <w:rsid w:val="009F4D42"/>
    <w:rsid w:val="00A41DD5"/>
    <w:rsid w:val="00A5143C"/>
    <w:rsid w:val="00A544D3"/>
    <w:rsid w:val="00A66275"/>
    <w:rsid w:val="00A8003E"/>
    <w:rsid w:val="00A8607D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E71C4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110E"/>
    <w:rsid w:val="00D52DE1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0544"/>
    <w:rsid w:val="00E4702F"/>
    <w:rsid w:val="00E47613"/>
    <w:rsid w:val="00E51768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B1561"/>
    <w:rsid w:val="00FD5B21"/>
    <w:rsid w:val="00FE0FC5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85F72"/>
    <w:rsid w:val="003D088C"/>
    <w:rsid w:val="00543A52"/>
    <w:rsid w:val="00546DCA"/>
    <w:rsid w:val="0060745C"/>
    <w:rsid w:val="006D7969"/>
    <w:rsid w:val="0087096B"/>
    <w:rsid w:val="009B5C1C"/>
    <w:rsid w:val="00A80EAD"/>
    <w:rsid w:val="00AA2EB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2CAE4-E2ED-4492-AA8D-79928695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30</TotalTime>
  <Pages>3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2023-07-04T06:43:00Z</dcterms:created>
  <dcterms:modified xsi:type="dcterms:W3CDTF">2023-07-04T07:18:00Z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