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8279C3" w:rsidRDefault="008279C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8279C3" w:rsidRPr="00006957" w:rsidRDefault="008279C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8279C3" w:rsidRDefault="008279C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8279C3" w:rsidRPr="00006957" w:rsidRDefault="008279C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79C3" w:rsidRDefault="008279C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8279C3" w:rsidRDefault="008279C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FD7E7D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Museo Nacional del Prado Difusión, SME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FD7E7D" w:rsidP="007F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08/06/2023</w:t>
            </w:r>
          </w:p>
        </w:tc>
      </w:tr>
    </w:tbl>
    <w:p w:rsidR="00BA266E" w:rsidRDefault="00BA266E"/>
    <w:p w:rsidR="00561402" w:rsidRPr="0012783F" w:rsidRDefault="007367C8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FD7E7D">
        <w:rPr>
          <w:bCs/>
          <w:color w:val="auto"/>
          <w:szCs w:val="22"/>
        </w:rPr>
        <w:t xml:space="preserve">La gestión de las solicitudes de acceso se efectúa por </w:t>
      </w:r>
      <w:r w:rsidR="008279C3">
        <w:rPr>
          <w:bCs/>
          <w:color w:val="auto"/>
          <w:szCs w:val="22"/>
        </w:rPr>
        <w:t>el Departamento de Administración</w:t>
      </w:r>
      <w:r w:rsidRPr="00FD7E7D">
        <w:rPr>
          <w:bCs/>
          <w:color w:val="auto"/>
          <w:szCs w:val="22"/>
        </w:rPr>
        <w:t xml:space="preserve">, que cuenta con </w:t>
      </w:r>
      <w:r w:rsidR="008279C3">
        <w:rPr>
          <w:bCs/>
          <w:color w:val="auto"/>
          <w:szCs w:val="22"/>
        </w:rPr>
        <w:t>una</w:t>
      </w:r>
      <w:r w:rsidRPr="00FD7E7D">
        <w:rPr>
          <w:bCs/>
          <w:color w:val="auto"/>
          <w:szCs w:val="22"/>
        </w:rPr>
        <w:t xml:space="preserve"> persona para abordar esta actividad</w:t>
      </w:r>
      <w:r w:rsidR="008279C3">
        <w:rPr>
          <w:bCs/>
          <w:color w:val="auto"/>
          <w:szCs w:val="22"/>
        </w:rPr>
        <w:t>, que compatibiliza con otras tareas.</w:t>
      </w:r>
      <w:r w:rsidRPr="00FD7E7D">
        <w:rPr>
          <w:bCs/>
          <w:color w:val="auto"/>
          <w:szCs w:val="22"/>
        </w:rPr>
        <w:t xml:space="preserve"> </w:t>
      </w:r>
    </w:p>
    <w:p w:rsidR="00B812AB" w:rsidRPr="0012783F" w:rsidRDefault="007367C8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8279C3" w:rsidRPr="00AF738D" w:rsidRDefault="008279C3" w:rsidP="008279C3">
      <w:pPr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 w:rsidRPr="00AF738D">
        <w:rPr>
          <w:rStyle w:val="Ttulo2Car"/>
          <w:b w:val="0"/>
          <w:color w:val="auto"/>
          <w:sz w:val="22"/>
          <w:szCs w:val="22"/>
          <w:lang w:bidi="es-ES"/>
        </w:rPr>
        <w:t xml:space="preserve">Según informa </w:t>
      </w:r>
      <w:r>
        <w:rPr>
          <w:rStyle w:val="Ttulo2Car"/>
          <w:b w:val="0"/>
          <w:color w:val="auto"/>
          <w:sz w:val="22"/>
          <w:szCs w:val="22"/>
          <w:lang w:bidi="es-ES"/>
        </w:rPr>
        <w:t>Museo Nacional del Prado Difusión</w:t>
      </w:r>
      <w:r w:rsidRPr="00AF738D">
        <w:rPr>
          <w:rStyle w:val="Ttulo2Car"/>
          <w:b w:val="0"/>
          <w:color w:val="auto"/>
          <w:sz w:val="22"/>
          <w:szCs w:val="22"/>
          <w:lang w:bidi="es-ES"/>
        </w:rPr>
        <w:t xml:space="preserve"> en 2022</w:t>
      </w:r>
      <w:r>
        <w:rPr>
          <w:rStyle w:val="Ttulo2Car"/>
          <w:b w:val="0"/>
          <w:color w:val="auto"/>
          <w:sz w:val="22"/>
          <w:szCs w:val="22"/>
          <w:lang w:bidi="es-ES"/>
        </w:rPr>
        <w:t>, no recibió solicitudes de acceso a información pública.</w:t>
      </w:r>
    </w:p>
    <w:p w:rsidR="008279C3" w:rsidRDefault="008279C3" w:rsidP="008279C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Museo Nacional del Prado Difusión no publica  las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 la LTAIBG, tal y como establece el artículo 14.3 de la norma, que obliga a la publicación de estas resoluciones previa disociación de los datos de carácter personal. </w:t>
      </w:r>
    </w:p>
    <w:p w:rsidR="008279C3" w:rsidRDefault="008279C3" w:rsidP="008279C3">
      <w:pPr>
        <w:pStyle w:val="Cuerpodelboletn"/>
        <w:spacing w:before="120" w:after="120" w:line="276" w:lineRule="auto"/>
        <w:ind w:left="426"/>
        <w:rPr>
          <w:rStyle w:val="Ttulo2Car"/>
          <w:b w:val="0"/>
          <w:color w:val="auto"/>
          <w:sz w:val="22"/>
          <w:szCs w:val="22"/>
          <w:lang w:bidi="es-ES"/>
        </w:rPr>
      </w:pPr>
    </w:p>
    <w:p w:rsidR="00B812AB" w:rsidRPr="00E34195" w:rsidRDefault="007367C8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Default="008279C3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Museo Nacional del Prado Difusión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en su Portal de Transparencia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con un apartado específico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de acceso a información pública de la entidad. En consecuencia,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no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>se informa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de los ciudadanos a solicitar información pública del Consorcio, al amparo de la LTAIBG y tampoco se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los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lastRenderedPageBreak/>
        <w:t>medios habilitados para la presentación de solicitudes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, ni sobre los requisitos exigidos para la presentación de estas solicitudes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7367C8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5C4D89">
        <w:rPr>
          <w:color w:val="auto"/>
          <w:lang w:bidi="es-ES"/>
        </w:rPr>
        <w:t xml:space="preserve">Con fecha </w:t>
      </w:r>
      <w:r w:rsidR="008279C3">
        <w:rPr>
          <w:color w:val="auto"/>
          <w:lang w:bidi="es-ES"/>
        </w:rPr>
        <w:t>08</w:t>
      </w:r>
      <w:r w:rsidR="00FC2FB9">
        <w:rPr>
          <w:color w:val="auto"/>
          <w:lang w:bidi="es-ES"/>
        </w:rPr>
        <w:t>/0</w:t>
      </w:r>
      <w:r w:rsidR="00E57E17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839AB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E57E17">
        <w:rPr>
          <w:color w:val="auto"/>
          <w:lang w:bidi="es-ES"/>
        </w:rPr>
        <w:t xml:space="preserve">del </w:t>
      </w:r>
      <w:r w:rsidR="008279C3">
        <w:rPr>
          <w:color w:val="auto"/>
          <w:lang w:bidi="es-ES"/>
        </w:rPr>
        <w:t xml:space="preserve">Portal de Transparencia de la AGE, </w:t>
      </w:r>
      <w:r w:rsidR="00E57E17">
        <w:rPr>
          <w:color w:val="auto"/>
          <w:lang w:bidi="es-ES"/>
        </w:rPr>
        <w:t>una solicitud de acceso a información pública de la entidad</w:t>
      </w:r>
      <w:r>
        <w:rPr>
          <w:color w:val="auto"/>
          <w:lang w:bidi="es-ES"/>
        </w:rPr>
        <w:t xml:space="preserve">. </w:t>
      </w:r>
      <w:r w:rsidR="008279C3">
        <w:rPr>
          <w:color w:val="auto"/>
          <w:lang w:bidi="es-ES"/>
        </w:rPr>
        <w:t>Con la misma fecha se emite un acuse de recibo.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E57E17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8279C3">
        <w:rPr>
          <w:color w:val="auto"/>
          <w:lang w:bidi="es-ES"/>
        </w:rPr>
        <w:t>No</w:t>
      </w:r>
      <w:r w:rsidR="00B108F0" w:rsidRPr="008279C3">
        <w:rPr>
          <w:color w:val="auto"/>
          <w:lang w:bidi="es-ES"/>
        </w:rPr>
        <w:t xml:space="preserve"> se</w:t>
      </w:r>
      <w:r w:rsidR="00F34803" w:rsidRPr="008279C3">
        <w:rPr>
          <w:color w:val="auto"/>
          <w:lang w:bidi="es-ES"/>
        </w:rPr>
        <w:t xml:space="preserve"> </w:t>
      </w:r>
      <w:r w:rsidR="00904E47" w:rsidRPr="008279C3">
        <w:rPr>
          <w:color w:val="auto"/>
          <w:lang w:bidi="es-ES"/>
        </w:rPr>
        <w:t xml:space="preserve">comunica el </w:t>
      </w:r>
      <w:r w:rsidR="00F34803" w:rsidRPr="008279C3">
        <w:rPr>
          <w:color w:val="auto"/>
          <w:lang w:bidi="es-ES"/>
        </w:rPr>
        <w:t>inicio de la tramitación de la solicitud.</w:t>
      </w:r>
      <w:r w:rsidR="00F34803">
        <w:rPr>
          <w:color w:val="auto"/>
          <w:lang w:bidi="es-ES"/>
        </w:rPr>
        <w:t xml:space="preserve"> </w:t>
      </w:r>
    </w:p>
    <w:p w:rsidR="008279C3" w:rsidRDefault="008279C3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color w:val="auto"/>
          <w:lang w:bidi="es-ES"/>
        </w:rPr>
        <w:t>Con fecha 11/05/2023 la UIT del Ministerio de Cultura y Deporte, comunica el traslado de la solicitud a Museo del Prado Difusión, por corresponder la competencia de la información solicitada exclusivamente a la sociedad.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3A260E" w:rsidRDefault="008279C3" w:rsidP="008279C3">
      <w:pPr>
        <w:pStyle w:val="Cuerpodelboletn"/>
        <w:numPr>
          <w:ilvl w:val="0"/>
          <w:numId w:val="11"/>
        </w:numPr>
        <w:spacing w:before="120" w:after="120" w:line="312" w:lineRule="auto"/>
        <w:ind w:left="1134"/>
        <w:rPr>
          <w:color w:val="auto"/>
          <w:lang w:bidi="es-ES"/>
        </w:rPr>
      </w:pPr>
      <w:r>
        <w:rPr>
          <w:color w:val="auto"/>
          <w:lang w:bidi="es-ES"/>
        </w:rPr>
        <w:t>No se dicta resolución expresa. Mediante correo electrónico remitido el 29/05/2023 por el responsable de Control de Gestión, se envía un escrito en el que se da contestación a la solicitud de información. El escrito carece de pie de recurso.</w:t>
      </w:r>
    </w:p>
    <w:p w:rsidR="008279C3" w:rsidRDefault="008279C3" w:rsidP="008279C3">
      <w:pPr>
        <w:pStyle w:val="Cuerpodelboletn"/>
        <w:numPr>
          <w:ilvl w:val="0"/>
          <w:numId w:val="11"/>
        </w:numPr>
        <w:spacing w:before="120" w:after="120" w:line="312" w:lineRule="auto"/>
        <w:ind w:left="1134"/>
        <w:rPr>
          <w:color w:val="auto"/>
          <w:lang w:bidi="es-ES"/>
        </w:rPr>
      </w:pPr>
      <w:r>
        <w:rPr>
          <w:color w:val="auto"/>
          <w:lang w:bidi="es-ES"/>
        </w:rPr>
        <w:t>La información se proporciona en el momento de la notificación.</w:t>
      </w:r>
    </w:p>
    <w:p w:rsidR="008279C3" w:rsidRDefault="008279C3" w:rsidP="008279C3">
      <w:pPr>
        <w:pStyle w:val="Cuerpodelboletn"/>
        <w:spacing w:before="120" w:after="120" w:line="312" w:lineRule="auto"/>
        <w:ind w:left="1134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DF6C30" w:rsidRDefault="005D006A" w:rsidP="00DF6C30">
      <w:pPr>
        <w:pStyle w:val="Cuerpodelboletn"/>
        <w:spacing w:before="120" w:after="120" w:line="276" w:lineRule="auto"/>
        <w:ind w:left="425"/>
      </w:pPr>
      <w:r>
        <w:t xml:space="preserve">El Consejo de Transparencia y Buen Gobierno no ha recibido reclamaciones contra resoluciones de </w:t>
      </w:r>
      <w:r w:rsidR="008C5F9E">
        <w:t>Museo Nacional del Prado Difusión</w:t>
      </w:r>
      <w:r>
        <w:t>.</w:t>
      </w:r>
    </w:p>
    <w:p w:rsidR="008C5F9E" w:rsidRPr="004A133A" w:rsidRDefault="008C5F9E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7367C8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5D006A" w:rsidP="0063118A">
      <w:pPr>
        <w:ind w:left="426"/>
      </w:pPr>
      <w:r>
        <w:t xml:space="preserve">Dado que </w:t>
      </w:r>
      <w:r w:rsidR="008C5F9E">
        <w:rPr>
          <w:rStyle w:val="Ttulo2Car"/>
          <w:b w:val="0"/>
          <w:color w:val="auto"/>
          <w:sz w:val="22"/>
          <w:szCs w:val="22"/>
          <w:lang w:bidi="es-ES"/>
        </w:rPr>
        <w:t>Museo Nacional del Prado Difusión</w:t>
      </w:r>
      <w:r w:rsidR="008C5F9E">
        <w:t xml:space="preserve"> </w:t>
      </w:r>
      <w:r>
        <w:t>acrece de un especio específico para la presentación de las solicitudes de acceso a información pública no caben buenas prácticas que señalar.</w:t>
      </w:r>
    </w:p>
    <w:p w:rsidR="008C5F9E" w:rsidRDefault="008C5F9E" w:rsidP="0063118A">
      <w:pPr>
        <w:ind w:left="426"/>
      </w:pPr>
    </w:p>
    <w:p w:rsidR="008C5F9E" w:rsidRDefault="008C5F9E" w:rsidP="0063118A">
      <w:pPr>
        <w:ind w:left="426"/>
      </w:pPr>
    </w:p>
    <w:p w:rsidR="008C5F9E" w:rsidRDefault="008C5F9E" w:rsidP="0063118A">
      <w:pPr>
        <w:ind w:left="426"/>
      </w:pPr>
    </w:p>
    <w:p w:rsidR="008C5F9E" w:rsidRDefault="008C5F9E" w:rsidP="0063118A">
      <w:pPr>
        <w:ind w:left="426"/>
      </w:pPr>
    </w:p>
    <w:p w:rsidR="008C5F9E" w:rsidRDefault="008C5F9E" w:rsidP="0063118A">
      <w:pPr>
        <w:ind w:left="426"/>
      </w:pPr>
    </w:p>
    <w:p w:rsidR="00256215" w:rsidRDefault="007367C8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8C5F9E" w:rsidRDefault="008C5F9E" w:rsidP="008C5F9E">
      <w:pPr>
        <w:pStyle w:val="Prrafodelista"/>
        <w:ind w:left="644"/>
        <w:jc w:val="both"/>
        <w:rPr>
          <w:bCs/>
        </w:rPr>
      </w:pPr>
      <w:r>
        <w:rPr>
          <w:bCs/>
        </w:rPr>
        <w:t>Como se ha indicado Museo Nacional del Prado Difusión, no recibió solicitudes de acceso a información pública en el año 2022.</w:t>
      </w:r>
    </w:p>
    <w:p w:rsidR="008C5F9E" w:rsidRDefault="008C5F9E" w:rsidP="008C5F9E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8C5F9E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Museo Nacional del Prado Difusión</w:t>
      </w:r>
      <w:r w:rsidR="005D006A" w:rsidRPr="00F33EF2">
        <w:rPr>
          <w:bCs/>
        </w:rPr>
        <w:t xml:space="preserve"> </w:t>
      </w:r>
      <w:r w:rsidR="005D006A">
        <w:rPr>
          <w:bCs/>
        </w:rPr>
        <w:t>debería publicar en su Portal de Transparencia las resoluciones que deniegan el acceso a la información por aplicación de los límites del artículo 14, según lo dispuesto por el artículo 14.3 de la LTAIBG.</w:t>
      </w:r>
    </w:p>
    <w:p w:rsidR="005D006A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D006A" w:rsidRPr="008648E8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8C5F9E" w:rsidRDefault="008C5F9E" w:rsidP="005D006A">
      <w:pPr>
        <w:pStyle w:val="Prrafodelista"/>
        <w:ind w:left="644"/>
        <w:rPr>
          <w:bCs/>
        </w:rPr>
      </w:pPr>
    </w:p>
    <w:p w:rsidR="005D006A" w:rsidRDefault="008C5F9E" w:rsidP="008C5F9E">
      <w:pPr>
        <w:pStyle w:val="Prrafodelista"/>
        <w:ind w:left="644"/>
        <w:jc w:val="both"/>
      </w:pPr>
      <w:r>
        <w:rPr>
          <w:bCs/>
        </w:rPr>
        <w:t>Museo Nacional del Prado Difusión</w:t>
      </w:r>
      <w:r>
        <w:t xml:space="preserve"> </w:t>
      </w:r>
      <w:r w:rsidR="005D006A">
        <w:t xml:space="preserve">no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5D006A" w:rsidRDefault="005D006A" w:rsidP="005D006A">
      <w:pPr>
        <w:pStyle w:val="Prrafodelista"/>
        <w:ind w:left="644"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 w:rsidR="008C5F9E">
        <w:rPr>
          <w:bCs/>
        </w:rPr>
        <w:t>Museo Nacional del Prado Difusión</w:t>
      </w:r>
      <w:r w:rsidRPr="008D4B85">
        <w:t xml:space="preserve">. </w:t>
      </w: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8C5F9E">
        <w:t xml:space="preserve"> </w:t>
      </w:r>
      <w:r w:rsidRPr="008D4B85">
        <w:t>14 de la LTAIBG.</w:t>
      </w:r>
    </w:p>
    <w:p w:rsidR="00F900E1" w:rsidRDefault="00F900E1" w:rsidP="005D006A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8C5F9E" w:rsidRPr="008C5F9E" w:rsidRDefault="008C5F9E" w:rsidP="008C5F9E">
      <w:pPr>
        <w:tabs>
          <w:tab w:val="left" w:pos="426"/>
        </w:tabs>
        <w:ind w:left="426"/>
        <w:contextualSpacing/>
        <w:jc w:val="both"/>
      </w:pPr>
      <w:r w:rsidRPr="008C5F9E">
        <w:t xml:space="preserve">La gestión de la solicitud de acceso presentada no se ha ajustado al procedimiento establecido por la LTAIBG. Se remite un </w:t>
      </w:r>
      <w:r>
        <w:t xml:space="preserve">escrito mediante </w:t>
      </w:r>
      <w:r w:rsidRPr="008C5F9E">
        <w:t>correo electrónico</w:t>
      </w:r>
      <w:r>
        <w:t>,</w:t>
      </w:r>
      <w:r w:rsidRPr="008C5F9E">
        <w:t xml:space="preserve"> en cuyo cuerpo se proporciona la información  solicitada.     </w:t>
      </w:r>
    </w:p>
    <w:p w:rsidR="008C5F9E" w:rsidRPr="008C5F9E" w:rsidRDefault="008C5F9E" w:rsidP="008C5F9E">
      <w:pPr>
        <w:tabs>
          <w:tab w:val="left" w:pos="426"/>
        </w:tabs>
        <w:ind w:left="426"/>
        <w:contextualSpacing/>
        <w:jc w:val="both"/>
      </w:pPr>
    </w:p>
    <w:p w:rsidR="008C5F9E" w:rsidRPr="008C5F9E" w:rsidRDefault="008C5F9E" w:rsidP="008C5F9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tabs>
          <w:tab w:val="left" w:pos="426"/>
        </w:tabs>
        <w:ind w:left="426"/>
        <w:contextualSpacing/>
        <w:jc w:val="both"/>
      </w:pPr>
      <w:r w:rsidRPr="008C5F9E">
        <w:lastRenderedPageBreak/>
        <w:t xml:space="preserve">Aunque el volumen de la información solicitada sea pequeño, </w:t>
      </w:r>
      <w:r>
        <w:t>Museo Nacional del Prado Difusión</w:t>
      </w:r>
      <w:r w:rsidRPr="008C5F9E">
        <w:t xml:space="preserve"> debe ajustarse al procedimiento establecido por las Leyes 19/2013 y 39/2015: debe dictar una resolución expresa, incluyendo los recursos que contra la misma procedan, órgano administrativo o judicial ante el que presentarlos y el plazo para interponerlos.</w:t>
      </w:r>
    </w:p>
    <w:p w:rsidR="008C5F9E" w:rsidRPr="008C5F9E" w:rsidRDefault="008C5F9E" w:rsidP="008C5F9E">
      <w:pPr>
        <w:tabs>
          <w:tab w:val="left" w:pos="426"/>
        </w:tabs>
        <w:ind w:left="426"/>
        <w:contextualSpacing/>
        <w:jc w:val="both"/>
      </w:pPr>
    </w:p>
    <w:p w:rsidR="00D84B7B" w:rsidRPr="008C5F9E" w:rsidRDefault="0063118A" w:rsidP="00D84B7B">
      <w:pPr>
        <w:tabs>
          <w:tab w:val="left" w:pos="426"/>
        </w:tabs>
        <w:ind w:left="426"/>
        <w:contextualSpacing/>
        <w:jc w:val="both"/>
      </w:pPr>
      <w:r w:rsidRPr="008C5F9E">
        <w:t>L</w:t>
      </w:r>
      <w:r w:rsidR="00D84B7B" w:rsidRPr="008C5F9E">
        <w:t xml:space="preserve">a información se proporciona </w:t>
      </w:r>
      <w:r w:rsidR="003A260E" w:rsidRPr="008C5F9E">
        <w:t xml:space="preserve">en el momento de la notificación </w:t>
      </w:r>
      <w:r w:rsidR="00AF6C5C" w:rsidRPr="008C5F9E">
        <w:t>aunque no en el formato solicitado</w:t>
      </w:r>
      <w:r w:rsidR="00B31C4E" w:rsidRPr="008C5F9E">
        <w:t>.</w:t>
      </w:r>
    </w:p>
    <w:p w:rsidR="00E541AF" w:rsidRDefault="00E541AF" w:rsidP="00E541AF">
      <w:pPr>
        <w:pStyle w:val="Prrafodelista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ind w:left="644"/>
        <w:jc w:val="both"/>
      </w:pPr>
      <w:bookmarkStart w:id="0" w:name="_GoBack"/>
      <w:bookmarkEnd w:id="0"/>
      <w:r w:rsidRPr="008C5F9E">
        <w:t>En la medida de lo posible la información debería entregarse en el formato establecido por la persona solicitante.</w:t>
      </w:r>
      <w:r>
        <w:t xml:space="preserve"> </w:t>
      </w:r>
    </w:p>
    <w:p w:rsidR="00E541AF" w:rsidRPr="00D84B7B" w:rsidRDefault="00E541AF" w:rsidP="00D84B7B">
      <w:pPr>
        <w:tabs>
          <w:tab w:val="left" w:pos="426"/>
        </w:tabs>
        <w:ind w:left="426"/>
        <w:contextualSpacing/>
        <w:jc w:val="both"/>
      </w:pPr>
    </w:p>
    <w:p w:rsidR="00B40246" w:rsidRDefault="00B40246" w:rsidP="00D84B7B">
      <w:pPr>
        <w:pStyle w:val="Prrafodelista"/>
        <w:ind w:left="644"/>
        <w:jc w:val="both"/>
      </w:pPr>
    </w:p>
    <w:sectPr w:rsidR="00B40246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C3" w:rsidRDefault="008279C3" w:rsidP="00932008">
      <w:pPr>
        <w:spacing w:after="0" w:line="240" w:lineRule="auto"/>
      </w:pPr>
      <w:r>
        <w:separator/>
      </w:r>
    </w:p>
  </w:endnote>
  <w:endnote w:type="continuationSeparator" w:id="0">
    <w:p w:rsidR="008279C3" w:rsidRDefault="008279C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279C3" w:rsidRPr="00C533E7" w:rsidRDefault="008279C3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7367C8">
          <w:rPr>
            <w:noProof/>
            <w:sz w:val="18"/>
            <w:szCs w:val="18"/>
          </w:rPr>
          <w:t>4</w:t>
        </w:r>
        <w:r w:rsidRPr="00C533E7">
          <w:rPr>
            <w:sz w:val="18"/>
            <w:szCs w:val="18"/>
          </w:rPr>
          <w:fldChar w:fldCharType="end"/>
        </w:r>
      </w:p>
    </w:sdtContent>
  </w:sdt>
  <w:p w:rsidR="008279C3" w:rsidRDefault="008279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C3" w:rsidRDefault="008279C3" w:rsidP="00932008">
      <w:pPr>
        <w:spacing w:after="0" w:line="240" w:lineRule="auto"/>
      </w:pPr>
      <w:r>
        <w:separator/>
      </w:r>
    </w:p>
  </w:footnote>
  <w:footnote w:type="continuationSeparator" w:id="0">
    <w:p w:rsidR="008279C3" w:rsidRDefault="008279C3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81" type="#_x0000_t75" style="width:9pt;height:9pt" o:bullet="t">
        <v:imagedata r:id="rId1" o:title="BD14533_"/>
      </v:shape>
    </w:pict>
  </w:numPicBullet>
  <w:numPicBullet w:numPicBulletId="1">
    <w:pict>
      <v:shape id="_x0000_i2182" type="#_x0000_t75" style="width:9pt;height:9pt" o:bullet="t">
        <v:imagedata r:id="rId2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821002"/>
    <w:multiLevelType w:val="hybridMultilevel"/>
    <w:tmpl w:val="9C32A746"/>
    <w:lvl w:ilvl="0" w:tplc="B7C2270E">
      <w:start w:val="1"/>
      <w:numFmt w:val="bullet"/>
      <w:lvlText w:val=""/>
      <w:lvlPicBulletId w:val="1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5A7E"/>
    <w:rsid w:val="00256215"/>
    <w:rsid w:val="002615D8"/>
    <w:rsid w:val="0026281C"/>
    <w:rsid w:val="002A154B"/>
    <w:rsid w:val="002A479C"/>
    <w:rsid w:val="002E0A33"/>
    <w:rsid w:val="003145AD"/>
    <w:rsid w:val="00334115"/>
    <w:rsid w:val="00340559"/>
    <w:rsid w:val="00341F8F"/>
    <w:rsid w:val="0038280F"/>
    <w:rsid w:val="003A260E"/>
    <w:rsid w:val="003B5288"/>
    <w:rsid w:val="003F271E"/>
    <w:rsid w:val="003F572A"/>
    <w:rsid w:val="00411640"/>
    <w:rsid w:val="00447511"/>
    <w:rsid w:val="004537FB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367C8"/>
    <w:rsid w:val="00741849"/>
    <w:rsid w:val="00743756"/>
    <w:rsid w:val="007932E6"/>
    <w:rsid w:val="007B0F99"/>
    <w:rsid w:val="007B1EF0"/>
    <w:rsid w:val="007C57AB"/>
    <w:rsid w:val="007C5F74"/>
    <w:rsid w:val="007D6B40"/>
    <w:rsid w:val="007F4BBB"/>
    <w:rsid w:val="00815659"/>
    <w:rsid w:val="008207D9"/>
    <w:rsid w:val="008279C3"/>
    <w:rsid w:val="00832D4F"/>
    <w:rsid w:val="00833900"/>
    <w:rsid w:val="00844FA9"/>
    <w:rsid w:val="008839AB"/>
    <w:rsid w:val="008C1E1E"/>
    <w:rsid w:val="008C5F9E"/>
    <w:rsid w:val="00904E47"/>
    <w:rsid w:val="00923092"/>
    <w:rsid w:val="009239D9"/>
    <w:rsid w:val="00930638"/>
    <w:rsid w:val="00932008"/>
    <w:rsid w:val="009609E9"/>
    <w:rsid w:val="0096522C"/>
    <w:rsid w:val="00983919"/>
    <w:rsid w:val="009913A5"/>
    <w:rsid w:val="00A41DD5"/>
    <w:rsid w:val="00A544D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788F"/>
    <w:rsid w:val="00AF6C5C"/>
    <w:rsid w:val="00B108F0"/>
    <w:rsid w:val="00B31C4E"/>
    <w:rsid w:val="00B378E2"/>
    <w:rsid w:val="00B40246"/>
    <w:rsid w:val="00B5583D"/>
    <w:rsid w:val="00B812AB"/>
    <w:rsid w:val="00B841AE"/>
    <w:rsid w:val="00B84669"/>
    <w:rsid w:val="00BA266E"/>
    <w:rsid w:val="00BB63C9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B76AF"/>
    <w:rsid w:val="00DC0848"/>
    <w:rsid w:val="00DD3E02"/>
    <w:rsid w:val="00DE4AA9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D3EAD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C2FB9"/>
    <w:rsid w:val="00FD5B21"/>
    <w:rsid w:val="00FD7E7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74CEE"/>
    <w:rsid w:val="002A5B0E"/>
    <w:rsid w:val="002A69E7"/>
    <w:rsid w:val="002C1748"/>
    <w:rsid w:val="002C7AFA"/>
    <w:rsid w:val="003D088C"/>
    <w:rsid w:val="004437AC"/>
    <w:rsid w:val="00543A52"/>
    <w:rsid w:val="00546DCA"/>
    <w:rsid w:val="006D7969"/>
    <w:rsid w:val="0087096B"/>
    <w:rsid w:val="00955EE4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7CA65-A5F7-4B6E-80D5-36F827D1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17</TotalTime>
  <Pages>4</Pages>
  <Words>862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2023-06-08T08:34:00Z</dcterms:created>
  <dcterms:modified xsi:type="dcterms:W3CDTF">2023-06-09T10:12:00Z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