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5169E2" w:rsidRDefault="005169E2" w:rsidP="009953DF">
      <w:pPr>
        <w:rPr>
          <w:rFonts w:ascii="Century Gothic" w:hAnsi="Century Gothic"/>
        </w:rPr>
      </w:pPr>
      <w:r w:rsidRPr="005169E2">
        <w:rPr>
          <w:rFonts w:ascii="Century Gothic" w:hAnsi="Century Gothic"/>
        </w:rPr>
        <w:t>RECOMENDACIONES APLICADAS DURANTE EL PERIODO DE OBSERVACIONES</w:t>
      </w:r>
    </w:p>
    <w:p w:rsidR="005169E2" w:rsidRDefault="005169E2" w:rsidP="005169E2">
      <w:pPr>
        <w:jc w:val="both"/>
        <w:rPr>
          <w:rFonts w:ascii="Century Gothic" w:hAnsi="Century Gothic"/>
        </w:rPr>
      </w:pPr>
      <w:r w:rsidRPr="005169E2">
        <w:rPr>
          <w:rFonts w:ascii="Century Gothic" w:hAnsi="Century Gothic"/>
        </w:rPr>
        <w:t xml:space="preserve">En la siguiente tabla se muestran las recomendaciones efectuadas por el CTBG que han sido implantadas por </w:t>
      </w:r>
      <w:r>
        <w:rPr>
          <w:rFonts w:ascii="Century Gothic" w:hAnsi="Century Gothic"/>
        </w:rPr>
        <w:t xml:space="preserve">las entidades evaluadas durante el periodo de alegaciones. </w:t>
      </w:r>
    </w:p>
    <w:p w:rsidR="005169E2" w:rsidRDefault="005169E2" w:rsidP="005169E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Dado que el </w:t>
      </w:r>
      <w:r w:rsidRPr="005169E2">
        <w:rPr>
          <w:rFonts w:ascii="Century Gothic" w:hAnsi="Century Gothic"/>
        </w:rPr>
        <w:t xml:space="preserve">alcance temporal de la evaluación </w:t>
      </w:r>
      <w:r w:rsidR="006D6A00">
        <w:rPr>
          <w:rFonts w:ascii="Century Gothic" w:hAnsi="Century Gothic"/>
        </w:rPr>
        <w:t>finaliza cuando los informes provisionales de evaluación se remiten para observaciones</w:t>
      </w:r>
      <w:r w:rsidRPr="005169E2">
        <w:rPr>
          <w:rFonts w:ascii="Century Gothic" w:hAnsi="Century Gothic"/>
        </w:rPr>
        <w:t xml:space="preserve">, las recomendaciones implantadas como consecuencia de la evaluación no </w:t>
      </w:r>
      <w:r>
        <w:rPr>
          <w:rFonts w:ascii="Century Gothic" w:hAnsi="Century Gothic"/>
        </w:rPr>
        <w:t>han sido</w:t>
      </w:r>
      <w:r w:rsidRPr="005169E2">
        <w:rPr>
          <w:rFonts w:ascii="Century Gothic" w:hAnsi="Century Gothic"/>
        </w:rPr>
        <w:t xml:space="preserve"> tenidas en cuenta para proceder a una nueva valoración del cumplimiento de las obligaciones de publicidad activa. </w:t>
      </w:r>
    </w:p>
    <w:p w:rsidR="005169E2" w:rsidRDefault="005169E2" w:rsidP="005169E2">
      <w:pPr>
        <w:jc w:val="both"/>
        <w:rPr>
          <w:rFonts w:ascii="Century Gothic" w:hAnsi="Century Gothic"/>
        </w:rPr>
      </w:pPr>
    </w:p>
    <w:tbl>
      <w:tblPr>
        <w:tblStyle w:val="Sombreadomedio1-nfasis5"/>
        <w:tblW w:w="0" w:type="auto"/>
        <w:tblLook w:val="04A0" w:firstRow="1" w:lastRow="0" w:firstColumn="1" w:lastColumn="0" w:noHBand="0" w:noVBand="1"/>
      </w:tblPr>
      <w:tblGrid>
        <w:gridCol w:w="2881"/>
        <w:gridCol w:w="5732"/>
      </w:tblGrid>
      <w:tr w:rsidR="005169E2" w:rsidRPr="00DE48E5" w:rsidTr="00B04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76DB8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776DB8" w:rsidRDefault="00776DB8" w:rsidP="00AA06BC">
            <w:r>
              <w:t>Casa de América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776DB8" w:rsidRDefault="00776DB8" w:rsidP="00776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776DB8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76DB8">
              <w:rPr>
                <w:rFonts w:ascii="Century Gothic" w:hAnsi="Century Gothic"/>
                <w:sz w:val="18"/>
                <w:szCs w:val="18"/>
              </w:rPr>
              <w:t>Publicación del organigrama</w:t>
            </w:r>
          </w:p>
          <w:p w:rsidR="00776DB8" w:rsidRPr="00776DB8" w:rsidRDefault="00776DB8" w:rsidP="00B37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del perfil y trayectoria profesional de los máximos responsables</w:t>
            </w:r>
          </w:p>
        </w:tc>
      </w:tr>
      <w:tr w:rsidR="00F8124E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F8124E" w:rsidRDefault="00F8124E" w:rsidP="00AA06BC">
            <w:r>
              <w:t>Centro Universitario de la Defensa- Academia General Militar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F8124E" w:rsidRDefault="00F8124E" w:rsidP="00F812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8124E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 información sobre modificaciones de contratos adjudicados.</w:t>
            </w:r>
          </w:p>
          <w:p w:rsidR="00F8124E" w:rsidRDefault="00F8124E" w:rsidP="00F812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información estadística sobre contratación.</w:t>
            </w:r>
          </w:p>
          <w:p w:rsidR="00F8124E" w:rsidRDefault="00F8124E" w:rsidP="00F812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 información sobre convenios.</w:t>
            </w:r>
          </w:p>
          <w:p w:rsidR="00F8124E" w:rsidRDefault="00F8124E" w:rsidP="00F812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de información sobre encomiendas de gestión y sobre las subcontrataciones derivadas de éstas.</w:t>
            </w:r>
          </w:p>
          <w:p w:rsidR="00F8124E" w:rsidRDefault="00F8124E" w:rsidP="00F812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 información sobre presupuestos.</w:t>
            </w:r>
          </w:p>
          <w:p w:rsidR="00F8124E" w:rsidRDefault="00F8124E" w:rsidP="00F812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Publicación de las Cuentas anuales.</w:t>
            </w:r>
          </w:p>
          <w:p w:rsidR="00F8124E" w:rsidRDefault="00F8124E" w:rsidP="00F812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Publicación de información sobre indemnizaciones percibidas por altos cargos y máximos responsables.</w:t>
            </w:r>
          </w:p>
          <w:p w:rsidR="00F8124E" w:rsidRPr="00F8124E" w:rsidRDefault="00F8124E" w:rsidP="00F812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 Publicación de las autorizaciones para el ejercicio de actividades privadas al cese de altos cargos.</w:t>
            </w:r>
          </w:p>
        </w:tc>
      </w:tr>
      <w:tr w:rsidR="00B22A98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B22A98" w:rsidRDefault="006D6A00" w:rsidP="00AA06BC">
            <w:r>
              <w:t>Centro Nacional de Investigaciones Cardiovasculares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B22A98" w:rsidRDefault="00B22A98" w:rsidP="00B22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22A98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</w:t>
            </w:r>
            <w:r w:rsidR="006D6A00">
              <w:rPr>
                <w:rFonts w:ascii="Century Gothic" w:hAnsi="Century Gothic"/>
                <w:sz w:val="18"/>
                <w:szCs w:val="18"/>
              </w:rPr>
              <w:t>del Registro de Actividades de Tratamiento</w:t>
            </w:r>
          </w:p>
          <w:p w:rsidR="00B22A98" w:rsidRDefault="00B22A98" w:rsidP="00B22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 Publicación de </w:t>
            </w:r>
            <w:r w:rsidR="006D6A00">
              <w:rPr>
                <w:rFonts w:ascii="Century Gothic" w:hAnsi="Century Gothic"/>
                <w:sz w:val="18"/>
                <w:szCs w:val="18"/>
              </w:rPr>
              <w:t>la descripción de la estructura organizativa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B22A98" w:rsidRDefault="00B22A98" w:rsidP="00B22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Publicación de </w:t>
            </w:r>
            <w:r w:rsidR="006D6A00">
              <w:rPr>
                <w:rFonts w:ascii="Century Gothic" w:hAnsi="Century Gothic"/>
                <w:sz w:val="18"/>
                <w:szCs w:val="18"/>
              </w:rPr>
              <w:t>información sobre modificaciones de contratos adjudicados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AF711A" w:rsidRDefault="00AF711A" w:rsidP="006D6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Publicación </w:t>
            </w:r>
            <w:r w:rsidR="006D6A00">
              <w:rPr>
                <w:rFonts w:ascii="Century Gothic" w:hAnsi="Century Gothic"/>
                <w:sz w:val="18"/>
                <w:szCs w:val="18"/>
              </w:rPr>
              <w:t>en el Portal del CNIC de las subvenciones concedidas</w:t>
            </w:r>
          </w:p>
          <w:p w:rsidR="006D6A00" w:rsidRDefault="006D6A00" w:rsidP="006D6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 información sobre las indemnizaciones percibidas por altos cargos y máximos responsables con ocasión del cese</w:t>
            </w:r>
          </w:p>
          <w:p w:rsidR="006D6A00" w:rsidRPr="00B22A98" w:rsidRDefault="006D6A00" w:rsidP="006D6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Publicación de información sobre las autorizaciones para el ejercicio de actividades privadas al cese de altos cargos</w:t>
            </w:r>
          </w:p>
        </w:tc>
      </w:tr>
      <w:tr w:rsidR="000E3B9C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0E3B9C" w:rsidRDefault="000E3B9C" w:rsidP="00AA06BC">
            <w:r>
              <w:t>Consorcio Centro Asociado de la UNED en Vitoria-Gasteiz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0E3B9C" w:rsidRDefault="000E3B9C" w:rsidP="000E3B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E3B9C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del Registro de Actividades de Tratamiento.</w:t>
            </w:r>
          </w:p>
          <w:p w:rsidR="000E3B9C" w:rsidRDefault="000E3B9C" w:rsidP="000E3B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del Organigrama.</w:t>
            </w:r>
          </w:p>
          <w:p w:rsidR="000E3B9C" w:rsidRPr="000E3B9C" w:rsidRDefault="000E3B9C" w:rsidP="000E3B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Actualización de las Cuentas anuales.</w:t>
            </w:r>
          </w:p>
        </w:tc>
      </w:tr>
      <w:tr w:rsidR="002B3D52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2B3D52" w:rsidRDefault="002B3D52" w:rsidP="00D8508F">
            <w:r>
              <w:t>Consorcio de la Zona Franca de Cádiz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2B3D52" w:rsidRDefault="002B3D52" w:rsidP="002B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B3D52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Se ha completado la información sobre la normativa aplicable a la organización.</w:t>
            </w:r>
          </w:p>
          <w:p w:rsidR="002B3D52" w:rsidRDefault="002B3D52" w:rsidP="002B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del perfil y trayectoria profesional del Delegado Especial del Estado.</w:t>
            </w:r>
          </w:p>
          <w:p w:rsidR="002B3D52" w:rsidRDefault="002B3D52" w:rsidP="002B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Se ha completado la información sobre contratación.</w:t>
            </w:r>
          </w:p>
          <w:p w:rsidR="002B3D52" w:rsidRDefault="002B3D52" w:rsidP="002B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  <w:r w:rsidR="00FA41A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Se ha completado la información sobre convenios</w:t>
            </w:r>
          </w:p>
          <w:p w:rsidR="002B3D52" w:rsidRDefault="002B3D52" w:rsidP="002B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Se ha completado la información sobre encomiendas de gestión.</w:t>
            </w:r>
          </w:p>
          <w:p w:rsidR="002B3D52" w:rsidRDefault="002B3D52" w:rsidP="002B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Se informa expresamente de que el CZFC no concede subvenciones y ayudas públicas.</w:t>
            </w:r>
          </w:p>
          <w:p w:rsidR="002B3D52" w:rsidRDefault="002B3D52" w:rsidP="002B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Se enlaza a los informes de fiscalización del Tribunal de Cuentas.</w:t>
            </w:r>
          </w:p>
          <w:p w:rsidR="002B3D52" w:rsidRDefault="00FA41A2" w:rsidP="002B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8. Se informa expresamente de la inexistencia de instrucciones, circulares, acuerdos, etc. que supongan una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interpretación del derecho o que tengan efectos jurídicos sobre terceros.</w:t>
            </w:r>
          </w:p>
          <w:p w:rsidR="00FA41A2" w:rsidRDefault="00FA41A2" w:rsidP="002B3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 Se informa expresamente de que no existen documentos sometidos a información pública en aplicación de normativa sectorial.</w:t>
            </w:r>
          </w:p>
          <w:p w:rsidR="00FA41A2" w:rsidRPr="002B3D52" w:rsidRDefault="00FA41A2" w:rsidP="00FA4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 Se publica la fecha de actualización de la información contenida en el Portal de Transparencia.</w:t>
            </w:r>
          </w:p>
        </w:tc>
      </w:tr>
      <w:tr w:rsidR="00D8508F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D8508F" w:rsidRDefault="00D8508F" w:rsidP="00D8508F">
            <w:r>
              <w:lastRenderedPageBreak/>
              <w:t xml:space="preserve">Consorcio para el Diseño, Construcción, Equipamiento y Explotación del Centro de Láseres Pulsados Ultracortos </w:t>
            </w:r>
            <w:proofErr w:type="spellStart"/>
            <w:r>
              <w:t>Ultraintensos</w:t>
            </w:r>
            <w:proofErr w:type="spellEnd"/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D8508F" w:rsidRPr="00122AD8" w:rsidRDefault="00122AD8" w:rsidP="00122A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22AD8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8508F" w:rsidRPr="00122AD8">
              <w:rPr>
                <w:rFonts w:ascii="Century Gothic" w:hAnsi="Century Gothic"/>
                <w:sz w:val="18"/>
                <w:szCs w:val="18"/>
              </w:rPr>
              <w:t>Publicación de la información sobre compatibilidades de empleados en el Portal de Transparencia de la entidad</w:t>
            </w:r>
          </w:p>
          <w:p w:rsidR="00122AD8" w:rsidRPr="00122AD8" w:rsidRDefault="00122AD8" w:rsidP="00122A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9C3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6B69C3" w:rsidRDefault="006B69C3" w:rsidP="00AA06BC">
            <w:r>
              <w:t>Equipos Nucleares, SA,SME (ENSA)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6B69C3" w:rsidRDefault="006B69C3" w:rsidP="006B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B69C3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del organigrama en formato reutilizable.</w:t>
            </w:r>
          </w:p>
          <w:p w:rsidR="006B69C3" w:rsidRDefault="006B69C3" w:rsidP="006B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la fecha de actualización o revisión de la información.</w:t>
            </w:r>
          </w:p>
          <w:p w:rsidR="006B69C3" w:rsidRDefault="006B69C3" w:rsidP="006B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Se ha completado la información sobre contratos contenida en los cuadros resumen.</w:t>
            </w:r>
          </w:p>
          <w:p w:rsidR="008C76E5" w:rsidRDefault="008C76E5" w:rsidP="006B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de información sobre desistimientos a contratos adjudicados</w:t>
            </w:r>
          </w:p>
          <w:p w:rsidR="006B69C3" w:rsidRDefault="008C76E5" w:rsidP="006B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="006B69C3">
              <w:rPr>
                <w:rFonts w:ascii="Century Gothic" w:hAnsi="Century Gothic"/>
                <w:sz w:val="18"/>
                <w:szCs w:val="18"/>
              </w:rPr>
              <w:t>. Actualización de la información estadística sobre contratación.</w:t>
            </w:r>
          </w:p>
          <w:p w:rsidR="006B69C3" w:rsidRDefault="008C76E5" w:rsidP="006B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="006B69C3">
              <w:rPr>
                <w:rFonts w:ascii="Century Gothic" w:hAnsi="Century Gothic"/>
                <w:sz w:val="18"/>
                <w:szCs w:val="18"/>
              </w:rPr>
              <w:t>. Actualización de la información sobre convenios.</w:t>
            </w:r>
          </w:p>
          <w:p w:rsidR="005F4C56" w:rsidRDefault="008C76E5" w:rsidP="006B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  <w:r w:rsidR="005F4C56">
              <w:rPr>
                <w:rFonts w:ascii="Century Gothic" w:hAnsi="Century Gothic"/>
                <w:sz w:val="18"/>
                <w:szCs w:val="18"/>
              </w:rPr>
              <w:t xml:space="preserve"> Publicación de los informes de fiscalización elaborados por el Tribunal de Cuentas.</w:t>
            </w:r>
          </w:p>
          <w:p w:rsidR="00DC4115" w:rsidRDefault="00DC4115" w:rsidP="006B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 Actualización de la información sobre retribuciones.</w:t>
            </w:r>
          </w:p>
          <w:p w:rsidR="00DC4115" w:rsidRDefault="00DC4115" w:rsidP="006B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 Publicación de información sobre la inexistencia de indemnizaciones percibidas por altos cargos y máximos responsables.</w:t>
            </w:r>
          </w:p>
          <w:p w:rsidR="00DC4115" w:rsidRDefault="00DC4115" w:rsidP="006B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 Publicación en el Portal de Transparencia de ENSA de las autorizaciones de compatibilidad concedidas a empleados.</w:t>
            </w:r>
          </w:p>
          <w:p w:rsidR="00DC4115" w:rsidRPr="006B69C3" w:rsidRDefault="00DC4115" w:rsidP="006B6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11. Publicación de información sobre la inexistencia de autorizaciones para el ejercicio de actividades privadas al cese de altos cargos.</w:t>
            </w:r>
          </w:p>
        </w:tc>
      </w:tr>
      <w:tr w:rsidR="00552B6D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552B6D" w:rsidRDefault="00552B6D" w:rsidP="00AA06BC">
            <w:r>
              <w:t>FREMAP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552B6D" w:rsidRDefault="00552B6D" w:rsidP="00552B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552B6D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52B6D">
              <w:rPr>
                <w:rFonts w:ascii="Century Gothic" w:hAnsi="Century Gothic"/>
                <w:sz w:val="18"/>
                <w:szCs w:val="18"/>
              </w:rPr>
              <w:t xml:space="preserve">Publicación de la descripción de la estructura organizativa </w:t>
            </w:r>
          </w:p>
          <w:p w:rsidR="00552B6D" w:rsidRPr="00552B6D" w:rsidRDefault="00552B6D" w:rsidP="00552B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las modificaciones de los convenios</w:t>
            </w:r>
          </w:p>
        </w:tc>
      </w:tr>
      <w:tr w:rsidR="00122AD8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22AD8" w:rsidRDefault="00122AD8" w:rsidP="00AA06BC">
            <w:r>
              <w:t>Fundación Centro de Estudios Financieros y Monetarios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22AD8" w:rsidRDefault="00122AD8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22AD8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22AD8">
              <w:rPr>
                <w:rFonts w:ascii="Century Gothic" w:hAnsi="Century Gothic"/>
                <w:sz w:val="18"/>
                <w:szCs w:val="18"/>
              </w:rPr>
              <w:t>Publicación de la fecha de actualización de la información.</w:t>
            </w:r>
          </w:p>
          <w:p w:rsidR="00122AD8" w:rsidRDefault="00122AD8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F8124E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 información sobre modificaciones de contratos adjudicados.</w:t>
            </w:r>
          </w:p>
          <w:p w:rsidR="00122AD8" w:rsidRDefault="00122AD8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 información estadística sobre contratación.</w:t>
            </w:r>
          </w:p>
          <w:p w:rsidR="00122AD8" w:rsidRDefault="00122AD8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de información sobre subvenciones y ayudas públicas.</w:t>
            </w:r>
          </w:p>
          <w:p w:rsidR="00122AD8" w:rsidRDefault="00122AD8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 los informes de auditoría y fiscalización elaborados por el Tribunal de Cuentas.</w:t>
            </w:r>
          </w:p>
          <w:p w:rsidR="00122AD8" w:rsidRDefault="00122AD8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Se ha completado la información sobre retribuciones.</w:t>
            </w:r>
          </w:p>
          <w:p w:rsidR="00122AD8" w:rsidRDefault="00122AD8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Publicación de información sobre indemnizaciones percibidas por altos cargos y máximos responsables.</w:t>
            </w:r>
          </w:p>
          <w:p w:rsidR="00122AD8" w:rsidRDefault="00122AD8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 Publicación de información sobre autorizaciones de compatibilidad concedidas a empleados</w:t>
            </w:r>
          </w:p>
          <w:p w:rsidR="00122AD8" w:rsidRPr="00122AD8" w:rsidRDefault="00122AD8" w:rsidP="0012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 Publicación de las autorizaciones para el ejercicio de actividades privadas al cese de altos cargos.</w:t>
            </w:r>
          </w:p>
        </w:tc>
      </w:tr>
      <w:tr w:rsidR="0046731D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46731D" w:rsidRDefault="0046731D" w:rsidP="00AA06BC">
            <w:r>
              <w:t>Fundación Lázaro Galdiano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46731D" w:rsidRDefault="0046731D" w:rsidP="00467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6731D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Actualización de la información sobre convenios.</w:t>
            </w:r>
          </w:p>
          <w:p w:rsidR="0046731D" w:rsidRPr="0046731D" w:rsidRDefault="0046731D" w:rsidP="004673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B9B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27B9B" w:rsidRDefault="00127B9B" w:rsidP="00AA06BC">
            <w:r>
              <w:t>Fundación UNED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27B9B" w:rsidRDefault="00127B9B" w:rsidP="00127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22A98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Publicación del Registro de Actividades de Tratamiento</w:t>
            </w:r>
          </w:p>
          <w:p w:rsidR="00127B9B" w:rsidRDefault="00127B9B" w:rsidP="00127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del perfil y trayectoria profesional de los máximos responsables.</w:t>
            </w:r>
          </w:p>
          <w:p w:rsidR="00127B9B" w:rsidRDefault="00127B9B" w:rsidP="00127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Se ha completado la información contenida en el organigrama.</w:t>
            </w:r>
          </w:p>
          <w:p w:rsidR="00127B9B" w:rsidRDefault="00127B9B" w:rsidP="00127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de información sobre modificaciones de contratos</w:t>
            </w:r>
          </w:p>
          <w:p w:rsidR="00127B9B" w:rsidRDefault="00127B9B" w:rsidP="00127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del Presupuesto</w:t>
            </w:r>
          </w:p>
          <w:p w:rsidR="00127B9B" w:rsidRPr="00B22A98" w:rsidRDefault="00127B9B" w:rsidP="008C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6. Publicación de los informes de auditoría y fiscalización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elaborados por el Tribunal de Cuentas.</w:t>
            </w:r>
          </w:p>
        </w:tc>
      </w:tr>
      <w:tr w:rsidR="00145C34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45C34" w:rsidRDefault="00145C34" w:rsidP="00AA06BC">
            <w:r>
              <w:lastRenderedPageBreak/>
              <w:t>Ingeniería y Economía del Transporte, SME  (INECO)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45C34" w:rsidRDefault="00145C34" w:rsidP="00145C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45C3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456CE">
              <w:rPr>
                <w:rFonts w:ascii="Century Gothic" w:hAnsi="Century Gothic"/>
                <w:sz w:val="18"/>
                <w:szCs w:val="18"/>
              </w:rPr>
              <w:t>Publicación de información sobre las subvenciones concedidas.</w:t>
            </w:r>
          </w:p>
          <w:p w:rsidR="003456CE" w:rsidRDefault="003456CE" w:rsidP="00145C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Se ha completado la información sobre convenios.</w:t>
            </w:r>
          </w:p>
          <w:p w:rsidR="00F77065" w:rsidRDefault="00F77065" w:rsidP="00145C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 información relativa a las indemnizaciones percibidas por altos cargos y máximos responsables con ocasión del cese.</w:t>
            </w:r>
          </w:p>
          <w:p w:rsidR="00F77065" w:rsidRDefault="00F77065" w:rsidP="00145C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Publicación de información sobre autorizaciones para el ejercicio de actividades privadas al cese de altos cargos. </w:t>
            </w:r>
          </w:p>
          <w:p w:rsidR="00F77065" w:rsidRDefault="00F77065" w:rsidP="00145C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 las autorizaciones de compatibilidad concedidas a empleados.</w:t>
            </w:r>
          </w:p>
          <w:p w:rsidR="00F77065" w:rsidRDefault="00F77065" w:rsidP="00145C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Publicación del organigrama en formato reutilizable.</w:t>
            </w:r>
          </w:p>
          <w:p w:rsidR="00F77065" w:rsidRPr="00145C34" w:rsidRDefault="00F77065" w:rsidP="00F770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Publicación de la fecha de actualización de la información.</w:t>
            </w:r>
          </w:p>
        </w:tc>
      </w:tr>
      <w:tr w:rsidR="00131D30" w:rsidRPr="00DE48E5" w:rsidTr="00E37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31D30" w:rsidRDefault="00131D30" w:rsidP="00AA06BC">
            <w:r>
              <w:t>Museo Nacional del Prado Difusión, SME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131D30" w:rsidRDefault="00131D30" w:rsidP="00131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31D30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31D30">
              <w:rPr>
                <w:rFonts w:ascii="Century Gothic" w:hAnsi="Century Gothic"/>
                <w:sz w:val="18"/>
                <w:szCs w:val="18"/>
              </w:rPr>
              <w:t>Publicación de los Estatutos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31D30" w:rsidRDefault="00131D30" w:rsidP="00131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 Publicación de la descripción  de la estructura organizativa </w:t>
            </w:r>
          </w:p>
          <w:p w:rsidR="00131D30" w:rsidRDefault="00131D30" w:rsidP="00131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del Organigrama</w:t>
            </w:r>
          </w:p>
          <w:p w:rsidR="00131D30" w:rsidRDefault="00131D30" w:rsidP="00131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Enlace a la información de identificación de los miembros de la Comisión Permanente del Real Patronato del Museo del Prado.</w:t>
            </w:r>
          </w:p>
          <w:p w:rsidR="00131D30" w:rsidRPr="00131D30" w:rsidRDefault="00131D30" w:rsidP="00131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Actualización de la información presupuestaria .</w:t>
            </w:r>
          </w:p>
        </w:tc>
      </w:tr>
      <w:tr w:rsidR="00FD48B4" w:rsidRPr="00DE48E5" w:rsidTr="00E378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FD48B4" w:rsidRDefault="00FD48B4" w:rsidP="00AA06BC">
            <w:r>
              <w:t>Valencia Parque Central SME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FD48B4" w:rsidRDefault="00FD48B4" w:rsidP="00FD48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D48B4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D48B4">
              <w:rPr>
                <w:rFonts w:ascii="Century Gothic" w:hAnsi="Century Gothic"/>
                <w:sz w:val="18"/>
                <w:szCs w:val="18"/>
              </w:rPr>
              <w:t>Publicación de la estructura organizativa</w:t>
            </w:r>
          </w:p>
          <w:p w:rsidR="00FD48B4" w:rsidRDefault="00FD48B4" w:rsidP="00FD48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del Organigrama</w:t>
            </w:r>
          </w:p>
          <w:p w:rsidR="00FD48B4" w:rsidRDefault="00FD48B4" w:rsidP="00FD48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 los Presupuestos</w:t>
            </w:r>
          </w:p>
          <w:p w:rsidR="00FD48B4" w:rsidRPr="00FD48B4" w:rsidRDefault="00FD48B4" w:rsidP="00FD48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de la fecha de actualización de la información del Portal de Transparencia</w:t>
            </w:r>
          </w:p>
        </w:tc>
      </w:tr>
    </w:tbl>
    <w:p w:rsidR="005169E2" w:rsidRPr="005169E2" w:rsidRDefault="005169E2" w:rsidP="005169E2">
      <w:pPr>
        <w:jc w:val="both"/>
        <w:rPr>
          <w:rFonts w:ascii="Century Gothic" w:hAnsi="Century Gothic"/>
        </w:rPr>
      </w:pPr>
      <w:bookmarkStart w:id="0" w:name="_GoBack"/>
      <w:bookmarkEnd w:id="0"/>
    </w:p>
    <w:sectPr w:rsidR="005169E2" w:rsidRPr="00516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CE" w:rsidRDefault="003456CE" w:rsidP="00314A83">
      <w:pPr>
        <w:spacing w:after="0" w:line="240" w:lineRule="auto"/>
      </w:pPr>
      <w:r>
        <w:separator/>
      </w:r>
    </w:p>
  </w:endnote>
  <w:endnote w:type="continuationSeparator" w:id="0">
    <w:p w:rsidR="003456CE" w:rsidRDefault="003456CE" w:rsidP="0031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CE" w:rsidRDefault="003456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CE" w:rsidRDefault="003456C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CE" w:rsidRDefault="003456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CE" w:rsidRDefault="003456CE" w:rsidP="00314A83">
      <w:pPr>
        <w:spacing w:after="0" w:line="240" w:lineRule="auto"/>
      </w:pPr>
      <w:r>
        <w:separator/>
      </w:r>
    </w:p>
  </w:footnote>
  <w:footnote w:type="continuationSeparator" w:id="0">
    <w:p w:rsidR="003456CE" w:rsidRDefault="003456CE" w:rsidP="0031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CE" w:rsidRDefault="003456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CE" w:rsidRDefault="003456C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CE" w:rsidRDefault="003456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ACB"/>
    <w:multiLevelType w:val="hybridMultilevel"/>
    <w:tmpl w:val="25C2C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1CD9"/>
    <w:multiLevelType w:val="hybridMultilevel"/>
    <w:tmpl w:val="41C0EE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6194"/>
    <w:multiLevelType w:val="hybridMultilevel"/>
    <w:tmpl w:val="45EE2C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C2B03"/>
    <w:multiLevelType w:val="hybridMultilevel"/>
    <w:tmpl w:val="0C30E1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D35DC"/>
    <w:multiLevelType w:val="hybridMultilevel"/>
    <w:tmpl w:val="3BE67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4366E"/>
    <w:multiLevelType w:val="hybridMultilevel"/>
    <w:tmpl w:val="055296DA"/>
    <w:lvl w:ilvl="0" w:tplc="CEC6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F71F4"/>
    <w:multiLevelType w:val="hybridMultilevel"/>
    <w:tmpl w:val="3A22B2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82EFC"/>
    <w:multiLevelType w:val="hybridMultilevel"/>
    <w:tmpl w:val="C7908E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B04C8"/>
    <w:multiLevelType w:val="hybridMultilevel"/>
    <w:tmpl w:val="8C541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57AA9"/>
    <w:multiLevelType w:val="hybridMultilevel"/>
    <w:tmpl w:val="1EE49162"/>
    <w:lvl w:ilvl="0" w:tplc="49EE9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56171"/>
    <w:multiLevelType w:val="hybridMultilevel"/>
    <w:tmpl w:val="F58C8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9221B"/>
    <w:multiLevelType w:val="hybridMultilevel"/>
    <w:tmpl w:val="6E123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70625"/>
    <w:multiLevelType w:val="hybridMultilevel"/>
    <w:tmpl w:val="256E5F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12F09"/>
    <w:multiLevelType w:val="hybridMultilevel"/>
    <w:tmpl w:val="B3C65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C13D9"/>
    <w:multiLevelType w:val="hybridMultilevel"/>
    <w:tmpl w:val="C88E7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215C5"/>
    <w:multiLevelType w:val="hybridMultilevel"/>
    <w:tmpl w:val="01FA1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0361F"/>
    <w:multiLevelType w:val="hybridMultilevel"/>
    <w:tmpl w:val="76C04170"/>
    <w:lvl w:ilvl="0" w:tplc="B812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F63D2"/>
    <w:multiLevelType w:val="hybridMultilevel"/>
    <w:tmpl w:val="4B3EEB8A"/>
    <w:lvl w:ilvl="0" w:tplc="9806B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8730C"/>
    <w:multiLevelType w:val="hybridMultilevel"/>
    <w:tmpl w:val="2F3A0C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5143E"/>
    <w:multiLevelType w:val="hybridMultilevel"/>
    <w:tmpl w:val="C6BE083E"/>
    <w:lvl w:ilvl="0" w:tplc="9806B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060E2"/>
    <w:multiLevelType w:val="hybridMultilevel"/>
    <w:tmpl w:val="0032C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23519"/>
    <w:multiLevelType w:val="hybridMultilevel"/>
    <w:tmpl w:val="5F3857A6"/>
    <w:lvl w:ilvl="0" w:tplc="73FC1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046B6"/>
    <w:multiLevelType w:val="hybridMultilevel"/>
    <w:tmpl w:val="EBF829EA"/>
    <w:lvl w:ilvl="0" w:tplc="B4244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51733"/>
    <w:multiLevelType w:val="hybridMultilevel"/>
    <w:tmpl w:val="20BE7944"/>
    <w:lvl w:ilvl="0" w:tplc="9806B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41BC4"/>
    <w:multiLevelType w:val="hybridMultilevel"/>
    <w:tmpl w:val="DE3074F8"/>
    <w:lvl w:ilvl="0" w:tplc="F3802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E1089"/>
    <w:multiLevelType w:val="hybridMultilevel"/>
    <w:tmpl w:val="F22AF82E"/>
    <w:lvl w:ilvl="0" w:tplc="79E0F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17AE8"/>
    <w:multiLevelType w:val="hybridMultilevel"/>
    <w:tmpl w:val="B91E6D86"/>
    <w:lvl w:ilvl="0" w:tplc="E536D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73DC0"/>
    <w:multiLevelType w:val="hybridMultilevel"/>
    <w:tmpl w:val="16EE23FA"/>
    <w:lvl w:ilvl="0" w:tplc="515A6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0106"/>
    <w:multiLevelType w:val="hybridMultilevel"/>
    <w:tmpl w:val="34A02828"/>
    <w:lvl w:ilvl="0" w:tplc="73FC1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65CFA"/>
    <w:multiLevelType w:val="hybridMultilevel"/>
    <w:tmpl w:val="0292071C"/>
    <w:lvl w:ilvl="0" w:tplc="0750C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840C2"/>
    <w:multiLevelType w:val="hybridMultilevel"/>
    <w:tmpl w:val="D3EEE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D0951"/>
    <w:multiLevelType w:val="hybridMultilevel"/>
    <w:tmpl w:val="8D42C15E"/>
    <w:lvl w:ilvl="0" w:tplc="C728D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E696A"/>
    <w:multiLevelType w:val="hybridMultilevel"/>
    <w:tmpl w:val="2990C6BE"/>
    <w:lvl w:ilvl="0" w:tplc="515A6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22"/>
  </w:num>
  <w:num w:numId="5">
    <w:abstractNumId w:val="5"/>
  </w:num>
  <w:num w:numId="6">
    <w:abstractNumId w:val="16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30"/>
  </w:num>
  <w:num w:numId="12">
    <w:abstractNumId w:val="13"/>
  </w:num>
  <w:num w:numId="13">
    <w:abstractNumId w:val="20"/>
  </w:num>
  <w:num w:numId="14">
    <w:abstractNumId w:val="18"/>
  </w:num>
  <w:num w:numId="15">
    <w:abstractNumId w:val="8"/>
  </w:num>
  <w:num w:numId="16">
    <w:abstractNumId w:val="14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21"/>
  </w:num>
  <w:num w:numId="22">
    <w:abstractNumId w:val="28"/>
  </w:num>
  <w:num w:numId="23">
    <w:abstractNumId w:val="31"/>
  </w:num>
  <w:num w:numId="24">
    <w:abstractNumId w:val="32"/>
  </w:num>
  <w:num w:numId="25">
    <w:abstractNumId w:val="27"/>
  </w:num>
  <w:num w:numId="26">
    <w:abstractNumId w:val="17"/>
  </w:num>
  <w:num w:numId="27">
    <w:abstractNumId w:val="23"/>
  </w:num>
  <w:num w:numId="28">
    <w:abstractNumId w:val="19"/>
  </w:num>
  <w:num w:numId="29">
    <w:abstractNumId w:val="0"/>
  </w:num>
  <w:num w:numId="30">
    <w:abstractNumId w:val="1"/>
  </w:num>
  <w:num w:numId="31">
    <w:abstractNumId w:val="2"/>
  </w:num>
  <w:num w:numId="32">
    <w:abstractNumId w:val="1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2"/>
    <w:rsid w:val="00017216"/>
    <w:rsid w:val="00046C68"/>
    <w:rsid w:val="000B40E1"/>
    <w:rsid w:val="000C465A"/>
    <w:rsid w:val="000E349F"/>
    <w:rsid w:val="000E3B9C"/>
    <w:rsid w:val="000F78AC"/>
    <w:rsid w:val="00122AD8"/>
    <w:rsid w:val="00127B9B"/>
    <w:rsid w:val="00131D30"/>
    <w:rsid w:val="00145C34"/>
    <w:rsid w:val="00166FD9"/>
    <w:rsid w:val="001B79E2"/>
    <w:rsid w:val="002201D2"/>
    <w:rsid w:val="00277F0E"/>
    <w:rsid w:val="00292913"/>
    <w:rsid w:val="002B3D52"/>
    <w:rsid w:val="00314063"/>
    <w:rsid w:val="00314A83"/>
    <w:rsid w:val="00324B7E"/>
    <w:rsid w:val="00331424"/>
    <w:rsid w:val="003415C9"/>
    <w:rsid w:val="003456CE"/>
    <w:rsid w:val="0034747E"/>
    <w:rsid w:val="00355D64"/>
    <w:rsid w:val="003C1004"/>
    <w:rsid w:val="003F538F"/>
    <w:rsid w:val="00436B5F"/>
    <w:rsid w:val="0046731D"/>
    <w:rsid w:val="004907D9"/>
    <w:rsid w:val="005169E2"/>
    <w:rsid w:val="00532359"/>
    <w:rsid w:val="00552B6D"/>
    <w:rsid w:val="005D1143"/>
    <w:rsid w:val="005D6222"/>
    <w:rsid w:val="005F4C56"/>
    <w:rsid w:val="006B69C3"/>
    <w:rsid w:val="006D6A00"/>
    <w:rsid w:val="0075341F"/>
    <w:rsid w:val="0077673E"/>
    <w:rsid w:val="00776DB8"/>
    <w:rsid w:val="00830D38"/>
    <w:rsid w:val="008469F3"/>
    <w:rsid w:val="008C4712"/>
    <w:rsid w:val="008C617B"/>
    <w:rsid w:val="008C76E5"/>
    <w:rsid w:val="008C7B42"/>
    <w:rsid w:val="008F5493"/>
    <w:rsid w:val="009953DF"/>
    <w:rsid w:val="009A20F6"/>
    <w:rsid w:val="009A771B"/>
    <w:rsid w:val="00A419D0"/>
    <w:rsid w:val="00AA06BC"/>
    <w:rsid w:val="00AF711A"/>
    <w:rsid w:val="00B046B7"/>
    <w:rsid w:val="00B22A98"/>
    <w:rsid w:val="00B2451E"/>
    <w:rsid w:val="00B3186D"/>
    <w:rsid w:val="00B3743A"/>
    <w:rsid w:val="00B71300"/>
    <w:rsid w:val="00BF138B"/>
    <w:rsid w:val="00C37A28"/>
    <w:rsid w:val="00CF47E9"/>
    <w:rsid w:val="00D8508F"/>
    <w:rsid w:val="00DC4115"/>
    <w:rsid w:val="00DE48E5"/>
    <w:rsid w:val="00DE6F40"/>
    <w:rsid w:val="00DF402C"/>
    <w:rsid w:val="00E20F32"/>
    <w:rsid w:val="00E2238A"/>
    <w:rsid w:val="00E3384C"/>
    <w:rsid w:val="00E3783A"/>
    <w:rsid w:val="00E54FD7"/>
    <w:rsid w:val="00E62DCF"/>
    <w:rsid w:val="00E648D4"/>
    <w:rsid w:val="00EA4176"/>
    <w:rsid w:val="00F10234"/>
    <w:rsid w:val="00F77065"/>
    <w:rsid w:val="00F8124E"/>
    <w:rsid w:val="00F86C60"/>
    <w:rsid w:val="00FA41A2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83"/>
  </w:style>
  <w:style w:type="paragraph" w:styleId="Piedepgina">
    <w:name w:val="footer"/>
    <w:basedOn w:val="Normal"/>
    <w:link w:val="Piedepgina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83"/>
  </w:style>
  <w:style w:type="paragraph" w:styleId="Piedepgina">
    <w:name w:val="footer"/>
    <w:basedOn w:val="Normal"/>
    <w:link w:val="PiedepginaCar"/>
    <w:uiPriority w:val="99"/>
    <w:unhideWhenUsed/>
    <w:rsid w:val="00314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5791</Characters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2023-05-31T15:51:00Z</dcterms:created>
  <dcterms:modified xsi:type="dcterms:W3CDTF">2023-07-11T11:45:00Z</dcterms:modified>
</cp:coreProperties>
</file>