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9F1AA4" w:rsidRDefault="00DF25D7">
      <w:pPr>
        <w:rPr>
          <w:rFonts w:ascii="Mulish" w:hAnsi="Mulish"/>
        </w:rPr>
      </w:pPr>
      <w:r w:rsidRPr="009F1AA4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Default="0097206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Default="00F136C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9F1AA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9F1AA4" w:rsidRDefault="0082470D">
      <w:pPr>
        <w:rPr>
          <w:rFonts w:ascii="Mulish" w:hAnsi="Mulish"/>
        </w:rPr>
      </w:pPr>
    </w:p>
    <w:p w14:paraId="00CD97DB" w14:textId="77777777" w:rsidR="0082470D" w:rsidRPr="009F1AA4" w:rsidRDefault="0082470D">
      <w:pPr>
        <w:rPr>
          <w:rFonts w:ascii="Mulish" w:hAnsi="Mulish"/>
        </w:rPr>
      </w:pPr>
    </w:p>
    <w:p w14:paraId="6A476580" w14:textId="77777777" w:rsidR="0082470D" w:rsidRPr="009F1AA4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9F1AA4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9F1AA4" w:rsidRDefault="00751FAA" w:rsidP="0082470D">
      <w:pPr>
        <w:rPr>
          <w:rFonts w:ascii="Mulish" w:hAnsi="Mulish"/>
          <w:b/>
          <w:sz w:val="36"/>
        </w:rPr>
      </w:pPr>
      <w:r w:rsidRPr="009F1AA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9F1AA4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9F1AA4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9F1AA4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9F1AA4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9F1AA4" w14:paraId="69022734" w14:textId="77777777" w:rsidTr="00623CFC">
        <w:tc>
          <w:tcPr>
            <w:tcW w:w="3625" w:type="dxa"/>
          </w:tcPr>
          <w:p w14:paraId="705ACB26" w14:textId="77777777" w:rsidR="00623CFC" w:rsidRPr="009F1AA4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9F1AA4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4C2EE0C8" w:rsidR="00623CFC" w:rsidRPr="009F1AA4" w:rsidRDefault="004264BC" w:rsidP="00B77E42">
            <w:pPr>
              <w:rPr>
                <w:rFonts w:ascii="Mulish" w:hAnsi="Mulish"/>
                <w:sz w:val="24"/>
              </w:rPr>
            </w:pPr>
            <w:r w:rsidRPr="009F1AA4">
              <w:rPr>
                <w:rFonts w:ascii="Mulish" w:hAnsi="Mulish"/>
                <w:sz w:val="24"/>
              </w:rPr>
              <w:t>Consejo de Seguridad Nuclear (CSN)</w:t>
            </w:r>
          </w:p>
        </w:tc>
      </w:tr>
      <w:tr w:rsidR="00623CFC" w:rsidRPr="009F1AA4" w14:paraId="0EABDAFA" w14:textId="77777777" w:rsidTr="00623CFC">
        <w:tc>
          <w:tcPr>
            <w:tcW w:w="3625" w:type="dxa"/>
          </w:tcPr>
          <w:p w14:paraId="12A6D2F4" w14:textId="77777777" w:rsidR="00623CFC" w:rsidRPr="009F1AA4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9F1AA4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54D998FF" w:rsidR="00623CFC" w:rsidRPr="009F1AA4" w:rsidRDefault="004E0598" w:rsidP="00B77E42">
            <w:pPr>
              <w:rPr>
                <w:rFonts w:ascii="Mulish" w:hAnsi="Mulish"/>
                <w:sz w:val="24"/>
              </w:rPr>
            </w:pPr>
            <w:r w:rsidRPr="009F1AA4">
              <w:rPr>
                <w:rFonts w:ascii="Mulish" w:hAnsi="Mulish"/>
                <w:sz w:val="24"/>
              </w:rPr>
              <w:t>02/04/2024</w:t>
            </w:r>
          </w:p>
          <w:p w14:paraId="4B837EFF" w14:textId="0BDC4B1E" w:rsidR="00623CFC" w:rsidRPr="009F1AA4" w:rsidRDefault="00623CFC" w:rsidP="00B77E42">
            <w:pPr>
              <w:rPr>
                <w:rFonts w:ascii="Mulish" w:hAnsi="Mulish"/>
                <w:sz w:val="24"/>
              </w:rPr>
            </w:pPr>
            <w:r w:rsidRPr="009F1AA4">
              <w:rPr>
                <w:rFonts w:ascii="Mulish" w:hAnsi="Mulish"/>
                <w:sz w:val="24"/>
              </w:rPr>
              <w:t>Segunda revisión</w:t>
            </w:r>
            <w:r w:rsidR="004E0598" w:rsidRPr="009F1AA4">
              <w:rPr>
                <w:rFonts w:ascii="Mulish" w:hAnsi="Mulish"/>
                <w:sz w:val="24"/>
              </w:rPr>
              <w:t>:</w:t>
            </w:r>
            <w:r w:rsidR="009F1AA4" w:rsidRPr="009F1AA4">
              <w:rPr>
                <w:rFonts w:ascii="Mulish" w:hAnsi="Mulish"/>
                <w:sz w:val="24"/>
              </w:rPr>
              <w:t xml:space="preserve"> 12/06/2024</w:t>
            </w:r>
          </w:p>
        </w:tc>
      </w:tr>
    </w:tbl>
    <w:p w14:paraId="460832EE" w14:textId="77777777" w:rsidR="00623CFC" w:rsidRPr="009F1AA4" w:rsidRDefault="00623CFC" w:rsidP="00415DBD">
      <w:pPr>
        <w:rPr>
          <w:rFonts w:ascii="Mulish" w:hAnsi="Mulish"/>
        </w:rPr>
      </w:pPr>
    </w:p>
    <w:p w14:paraId="5C6C9FDA" w14:textId="77777777" w:rsidR="00623CFC" w:rsidRPr="009F1AA4" w:rsidRDefault="00623CFC" w:rsidP="00415DBD">
      <w:pPr>
        <w:rPr>
          <w:rFonts w:ascii="Mulish" w:hAnsi="Mulish"/>
        </w:rPr>
      </w:pPr>
    </w:p>
    <w:p w14:paraId="2A8B3BDC" w14:textId="77777777" w:rsidR="0082470D" w:rsidRPr="009F1AA4" w:rsidRDefault="00972060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9F1AA4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9F1AA4" w:rsidRDefault="0082470D" w:rsidP="0082470D">
      <w:pPr>
        <w:rPr>
          <w:rFonts w:ascii="Mulish" w:hAnsi="Mulish"/>
        </w:rPr>
      </w:pPr>
    </w:p>
    <w:p w14:paraId="79FB20F4" w14:textId="77777777" w:rsidR="00760E4B" w:rsidRPr="009F1AA4" w:rsidRDefault="00760E4B" w:rsidP="003E564B">
      <w:pPr>
        <w:pStyle w:val="Cuerpodelboletn"/>
        <w:rPr>
          <w:rFonts w:ascii="Mulish" w:hAnsi="Mulish"/>
        </w:rPr>
        <w:sectPr w:rsidR="00760E4B" w:rsidRPr="009F1AA4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249BB" w:rsidRPr="009F1AA4" w14:paraId="20B915EC" w14:textId="77777777" w:rsidTr="004E0598">
        <w:tc>
          <w:tcPr>
            <w:tcW w:w="1661" w:type="dxa"/>
            <w:shd w:val="clear" w:color="auto" w:fill="008A3E"/>
          </w:tcPr>
          <w:p w14:paraId="322C3903" w14:textId="77777777" w:rsidR="00A249BB" w:rsidRPr="009F1AA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F1AA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008A3E"/>
          </w:tcPr>
          <w:p w14:paraId="6593F20B" w14:textId="77777777" w:rsidR="00A249BB" w:rsidRPr="009F1AA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F1AA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008A3E"/>
          </w:tcPr>
          <w:p w14:paraId="77B9748C" w14:textId="77777777" w:rsidR="00A249BB" w:rsidRPr="009F1AA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F1AA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9F1AA4" w14:paraId="4E526B9A" w14:textId="77777777" w:rsidTr="004E0598">
        <w:tc>
          <w:tcPr>
            <w:tcW w:w="1661" w:type="dxa"/>
            <w:vMerge w:val="restart"/>
            <w:vAlign w:val="center"/>
          </w:tcPr>
          <w:p w14:paraId="778ACA55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0278811" w14:textId="77777777" w:rsidR="00D77D83" w:rsidRPr="009F1AA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9BC7F3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F1AA4" w14:paraId="57F659DE" w14:textId="77777777" w:rsidTr="004E0598">
        <w:tc>
          <w:tcPr>
            <w:tcW w:w="1661" w:type="dxa"/>
            <w:vMerge/>
          </w:tcPr>
          <w:p w14:paraId="4AF6C0DF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006F714" w14:textId="77777777" w:rsidR="00D77D83" w:rsidRPr="009F1AA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17370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F1AA4" w14:paraId="27402B8A" w14:textId="77777777" w:rsidTr="004E0598">
        <w:tc>
          <w:tcPr>
            <w:tcW w:w="1661" w:type="dxa"/>
            <w:vMerge/>
          </w:tcPr>
          <w:p w14:paraId="20E26CBF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D6648DC" w14:textId="77777777" w:rsidR="00D77D83" w:rsidRPr="009F1AA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05F2CB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F1AA4" w14:paraId="7F1C0DEC" w14:textId="77777777" w:rsidTr="004E0598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E246E94" w14:textId="77777777" w:rsidR="00D77D83" w:rsidRPr="009F1AA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B3143B" w14:textId="77777777" w:rsidR="00D77D83" w:rsidRPr="009F1AA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9F1AA4" w14:paraId="25FD81B6" w14:textId="77777777" w:rsidTr="004E059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9F1AA4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9F1AA4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2BE8DB6" w14:textId="77777777" w:rsidR="005B11B3" w:rsidRPr="009F1AA4" w:rsidRDefault="005B1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4F585B" w14:textId="77777777" w:rsidR="005B11B3" w:rsidRPr="009F1AA4" w:rsidRDefault="005B1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7F8723A8" w14:textId="77777777" w:rsidTr="004E0598">
        <w:tc>
          <w:tcPr>
            <w:tcW w:w="1661" w:type="dxa"/>
            <w:vMerge/>
            <w:vAlign w:val="center"/>
          </w:tcPr>
          <w:p w14:paraId="39CCF68C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0DD5E3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BD32D8C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3E7A1C26" w14:textId="77777777" w:rsidTr="004E0598">
        <w:tc>
          <w:tcPr>
            <w:tcW w:w="1661" w:type="dxa"/>
            <w:vMerge/>
            <w:vAlign w:val="center"/>
          </w:tcPr>
          <w:p w14:paraId="7E6FCF06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22662812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auto"/>
          </w:tcPr>
          <w:p w14:paraId="441BFD00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0C5C744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5188F761" w14:textId="77777777" w:rsidTr="004E0598">
        <w:tc>
          <w:tcPr>
            <w:tcW w:w="1661" w:type="dxa"/>
            <w:vMerge/>
            <w:vAlign w:val="center"/>
          </w:tcPr>
          <w:p w14:paraId="6D96AA3B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A565035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FEECC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0E100D74" w14:textId="77777777" w:rsidTr="004E0598">
        <w:tc>
          <w:tcPr>
            <w:tcW w:w="1661" w:type="dxa"/>
            <w:vMerge/>
            <w:vAlign w:val="center"/>
          </w:tcPr>
          <w:p w14:paraId="0E87140A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BBBAD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B30813B" w14:textId="77777777" w:rsidR="00F361B3" w:rsidRPr="009F1AA4" w:rsidRDefault="00F361B3" w:rsidP="004264BC">
            <w:pPr>
              <w:ind w:left="72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DA76E5" w14:textId="0C0FB2B1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03D79CE5" w14:textId="77777777" w:rsidTr="004E0598">
        <w:tc>
          <w:tcPr>
            <w:tcW w:w="1661" w:type="dxa"/>
            <w:vMerge/>
            <w:vAlign w:val="center"/>
          </w:tcPr>
          <w:p w14:paraId="18E0E1F3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7BA24B8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B1F88FF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01720E37" w14:textId="77777777" w:rsidTr="004E0598">
        <w:tc>
          <w:tcPr>
            <w:tcW w:w="1661" w:type="dxa"/>
            <w:vMerge/>
            <w:vAlign w:val="center"/>
          </w:tcPr>
          <w:p w14:paraId="01AAB338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36926B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99C04D4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7C1D17D4" w14:textId="77777777" w:rsidTr="004E0598">
        <w:tc>
          <w:tcPr>
            <w:tcW w:w="1661" w:type="dxa"/>
            <w:vMerge/>
            <w:vAlign w:val="center"/>
          </w:tcPr>
          <w:p w14:paraId="0F97F540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3A8649A" w14:textId="0E710A51" w:rsidR="00F361B3" w:rsidRPr="009F1AA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auto"/>
          </w:tcPr>
          <w:p w14:paraId="7E2850CE" w14:textId="77777777" w:rsidR="00F361B3" w:rsidRPr="009F1AA4" w:rsidRDefault="00F361B3" w:rsidP="004264BC">
            <w:pPr>
              <w:ind w:left="72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BB0E3B9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0EA6C8C5" w14:textId="77777777" w:rsidTr="004E0598">
        <w:tc>
          <w:tcPr>
            <w:tcW w:w="1661" w:type="dxa"/>
            <w:vMerge/>
            <w:vAlign w:val="center"/>
          </w:tcPr>
          <w:p w14:paraId="03282850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69F4820" w14:textId="77777777" w:rsidR="00F361B3" w:rsidRPr="009F1AA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auto"/>
          </w:tcPr>
          <w:p w14:paraId="179EBCE9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FC1F37D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6338E894" w14:textId="77777777" w:rsidTr="004E0598">
        <w:tc>
          <w:tcPr>
            <w:tcW w:w="1661" w:type="dxa"/>
            <w:vMerge/>
            <w:vAlign w:val="center"/>
          </w:tcPr>
          <w:p w14:paraId="2F70F68C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clear" w:color="auto" w:fill="auto"/>
          </w:tcPr>
          <w:p w14:paraId="1BAF2F8E" w14:textId="77777777" w:rsidR="00F361B3" w:rsidRPr="009F1AA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</w:tcPr>
          <w:p w14:paraId="2AC01422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25D12303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77FDFB7D" w14:textId="77777777" w:rsidTr="004E0598">
        <w:tc>
          <w:tcPr>
            <w:tcW w:w="1661" w:type="dxa"/>
            <w:vMerge/>
            <w:vAlign w:val="center"/>
          </w:tcPr>
          <w:p w14:paraId="193F6257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C5EA6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B7E53E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23451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370980B3" w14:textId="77777777" w:rsidTr="004E0598">
        <w:tc>
          <w:tcPr>
            <w:tcW w:w="1661" w:type="dxa"/>
            <w:vMerge/>
            <w:vAlign w:val="center"/>
          </w:tcPr>
          <w:p w14:paraId="65A5E91D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28ECDD5F" w14:textId="77777777" w:rsidR="00F361B3" w:rsidRPr="009F1AA4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auto"/>
          </w:tcPr>
          <w:p w14:paraId="21F54534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96C9E80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21918000" w14:textId="77777777" w:rsidTr="004E0598">
        <w:tc>
          <w:tcPr>
            <w:tcW w:w="1661" w:type="dxa"/>
            <w:vMerge/>
            <w:vAlign w:val="center"/>
          </w:tcPr>
          <w:p w14:paraId="029B1199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4E1CFA" w14:textId="77777777" w:rsidR="00F361B3" w:rsidRPr="009F1AA4" w:rsidRDefault="00F361B3" w:rsidP="0016776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BA9922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7E530259" w14:textId="77777777" w:rsidTr="004E0598">
        <w:tc>
          <w:tcPr>
            <w:tcW w:w="1661" w:type="dxa"/>
            <w:vMerge/>
            <w:vAlign w:val="center"/>
          </w:tcPr>
          <w:p w14:paraId="65E840E3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A0E29D8" w14:textId="77777777" w:rsidR="00F361B3" w:rsidRPr="009F1AA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auto"/>
          </w:tcPr>
          <w:p w14:paraId="2C681418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2FD7A148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60CA308C" w14:textId="77777777" w:rsidTr="004E0598">
        <w:tc>
          <w:tcPr>
            <w:tcW w:w="1661" w:type="dxa"/>
            <w:vMerge/>
            <w:vAlign w:val="center"/>
          </w:tcPr>
          <w:p w14:paraId="518DFD34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F378AE2" w14:textId="77777777" w:rsidR="00F361B3" w:rsidRPr="009F1AA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auto"/>
          </w:tcPr>
          <w:p w14:paraId="20D7D586" w14:textId="77777777" w:rsidR="00F361B3" w:rsidRPr="009F1AA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3272BDB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F1AA4" w14:paraId="6CC992DC" w14:textId="77777777" w:rsidTr="004E0598">
        <w:tc>
          <w:tcPr>
            <w:tcW w:w="1661" w:type="dxa"/>
            <w:vMerge/>
            <w:vAlign w:val="center"/>
          </w:tcPr>
          <w:p w14:paraId="47B54958" w14:textId="77777777" w:rsidR="00F361B3" w:rsidRPr="009F1AA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0CB90AF" w14:textId="176833B0" w:rsidR="00F361B3" w:rsidRPr="009F1AA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Datos estadísticos sobre contratos</w:t>
            </w:r>
            <w:r w:rsidR="00112D14" w:rsidRPr="009F1AA4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1444" w:type="dxa"/>
            <w:shd w:val="clear" w:color="auto" w:fill="auto"/>
          </w:tcPr>
          <w:p w14:paraId="6C7A49A3" w14:textId="77777777" w:rsidR="00F361B3" w:rsidRPr="009F1AA4" w:rsidRDefault="00F361B3" w:rsidP="0016776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2A67D7AB" w14:textId="3172AD1E" w:rsidR="00F361B3" w:rsidRPr="009F1AA4" w:rsidRDefault="00112D14" w:rsidP="002E1A55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0B4D50" w:rsidRPr="009F1AA4" w14:paraId="3C8808F4" w14:textId="77777777" w:rsidTr="000B4D50">
        <w:tc>
          <w:tcPr>
            <w:tcW w:w="1661" w:type="dxa"/>
            <w:vMerge/>
            <w:vAlign w:val="center"/>
          </w:tcPr>
          <w:p w14:paraId="3419E00A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FB49E1F" w14:textId="21D071C4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22F7D6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8A87C9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6E029383" w14:textId="77777777" w:rsidTr="004E0598">
        <w:tc>
          <w:tcPr>
            <w:tcW w:w="1661" w:type="dxa"/>
            <w:vMerge/>
            <w:vAlign w:val="center"/>
          </w:tcPr>
          <w:p w14:paraId="0C13F6AA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4EA8B3B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4EC4E78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88B2B22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6E9F2F8F" w14:textId="77777777" w:rsidTr="004E0598">
        <w:tc>
          <w:tcPr>
            <w:tcW w:w="1661" w:type="dxa"/>
            <w:vMerge/>
            <w:vAlign w:val="center"/>
          </w:tcPr>
          <w:p w14:paraId="73E1F276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B4BEFCA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B3AECE8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3F1DD625" w14:textId="77777777" w:rsidTr="004E0598">
        <w:tc>
          <w:tcPr>
            <w:tcW w:w="1661" w:type="dxa"/>
            <w:vMerge/>
            <w:vAlign w:val="center"/>
          </w:tcPr>
          <w:p w14:paraId="6BF07263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2614079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auto"/>
          </w:tcPr>
          <w:p w14:paraId="67F302D9" w14:textId="18503916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0C13512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5B009B82" w14:textId="77777777" w:rsidTr="004E0598">
        <w:tc>
          <w:tcPr>
            <w:tcW w:w="1661" w:type="dxa"/>
            <w:vMerge/>
            <w:vAlign w:val="center"/>
          </w:tcPr>
          <w:p w14:paraId="76AD24C7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6B68D03D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auto"/>
          </w:tcPr>
          <w:p w14:paraId="2F09AE5F" w14:textId="44DAC8A5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auto"/>
          </w:tcPr>
          <w:p w14:paraId="21732FE1" w14:textId="67725228" w:rsidR="000B4D50" w:rsidRPr="009F1AA4" w:rsidRDefault="009F1AA4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0B4D50" w:rsidRPr="009F1AA4" w14:paraId="4E136257" w14:textId="77777777" w:rsidTr="004E0598">
        <w:tc>
          <w:tcPr>
            <w:tcW w:w="1661" w:type="dxa"/>
            <w:vMerge/>
            <w:vAlign w:val="center"/>
          </w:tcPr>
          <w:p w14:paraId="415AC316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AFC4E" w14:textId="3549E058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AE29F5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8C6BE1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48BA35CC" w14:textId="77777777" w:rsidTr="004E0598">
        <w:tc>
          <w:tcPr>
            <w:tcW w:w="1661" w:type="dxa"/>
            <w:vMerge/>
            <w:vAlign w:val="center"/>
          </w:tcPr>
          <w:p w14:paraId="58B08802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075E9DDB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53DA87F7" w14:textId="77777777" w:rsidR="000B4D50" w:rsidRPr="009F1AA4" w:rsidRDefault="000B4D50" w:rsidP="000B4D50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19EEB6C" w14:textId="2385E46D" w:rsidR="000B4D50" w:rsidRPr="009F1AA4" w:rsidRDefault="00112D14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0B4D50" w:rsidRPr="009F1AA4" w14:paraId="5AD8D378" w14:textId="77777777" w:rsidTr="004E0598">
        <w:tc>
          <w:tcPr>
            <w:tcW w:w="1661" w:type="dxa"/>
            <w:vMerge/>
            <w:vAlign w:val="center"/>
          </w:tcPr>
          <w:p w14:paraId="2AAEA95B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9A3C9A0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auto"/>
          </w:tcPr>
          <w:p w14:paraId="6B7AB020" w14:textId="77777777" w:rsidR="000B4D50" w:rsidRPr="009F1AA4" w:rsidRDefault="000B4D50" w:rsidP="000B4D50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CC3B3E2" w14:textId="22DDD498" w:rsidR="000B4D50" w:rsidRPr="009F1AA4" w:rsidRDefault="00112D14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0B4D50" w:rsidRPr="009F1AA4" w14:paraId="1A7F527C" w14:textId="77777777" w:rsidTr="004E0598">
        <w:tc>
          <w:tcPr>
            <w:tcW w:w="1661" w:type="dxa"/>
            <w:vMerge/>
            <w:vAlign w:val="center"/>
          </w:tcPr>
          <w:p w14:paraId="4B3591C9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6126BB23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auto"/>
          </w:tcPr>
          <w:p w14:paraId="25E615DE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6E1AB8F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77D5A25D" w14:textId="77777777" w:rsidTr="004E0598">
        <w:tc>
          <w:tcPr>
            <w:tcW w:w="1661" w:type="dxa"/>
            <w:vMerge/>
            <w:vAlign w:val="center"/>
          </w:tcPr>
          <w:p w14:paraId="218C281B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8EB4B1C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auto"/>
          </w:tcPr>
          <w:p w14:paraId="15AD2699" w14:textId="3331988C" w:rsidR="000B4D50" w:rsidRPr="009F1AA4" w:rsidRDefault="000B4D50" w:rsidP="00112D14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2EAE829E" w14:textId="6C5302DC" w:rsidR="000B4D50" w:rsidRPr="009F1AA4" w:rsidRDefault="00112D14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0B4D50" w:rsidRPr="009F1AA4" w14:paraId="1EA39982" w14:textId="77777777" w:rsidTr="004E0598">
        <w:tc>
          <w:tcPr>
            <w:tcW w:w="1661" w:type="dxa"/>
            <w:vMerge/>
            <w:vAlign w:val="center"/>
          </w:tcPr>
          <w:p w14:paraId="59C2C81D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2083E3F8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7ECD55FD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668D441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237143E8" w14:textId="77777777" w:rsidTr="004E0598">
        <w:tc>
          <w:tcPr>
            <w:tcW w:w="1661" w:type="dxa"/>
            <w:vMerge/>
            <w:vAlign w:val="center"/>
          </w:tcPr>
          <w:p w14:paraId="0544C62E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3A737DCC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7BADBF97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9C04CE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73861D01" w14:textId="77777777" w:rsidTr="004E0598">
        <w:tc>
          <w:tcPr>
            <w:tcW w:w="1661" w:type="dxa"/>
            <w:vMerge/>
            <w:vAlign w:val="center"/>
          </w:tcPr>
          <w:p w14:paraId="0FBB78CE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2616412B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auto"/>
          </w:tcPr>
          <w:p w14:paraId="3ECEC94A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E0CFE57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707312F6" w14:textId="77777777" w:rsidTr="004E0598">
        <w:tc>
          <w:tcPr>
            <w:tcW w:w="1661" w:type="dxa"/>
            <w:vMerge/>
            <w:vAlign w:val="center"/>
          </w:tcPr>
          <w:p w14:paraId="7B13A18D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3B299788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14:paraId="45A7193E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803B63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11757693" w14:textId="77777777" w:rsidTr="004E0598">
        <w:tc>
          <w:tcPr>
            <w:tcW w:w="1661" w:type="dxa"/>
            <w:vMerge/>
            <w:vAlign w:val="center"/>
          </w:tcPr>
          <w:p w14:paraId="09AB6AF2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03277E5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auto"/>
          </w:tcPr>
          <w:p w14:paraId="7B2E4595" w14:textId="77777777" w:rsidR="000B4D50" w:rsidRPr="009F1AA4" w:rsidRDefault="000B4D50" w:rsidP="000B4D50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9306A94" w14:textId="6A44D3B3" w:rsidR="000B4D50" w:rsidRPr="009F1AA4" w:rsidRDefault="00112D14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0B4D50" w:rsidRPr="009F1AA4" w14:paraId="651DCB43" w14:textId="77777777" w:rsidTr="004E0598">
        <w:tc>
          <w:tcPr>
            <w:tcW w:w="1661" w:type="dxa"/>
            <w:vMerge/>
            <w:vAlign w:val="center"/>
          </w:tcPr>
          <w:p w14:paraId="6252B1D4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97CF659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auto"/>
          </w:tcPr>
          <w:p w14:paraId="6A03701F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20F15385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338C8CDA" w14:textId="77777777" w:rsidTr="004E059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4C81643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0AAC9C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7E99D04C" w14:textId="77777777" w:rsidTr="004E0598">
        <w:tc>
          <w:tcPr>
            <w:tcW w:w="1661" w:type="dxa"/>
            <w:vMerge/>
          </w:tcPr>
          <w:p w14:paraId="3204592B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EBDF36C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30437C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636DEA3E" w14:textId="77777777" w:rsidTr="004E0598">
        <w:tc>
          <w:tcPr>
            <w:tcW w:w="1661" w:type="dxa"/>
            <w:vMerge/>
          </w:tcPr>
          <w:p w14:paraId="6DD8F528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7A52DD29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FB6C13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30A1D485" w14:textId="77777777" w:rsidTr="004E0598">
        <w:tc>
          <w:tcPr>
            <w:tcW w:w="1661" w:type="dxa"/>
            <w:vMerge/>
          </w:tcPr>
          <w:p w14:paraId="0AC04875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28E8926" w14:textId="77777777" w:rsidR="000B4D50" w:rsidRPr="009F1AA4" w:rsidRDefault="000B4D50" w:rsidP="000B4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1302FAE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B4D50" w:rsidRPr="009F1AA4" w14:paraId="643E9693" w14:textId="77777777" w:rsidTr="004E0598">
        <w:tc>
          <w:tcPr>
            <w:tcW w:w="1661" w:type="dxa"/>
            <w:vMerge/>
          </w:tcPr>
          <w:p w14:paraId="4B62AF89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0B4D50" w:rsidRPr="009F1AA4" w:rsidRDefault="000B4D50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59F9A29" w14:textId="77777777" w:rsidR="000B4D50" w:rsidRPr="009F1AA4" w:rsidRDefault="000B4D50" w:rsidP="000B4D50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E9D934" w14:textId="08F73390" w:rsidR="000B4D50" w:rsidRPr="009F1AA4" w:rsidRDefault="00112D14" w:rsidP="000B4D50">
            <w:pPr>
              <w:rPr>
                <w:rFonts w:ascii="Mulish" w:hAnsi="Mulish"/>
                <w:sz w:val="18"/>
                <w:szCs w:val="18"/>
              </w:rPr>
            </w:pPr>
            <w:r w:rsidRPr="009F1AA4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0B4D50" w:rsidRPr="009F1AA4" w14:paraId="2F13D281" w14:textId="77777777" w:rsidTr="004E0598">
        <w:tc>
          <w:tcPr>
            <w:tcW w:w="7056" w:type="dxa"/>
            <w:gridSpan w:val="2"/>
          </w:tcPr>
          <w:p w14:paraId="50237AD0" w14:textId="77777777" w:rsidR="000B4D50" w:rsidRPr="009F1AA4" w:rsidRDefault="000B4D50" w:rsidP="000B4D50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9F1AA4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9F1AA4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7C2B6F9A" w14:textId="5DC825A3" w:rsidR="000B4D50" w:rsidRPr="009F1AA4" w:rsidRDefault="000B4D50" w:rsidP="000B4D50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9F1AA4">
              <w:rPr>
                <w:rFonts w:ascii="Mulish" w:hAnsi="Mulish"/>
                <w:b/>
                <w:sz w:val="18"/>
                <w:szCs w:val="18"/>
              </w:rPr>
              <w:t>7</w:t>
            </w:r>
          </w:p>
        </w:tc>
        <w:tc>
          <w:tcPr>
            <w:tcW w:w="1956" w:type="dxa"/>
          </w:tcPr>
          <w:p w14:paraId="29655252" w14:textId="77777777" w:rsidR="000B4D50" w:rsidRPr="009F1AA4" w:rsidRDefault="000B4D50" w:rsidP="000B4D50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9F1AA4" w:rsidRDefault="003A1694" w:rsidP="00AC4A6F">
      <w:pPr>
        <w:rPr>
          <w:rFonts w:ascii="Mulish" w:hAnsi="Mulish"/>
        </w:rPr>
      </w:pPr>
    </w:p>
    <w:p w14:paraId="037740DE" w14:textId="77777777" w:rsidR="00DF56A7" w:rsidRPr="009F1AA4" w:rsidRDefault="00DF56A7" w:rsidP="00DF56A7">
      <w:pPr>
        <w:jc w:val="both"/>
        <w:rPr>
          <w:rFonts w:ascii="Mulish" w:hAnsi="Mulish"/>
        </w:rPr>
      </w:pPr>
    </w:p>
    <w:p w14:paraId="11003E59" w14:textId="5C2DD265" w:rsidR="00BA4354" w:rsidRPr="009F1AA4" w:rsidRDefault="0016776E" w:rsidP="00DF56A7">
      <w:pPr>
        <w:jc w:val="both"/>
        <w:rPr>
          <w:rFonts w:ascii="Mulish" w:hAnsi="Mulish"/>
        </w:rPr>
      </w:pPr>
      <w:r w:rsidRPr="009F1AA4">
        <w:rPr>
          <w:rFonts w:ascii="Mulish" w:hAnsi="Mulish"/>
        </w:rPr>
        <w:t>El Consejo de Seguridad Nuclear</w:t>
      </w:r>
      <w:r w:rsidR="00C52EE5" w:rsidRPr="009F1AA4">
        <w:rPr>
          <w:rFonts w:ascii="Mulish" w:hAnsi="Mulish"/>
        </w:rPr>
        <w:t xml:space="preserve"> ha </w:t>
      </w:r>
      <w:r w:rsidR="00451F17">
        <w:rPr>
          <w:rFonts w:ascii="Mulish" w:hAnsi="Mulish"/>
        </w:rPr>
        <w:t>resuelto</w:t>
      </w:r>
      <w:r w:rsidR="00C52EE5" w:rsidRPr="009F1AA4">
        <w:rPr>
          <w:rFonts w:ascii="Mulish" w:hAnsi="Mulish"/>
        </w:rPr>
        <w:t xml:space="preserve"> </w:t>
      </w:r>
      <w:r w:rsidR="00112D14" w:rsidRPr="009F1AA4">
        <w:rPr>
          <w:rFonts w:ascii="Mulish" w:hAnsi="Mulish"/>
        </w:rPr>
        <w:t>seis</w:t>
      </w:r>
      <w:r w:rsidRPr="009F1AA4">
        <w:rPr>
          <w:rFonts w:ascii="Mulish" w:hAnsi="Mulish"/>
        </w:rPr>
        <w:t xml:space="preserve"> de l</w:t>
      </w:r>
      <w:r w:rsidR="00451F17">
        <w:rPr>
          <w:rFonts w:ascii="Mulish" w:hAnsi="Mulish"/>
        </w:rPr>
        <w:t>o</w:t>
      </w:r>
      <w:r w:rsidRPr="009F1AA4">
        <w:rPr>
          <w:rFonts w:ascii="Mulish" w:hAnsi="Mulish"/>
        </w:rPr>
        <w:t xml:space="preserve">s siete </w:t>
      </w:r>
      <w:r w:rsidR="00451F17">
        <w:rPr>
          <w:rFonts w:ascii="Mulish" w:hAnsi="Mulish"/>
        </w:rPr>
        <w:t>incumplimientos</w:t>
      </w:r>
      <w:r w:rsidR="00C52EE5" w:rsidRPr="009F1AA4">
        <w:rPr>
          <w:rFonts w:ascii="Mulish" w:hAnsi="Mulish"/>
        </w:rPr>
        <w:t xml:space="preserve"> </w:t>
      </w:r>
      <w:r w:rsidR="00451F17">
        <w:rPr>
          <w:rFonts w:ascii="Mulish" w:hAnsi="Mulish"/>
        </w:rPr>
        <w:t>evidenciados</w:t>
      </w:r>
      <w:r w:rsidR="00C52EE5" w:rsidRPr="009F1AA4">
        <w:rPr>
          <w:rFonts w:ascii="Mulish" w:hAnsi="Mulish"/>
        </w:rPr>
        <w:t xml:space="preserve"> </w:t>
      </w:r>
      <w:r w:rsidR="00451F17">
        <w:rPr>
          <w:rFonts w:ascii="Mulish" w:hAnsi="Mulish"/>
        </w:rPr>
        <w:t>en</w:t>
      </w:r>
      <w:r w:rsidR="00C52EE5" w:rsidRPr="009F1AA4">
        <w:rPr>
          <w:rFonts w:ascii="Mulish" w:hAnsi="Mulish"/>
        </w:rPr>
        <w:t xml:space="preserve"> la </w:t>
      </w:r>
      <w:r w:rsidR="004E0598" w:rsidRPr="009F1AA4">
        <w:rPr>
          <w:rFonts w:ascii="Mulish" w:hAnsi="Mulish"/>
        </w:rPr>
        <w:t xml:space="preserve">tercera </w:t>
      </w:r>
      <w:r w:rsidR="00C52EE5" w:rsidRPr="009F1AA4">
        <w:rPr>
          <w:rFonts w:ascii="Mulish" w:hAnsi="Mulish"/>
        </w:rPr>
        <w:t>evaluación realizada en 202</w:t>
      </w:r>
      <w:r w:rsidR="004E0598" w:rsidRPr="009F1AA4">
        <w:rPr>
          <w:rFonts w:ascii="Mulish" w:hAnsi="Mulish"/>
        </w:rPr>
        <w:t>3</w:t>
      </w:r>
      <w:r w:rsidR="00C52EE5" w:rsidRPr="009F1AA4">
        <w:rPr>
          <w:rFonts w:ascii="Mulish" w:hAnsi="Mulish"/>
        </w:rPr>
        <w:t>.</w:t>
      </w:r>
    </w:p>
    <w:p w14:paraId="51648A90" w14:textId="77777777" w:rsidR="00FA5AFD" w:rsidRPr="009F1AA4" w:rsidRDefault="00FA5AFD" w:rsidP="00AC4A6F">
      <w:pPr>
        <w:rPr>
          <w:rFonts w:ascii="Mulish" w:hAnsi="Mulish"/>
        </w:rPr>
      </w:pPr>
    </w:p>
    <w:p w14:paraId="2B25550E" w14:textId="77777777" w:rsidR="00FA5AFD" w:rsidRPr="009F1AA4" w:rsidRDefault="002D27E4" w:rsidP="00AC4A6F">
      <w:pPr>
        <w:rPr>
          <w:rFonts w:ascii="Mulish" w:hAnsi="Mulish"/>
        </w:rPr>
      </w:pPr>
      <w:r w:rsidRPr="009F1AA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bookmarkStart w:id="0" w:name="_Hlk163474435"/>
    <w:p w14:paraId="523CD473" w14:textId="77777777" w:rsidR="003F6EDC" w:rsidRPr="009F1AA4" w:rsidRDefault="00972060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9F1AA4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9F1AA4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0"/>
    <w:p w14:paraId="6E99694F" w14:textId="70A85E1A" w:rsidR="00806B4D" w:rsidRPr="00806B4D" w:rsidRDefault="00806B4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806B4D" w:rsidRPr="00806B4D" w14:paraId="56397CCC" w14:textId="77777777" w:rsidTr="00806B4D">
        <w:trPr>
          <w:divId w:val="159196816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895F44F" w14:textId="232C1E76" w:rsidR="00806B4D" w:rsidRPr="00806B4D" w:rsidRDefault="00806B4D" w:rsidP="00806B4D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BCA2841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77303D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88259EC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BC06A54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FBC102C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CC56B42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CB0A5CE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D5C027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06B4D" w:rsidRPr="00806B4D" w14:paraId="388CB18A" w14:textId="77777777" w:rsidTr="00806B4D">
        <w:trPr>
          <w:divId w:val="15919681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67575C6" w14:textId="77777777" w:rsidR="00806B4D" w:rsidRPr="00806B4D" w:rsidRDefault="00806B4D" w:rsidP="00806B4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341AB4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F122E9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D53556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6C0547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1330E2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4741DE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B6AD79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29F444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806B4D" w:rsidRPr="00806B4D" w14:paraId="3792BB18" w14:textId="77777777" w:rsidTr="00806B4D">
        <w:trPr>
          <w:divId w:val="159196816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883D700" w14:textId="77777777" w:rsidR="00806B4D" w:rsidRPr="00806B4D" w:rsidRDefault="00806B4D" w:rsidP="00806B4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DBC2A3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C6C46D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6A61F1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3C13F2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D60A00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4A68BC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A0B9C2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030990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806B4D" w:rsidRPr="00806B4D" w14:paraId="6347A57B" w14:textId="77777777" w:rsidTr="00806B4D">
        <w:trPr>
          <w:divId w:val="15919681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3206322" w14:textId="77777777" w:rsidR="00806B4D" w:rsidRPr="00806B4D" w:rsidRDefault="00806B4D" w:rsidP="00806B4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87D9E7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BF68DA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81,3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266FA6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962832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81,3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90C76D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3F8275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7C7E86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0EA11E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</w:tr>
      <w:tr w:rsidR="00806B4D" w:rsidRPr="00806B4D" w14:paraId="6910DFB3" w14:textId="77777777" w:rsidTr="00806B4D">
        <w:trPr>
          <w:divId w:val="15919681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EA4589F" w14:textId="77777777" w:rsidR="00806B4D" w:rsidRPr="00806B4D" w:rsidRDefault="00806B4D" w:rsidP="00806B4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E89CB0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CFC602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EC0BCC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8D7F7B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605A97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802294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BB6BCB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233765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806B4D" w:rsidRPr="00806B4D" w14:paraId="60D9C424" w14:textId="77777777" w:rsidTr="00806B4D">
        <w:trPr>
          <w:divId w:val="15919681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762D734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E6C56D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30B0C6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FA9563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41E1BC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7DE35B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87EFD9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095737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63845E" w14:textId="77777777" w:rsidR="00806B4D" w:rsidRPr="00806B4D" w:rsidRDefault="00806B4D" w:rsidP="00806B4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06B4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92,6</w:t>
            </w:r>
          </w:p>
        </w:tc>
      </w:tr>
    </w:tbl>
    <w:p w14:paraId="7B08898E" w14:textId="6665F657" w:rsidR="00FA5AFD" w:rsidRPr="009F1AA4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4F92C4AE" w:rsidR="004E0598" w:rsidRPr="009F1AA4" w:rsidRDefault="004061BC" w:rsidP="004E0598">
      <w:pPr>
        <w:pStyle w:val="Cuerpodelboletn"/>
        <w:rPr>
          <w:rFonts w:ascii="Mulish" w:hAnsi="Mulish"/>
          <w:lang w:bidi="es-ES"/>
        </w:rPr>
      </w:pPr>
      <w:r w:rsidRPr="009F1AA4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9F1AA4">
        <w:rPr>
          <w:rFonts w:ascii="Mulish" w:hAnsi="Mulish"/>
          <w:lang w:bidi="es-ES"/>
        </w:rPr>
        <w:t>92,</w:t>
      </w:r>
      <w:r w:rsidR="00806B4D">
        <w:rPr>
          <w:rFonts w:ascii="Mulish" w:hAnsi="Mulish"/>
          <w:lang w:bidi="es-ES"/>
        </w:rPr>
        <w:t>6</w:t>
      </w:r>
      <w:r w:rsidRPr="009F1AA4">
        <w:rPr>
          <w:rFonts w:ascii="Mulish" w:hAnsi="Mulish"/>
          <w:lang w:bidi="es-ES"/>
        </w:rPr>
        <w:t>%.</w:t>
      </w:r>
      <w:r w:rsidR="00BB3652" w:rsidRPr="009F1AA4">
        <w:rPr>
          <w:rFonts w:ascii="Mulish" w:hAnsi="Mulish"/>
          <w:lang w:bidi="es-ES"/>
        </w:rPr>
        <w:t xml:space="preserve"> </w:t>
      </w:r>
      <w:r w:rsidR="0016776E" w:rsidRPr="009F1AA4">
        <w:rPr>
          <w:rFonts w:ascii="Mulish" w:hAnsi="Mulish"/>
          <w:lang w:bidi="es-ES"/>
        </w:rPr>
        <w:t xml:space="preserve">Con respecto </w:t>
      </w:r>
      <w:r w:rsidR="009F1AA4">
        <w:rPr>
          <w:rFonts w:ascii="Mulish" w:hAnsi="Mulish"/>
          <w:lang w:bidi="es-ES"/>
        </w:rPr>
        <w:t>de</w:t>
      </w:r>
      <w:r w:rsidR="0016776E" w:rsidRPr="009F1AA4">
        <w:rPr>
          <w:rFonts w:ascii="Mulish" w:hAnsi="Mulish"/>
          <w:lang w:bidi="es-ES"/>
        </w:rPr>
        <w:t xml:space="preserve"> la última evaluación, </w:t>
      </w:r>
      <w:r w:rsidR="007814F1" w:rsidRPr="009F1AA4">
        <w:rPr>
          <w:rFonts w:ascii="Mulish" w:hAnsi="Mulish"/>
          <w:lang w:bidi="es-ES"/>
        </w:rPr>
        <w:t xml:space="preserve">se ha producido un incremento de </w:t>
      </w:r>
      <w:r w:rsidR="00806B4D">
        <w:rPr>
          <w:rFonts w:ascii="Mulish" w:hAnsi="Mulish"/>
          <w:lang w:bidi="es-ES"/>
        </w:rPr>
        <w:t>17,9</w:t>
      </w:r>
      <w:r w:rsidR="007814F1" w:rsidRPr="009F1AA4">
        <w:rPr>
          <w:rFonts w:ascii="Mulish" w:hAnsi="Mulish"/>
          <w:lang w:bidi="es-ES"/>
        </w:rPr>
        <w:t xml:space="preserve"> puntos porcentuales atribuible a la aplicación de seis recomendaciones. Por otra parte, </w:t>
      </w:r>
      <w:r w:rsidR="0016776E" w:rsidRPr="009F1AA4">
        <w:rPr>
          <w:rFonts w:ascii="Mulish" w:hAnsi="Mulish"/>
          <w:lang w:bidi="es-ES"/>
        </w:rPr>
        <w:t xml:space="preserve">ha </w:t>
      </w:r>
      <w:r w:rsidR="007814F1" w:rsidRPr="009F1AA4">
        <w:rPr>
          <w:rFonts w:ascii="Mulish" w:hAnsi="Mulish"/>
          <w:lang w:bidi="es-ES"/>
        </w:rPr>
        <w:t>sido preciso</w:t>
      </w:r>
      <w:r w:rsidR="0016776E" w:rsidRPr="009F1AA4">
        <w:rPr>
          <w:rFonts w:ascii="Mulish" w:hAnsi="Mulish"/>
          <w:lang w:bidi="es-ES"/>
        </w:rPr>
        <w:t xml:space="preserve"> revisar a la baja </w:t>
      </w:r>
      <w:r w:rsidR="007814F1" w:rsidRPr="009F1AA4">
        <w:rPr>
          <w:rFonts w:ascii="Mulish" w:hAnsi="Mulish"/>
          <w:lang w:bidi="es-ES"/>
        </w:rPr>
        <w:t xml:space="preserve">el cumplimiento de una obligación </w:t>
      </w:r>
      <w:r w:rsidR="0016776E" w:rsidRPr="009F1AA4">
        <w:rPr>
          <w:rFonts w:ascii="Mulish" w:hAnsi="Mulish"/>
          <w:lang w:bidi="es-ES"/>
        </w:rPr>
        <w:t xml:space="preserve">(autorizaciones para actividad privada al cese de cargos en la AGE) que </w:t>
      </w:r>
      <w:r w:rsidR="007814F1" w:rsidRPr="009F1AA4">
        <w:rPr>
          <w:rFonts w:ascii="Mulish" w:hAnsi="Mulish"/>
          <w:lang w:bidi="es-ES"/>
        </w:rPr>
        <w:t>en 2023 se cumplía</w:t>
      </w:r>
      <w:r w:rsidR="0016776E" w:rsidRPr="009F1AA4">
        <w:rPr>
          <w:rFonts w:ascii="Mulish" w:hAnsi="Mulish"/>
          <w:lang w:bidi="es-ES"/>
        </w:rPr>
        <w:t xml:space="preserve">, pero para la </w:t>
      </w:r>
      <w:r w:rsidR="007814F1" w:rsidRPr="009F1AA4">
        <w:rPr>
          <w:rFonts w:ascii="Mulish" w:hAnsi="Mulish"/>
          <w:lang w:bidi="es-ES"/>
        </w:rPr>
        <w:t>que,</w:t>
      </w:r>
      <w:r w:rsidR="0016776E" w:rsidRPr="009F1AA4">
        <w:rPr>
          <w:rFonts w:ascii="Mulish" w:hAnsi="Mulish"/>
          <w:lang w:bidi="es-ES"/>
        </w:rPr>
        <w:t xml:space="preserve"> </w:t>
      </w:r>
      <w:r w:rsidR="007814F1" w:rsidRPr="009F1AA4">
        <w:rPr>
          <w:rFonts w:ascii="Mulish" w:hAnsi="Mulish"/>
          <w:lang w:bidi="es-ES"/>
        </w:rPr>
        <w:t>en el momento de efectuar la evaluación,</w:t>
      </w:r>
      <w:r w:rsidR="0016776E" w:rsidRPr="009F1AA4">
        <w:rPr>
          <w:rFonts w:ascii="Mulish" w:hAnsi="Mulish"/>
          <w:lang w:bidi="es-ES"/>
        </w:rPr>
        <w:t xml:space="preserve"> no se ha localizado información.</w:t>
      </w:r>
    </w:p>
    <w:p w14:paraId="36B20282" w14:textId="4E4CB043" w:rsidR="007814F1" w:rsidRPr="009F1AA4" w:rsidRDefault="007814F1" w:rsidP="007814F1">
      <w:pPr>
        <w:spacing w:after="200" w:line="276" w:lineRule="auto"/>
        <w:contextualSpacing/>
        <w:jc w:val="both"/>
        <w:rPr>
          <w:rFonts w:ascii="Mulish" w:eastAsia="Times New Roman" w:hAnsi="Mulish" w:cs="Times New Roman"/>
          <w:szCs w:val="22"/>
          <w:lang w:eastAsia="es-ES"/>
        </w:rPr>
      </w:pPr>
      <w:bookmarkStart w:id="1" w:name="_Hlk164160408"/>
      <w:r w:rsidRPr="009F1AA4">
        <w:rPr>
          <w:rFonts w:ascii="Mulish" w:eastAsia="Times New Roman" w:hAnsi="Mulish" w:cs="Times New Roman"/>
          <w:szCs w:val="22"/>
          <w:lang w:eastAsia="es-ES"/>
        </w:rPr>
        <w:t>Una cuestión adicional, es que la Ley 14/2022, de modificación de la Ley 19/2013, impone una nueva información obligatoria en materia contractual. A partir de julio de 2023, es obligatorio publicar semestralmente “</w:t>
      </w:r>
      <w:r w:rsidRPr="009F1AA4">
        <w:rPr>
          <w:rFonts w:ascii="Mulish" w:eastAsia="Times New Roman" w:hAnsi="Mulish" w:cs="Times New Roman"/>
          <w:i/>
          <w:szCs w:val="22"/>
          <w:lang w:eastAsia="es-ES"/>
        </w:rPr>
        <w:t xml:space="preserve">información estadística sobre el porcentaje de participación en contratos adjudicados, tanto en relación con su número como en relación con su valor, de la categoría de microempresas, </w:t>
      </w:r>
      <w:r w:rsidRPr="009F1AA4">
        <w:rPr>
          <w:rFonts w:ascii="Mulish" w:eastAsia="Times New Roman" w:hAnsi="Mulish" w:cs="Times New Roman"/>
          <w:i/>
          <w:szCs w:val="22"/>
          <w:lang w:eastAsia="es-ES"/>
        </w:rPr>
        <w:lastRenderedPageBreak/>
        <w:t>pequeñas y medianas empresas (pymes), entendidas como tal según el anexo I del Reglamento (UE) n.º 651/2014 de la Comisión, de 17 de junio de 2014, para cada uno de los procedimientos y tipologías previstas en la legislación de contratos del sector público”</w:t>
      </w:r>
      <w:r w:rsidRPr="009F1AA4">
        <w:rPr>
          <w:rFonts w:ascii="Mulish" w:eastAsia="Times New Roman" w:hAnsi="Mulish" w:cs="Times New Roman"/>
          <w:szCs w:val="22"/>
          <w:lang w:eastAsia="es-ES"/>
        </w:rPr>
        <w:t xml:space="preserve">. Por lo que la información correspondiente a los meses de julio-diciembre de 2023, debería estar publicada en </w:t>
      </w:r>
      <w:r w:rsidR="00020C7D" w:rsidRPr="009F1AA4">
        <w:rPr>
          <w:rFonts w:ascii="Mulish" w:eastAsia="Times New Roman" w:hAnsi="Mulish" w:cs="Times New Roman"/>
          <w:szCs w:val="22"/>
          <w:lang w:eastAsia="es-ES"/>
        </w:rPr>
        <w:t>enero de 2024.</w:t>
      </w:r>
    </w:p>
    <w:bookmarkEnd w:id="1"/>
    <w:p w14:paraId="3362F786" w14:textId="77777777" w:rsidR="007814F1" w:rsidRPr="009F1AA4" w:rsidRDefault="007814F1" w:rsidP="00F05E2C">
      <w:pPr>
        <w:pStyle w:val="Cuerpodelboletn"/>
        <w:rPr>
          <w:rFonts w:ascii="Mulish" w:hAnsi="Mulish"/>
        </w:rPr>
      </w:pPr>
    </w:p>
    <w:p w14:paraId="1E094891" w14:textId="0D7C6319" w:rsidR="004A0F38" w:rsidRPr="009F1AA4" w:rsidRDefault="00020C7D" w:rsidP="004A0F38">
      <w:pPr>
        <w:pStyle w:val="Cuerpodelboletn"/>
        <w:numPr>
          <w:ilvl w:val="0"/>
          <w:numId w:val="2"/>
        </w:numPr>
        <w:rPr>
          <w:rFonts w:ascii="Mulish" w:hAnsi="Mulish"/>
        </w:rPr>
      </w:pPr>
      <w:r w:rsidRPr="009F1AA4">
        <w:rPr>
          <w:rFonts w:ascii="Mulish" w:hAnsi="Mulish"/>
          <w:b/>
          <w:color w:val="50866C"/>
          <w:sz w:val="30"/>
          <w:szCs w:val="30"/>
        </w:rPr>
        <w:t>Evolución de los r</w:t>
      </w:r>
      <w:r w:rsidR="004A0F38" w:rsidRPr="009F1AA4">
        <w:rPr>
          <w:rFonts w:ascii="Mulish" w:hAnsi="Mulish"/>
          <w:b/>
          <w:color w:val="50866C"/>
          <w:sz w:val="30"/>
          <w:szCs w:val="30"/>
        </w:rPr>
        <w:t>esultados de las evaluaciones de cumplimiento practicadas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7814F1" w:rsidRPr="009F1AA4" w14:paraId="764351D6" w14:textId="77777777" w:rsidTr="005B35C2">
        <w:trPr>
          <w:jc w:val="center"/>
        </w:trPr>
        <w:tc>
          <w:tcPr>
            <w:tcW w:w="2506" w:type="dxa"/>
          </w:tcPr>
          <w:p w14:paraId="4029FDE4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5FDE580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185A38E4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5845510D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7814F1" w:rsidRPr="009F1AA4" w14:paraId="0FC34D6A" w14:textId="77777777" w:rsidTr="005B35C2">
        <w:trPr>
          <w:jc w:val="center"/>
        </w:trPr>
        <w:tc>
          <w:tcPr>
            <w:tcW w:w="2506" w:type="dxa"/>
          </w:tcPr>
          <w:p w14:paraId="0FA77116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25AA13AA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63,3</w:t>
            </w:r>
          </w:p>
        </w:tc>
        <w:tc>
          <w:tcPr>
            <w:tcW w:w="2788" w:type="dxa"/>
          </w:tcPr>
          <w:p w14:paraId="08C11CDB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737CA498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7814F1" w:rsidRPr="009F1AA4" w14:paraId="1910087D" w14:textId="77777777" w:rsidTr="005B35C2">
        <w:trPr>
          <w:jc w:val="center"/>
        </w:trPr>
        <w:tc>
          <w:tcPr>
            <w:tcW w:w="2506" w:type="dxa"/>
          </w:tcPr>
          <w:p w14:paraId="527D8817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34DAB71E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74,1</w:t>
            </w:r>
          </w:p>
        </w:tc>
        <w:tc>
          <w:tcPr>
            <w:tcW w:w="2788" w:type="dxa"/>
          </w:tcPr>
          <w:p w14:paraId="45AFCECB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049D13DF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7814F1" w:rsidRPr="009F1AA4" w14:paraId="1D2949FD" w14:textId="77777777" w:rsidTr="005B35C2">
        <w:trPr>
          <w:jc w:val="center"/>
        </w:trPr>
        <w:tc>
          <w:tcPr>
            <w:tcW w:w="2506" w:type="dxa"/>
          </w:tcPr>
          <w:p w14:paraId="172258E9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1BB9B0A6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74,7</w:t>
            </w:r>
          </w:p>
        </w:tc>
        <w:tc>
          <w:tcPr>
            <w:tcW w:w="2788" w:type="dxa"/>
          </w:tcPr>
          <w:p w14:paraId="3DBA8727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7</w:t>
            </w:r>
          </w:p>
        </w:tc>
        <w:tc>
          <w:tcPr>
            <w:tcW w:w="2063" w:type="dxa"/>
          </w:tcPr>
          <w:p w14:paraId="37DFBB82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7814F1" w:rsidRPr="009F1AA4" w14:paraId="16A91A5B" w14:textId="77777777" w:rsidTr="005B35C2">
        <w:trPr>
          <w:jc w:val="center"/>
        </w:trPr>
        <w:tc>
          <w:tcPr>
            <w:tcW w:w="2506" w:type="dxa"/>
          </w:tcPr>
          <w:p w14:paraId="540827A1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2024</w:t>
            </w:r>
          </w:p>
        </w:tc>
        <w:tc>
          <w:tcPr>
            <w:tcW w:w="2616" w:type="dxa"/>
          </w:tcPr>
          <w:p w14:paraId="57E53895" w14:textId="5F99B2AB" w:rsidR="007814F1" w:rsidRPr="009F1AA4" w:rsidRDefault="00806B4D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9</w:t>
            </w:r>
            <w:r w:rsidRPr="0097206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2,6</w:t>
            </w:r>
          </w:p>
        </w:tc>
        <w:tc>
          <w:tcPr>
            <w:tcW w:w="2788" w:type="dxa"/>
          </w:tcPr>
          <w:p w14:paraId="0FB897F4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F1AA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37AA2DBA" w14:textId="77777777" w:rsidR="007814F1" w:rsidRPr="009F1AA4" w:rsidRDefault="007814F1" w:rsidP="005B35C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3CFDA973" w14:textId="0F6B803C" w:rsidR="004A0F38" w:rsidRPr="009F1AA4" w:rsidRDefault="004A0F38" w:rsidP="00F05E2C">
      <w:pPr>
        <w:pStyle w:val="Cuerpodelboletn"/>
        <w:rPr>
          <w:rFonts w:ascii="Mulish" w:hAnsi="Mulish"/>
        </w:rPr>
      </w:pPr>
    </w:p>
    <w:p w14:paraId="2A233937" w14:textId="2456CE65" w:rsidR="007814F1" w:rsidRPr="009F1AA4" w:rsidRDefault="007814F1" w:rsidP="00F05E2C">
      <w:pPr>
        <w:pStyle w:val="Cuerpodelboletn"/>
        <w:rPr>
          <w:rFonts w:ascii="Mulish" w:hAnsi="Mulish"/>
        </w:rPr>
      </w:pPr>
    </w:p>
    <w:p w14:paraId="45FF60F8" w14:textId="7064CA1B" w:rsidR="00C259F4" w:rsidRPr="009F1AA4" w:rsidRDefault="00972060" w:rsidP="007814F1">
      <w:pPr>
        <w:rPr>
          <w:rFonts w:ascii="Mulish" w:hAnsi="Mulish"/>
          <w:sz w:val="30"/>
          <w:szCs w:val="30"/>
        </w:rPr>
      </w:pPr>
      <w:sdt>
        <w:sdtPr>
          <w:rPr>
            <w:rFonts w:ascii="Mulish" w:eastAsiaTheme="majorEastAsia" w:hAnsi="Mulish" w:cstheme="majorBidi"/>
            <w:b/>
            <w:bCs/>
            <w:color w:val="50866C"/>
            <w:sz w:val="30"/>
            <w:szCs w:val="30"/>
          </w:rPr>
          <w:id w:val="-409474120"/>
          <w:placeholder>
            <w:docPart w:val="FD98A9A16E1C4E1DA3A066E830405301"/>
          </w:placeholder>
        </w:sdtPr>
        <w:sdtEndPr/>
        <w:sdtContent>
          <w:r w:rsidR="00C259F4" w:rsidRPr="009F1AA4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sdtContent>
      </w:sdt>
    </w:p>
    <w:p w14:paraId="7137D731" w14:textId="77777777" w:rsidR="00965C69" w:rsidRPr="009F1AA4" w:rsidRDefault="00965C69" w:rsidP="00965C69">
      <w:pPr>
        <w:pStyle w:val="Cuerpodelboletn"/>
        <w:rPr>
          <w:rFonts w:ascii="Mulish" w:hAnsi="Mulish"/>
        </w:rPr>
      </w:pPr>
    </w:p>
    <w:p w14:paraId="06476F7C" w14:textId="119149BC" w:rsidR="00BB3652" w:rsidRPr="009F1AA4" w:rsidRDefault="00BB3652" w:rsidP="00BB3652">
      <w:pPr>
        <w:pStyle w:val="Cuerpodelboletn"/>
        <w:rPr>
          <w:rFonts w:ascii="Mulish" w:hAnsi="Mulish"/>
        </w:rPr>
      </w:pPr>
      <w:r w:rsidRPr="009F1AA4">
        <w:rPr>
          <w:rFonts w:ascii="Mulish" w:hAnsi="Mulish"/>
        </w:rPr>
        <w:t xml:space="preserve">Este CTBG no puede menos que </w:t>
      </w:r>
      <w:r w:rsidRPr="009F1AA4">
        <w:rPr>
          <w:rFonts w:ascii="Mulish" w:hAnsi="Mulish"/>
          <w:b/>
        </w:rPr>
        <w:t xml:space="preserve">valorar </w:t>
      </w:r>
      <w:r w:rsidR="00DC4BB6" w:rsidRPr="009F1AA4">
        <w:rPr>
          <w:rFonts w:ascii="Mulish" w:hAnsi="Mulish"/>
          <w:b/>
        </w:rPr>
        <w:t>positivamente</w:t>
      </w:r>
      <w:r w:rsidRPr="009F1AA4">
        <w:rPr>
          <w:rFonts w:ascii="Mulish" w:hAnsi="Mulish"/>
        </w:rPr>
        <w:t xml:space="preserve"> la evolución del cumplimiento de las obligaciones de publicidad activa por parte </w:t>
      </w:r>
      <w:r w:rsidR="0016776E" w:rsidRPr="009F1AA4">
        <w:rPr>
          <w:rFonts w:ascii="Mulish" w:hAnsi="Mulish"/>
        </w:rPr>
        <w:t>del Consejo de Seguridad Nuclear</w:t>
      </w:r>
      <w:r w:rsidR="00DC4BB6" w:rsidRPr="009F1AA4">
        <w:rPr>
          <w:rFonts w:ascii="Mulish" w:hAnsi="Mulish"/>
        </w:rPr>
        <w:t xml:space="preserve">, </w:t>
      </w:r>
      <w:r w:rsidR="00972060" w:rsidRPr="009F1AA4">
        <w:rPr>
          <w:rFonts w:ascii="Mulish" w:hAnsi="Mulish"/>
        </w:rPr>
        <w:t xml:space="preserve">que ha </w:t>
      </w:r>
      <w:r w:rsidR="00972060">
        <w:rPr>
          <w:rFonts w:ascii="Mulish" w:hAnsi="Mulish"/>
        </w:rPr>
        <w:t>resuelto</w:t>
      </w:r>
      <w:r w:rsidR="00972060" w:rsidRPr="009F1AA4">
        <w:rPr>
          <w:rFonts w:ascii="Mulish" w:hAnsi="Mulish"/>
        </w:rPr>
        <w:t xml:space="preserve"> casi el 86% de </w:t>
      </w:r>
      <w:r w:rsidR="00972060">
        <w:rPr>
          <w:rFonts w:ascii="Mulish" w:hAnsi="Mulish"/>
        </w:rPr>
        <w:t>los incumplimientos evidenciados en</w:t>
      </w:r>
      <w:r w:rsidR="00972060" w:rsidRPr="009F1AA4">
        <w:rPr>
          <w:rFonts w:ascii="Mulish" w:hAnsi="Mulish"/>
        </w:rPr>
        <w:t xml:space="preserve"> la tercera evaluación realizada en 2023</w:t>
      </w:r>
      <w:r w:rsidR="00806B4D">
        <w:rPr>
          <w:rFonts w:ascii="Mulish" w:hAnsi="Mulish"/>
        </w:rPr>
        <w:t>, lo que se ha reflejado</w:t>
      </w:r>
      <w:r w:rsidR="00735438">
        <w:rPr>
          <w:rFonts w:ascii="Mulish" w:hAnsi="Mulish"/>
        </w:rPr>
        <w:t xml:space="preserve"> en un incremento del </w:t>
      </w:r>
      <w:r w:rsidR="00735438" w:rsidRPr="009F1AA4">
        <w:rPr>
          <w:rFonts w:ascii="Mulish" w:hAnsi="Mulish"/>
        </w:rPr>
        <w:t>Índice</w:t>
      </w:r>
      <w:r w:rsidR="00020C7D" w:rsidRPr="009F1AA4">
        <w:rPr>
          <w:rFonts w:ascii="Mulish" w:hAnsi="Mulish"/>
        </w:rPr>
        <w:t xml:space="preserve"> de Cumplimiento </w:t>
      </w:r>
      <w:r w:rsidR="00735438">
        <w:rPr>
          <w:rFonts w:ascii="Mulish" w:hAnsi="Mulish"/>
        </w:rPr>
        <w:t>d</w:t>
      </w:r>
      <w:r w:rsidR="00020C7D" w:rsidRPr="009F1AA4">
        <w:rPr>
          <w:rFonts w:ascii="Mulish" w:hAnsi="Mulish"/>
        </w:rPr>
        <w:t xml:space="preserve">el </w:t>
      </w:r>
      <w:r w:rsidR="00735438">
        <w:rPr>
          <w:rFonts w:ascii="Mulish" w:hAnsi="Mulish"/>
        </w:rPr>
        <w:t>23,4</w:t>
      </w:r>
      <w:r w:rsidR="00020C7D" w:rsidRPr="009F1AA4">
        <w:rPr>
          <w:rFonts w:ascii="Mulish" w:hAnsi="Mulish"/>
        </w:rPr>
        <w:t>%</w:t>
      </w:r>
      <w:r w:rsidR="00735438">
        <w:rPr>
          <w:rFonts w:ascii="Mulish" w:hAnsi="Mulish"/>
        </w:rPr>
        <w:t xml:space="preserve">. Este incremento podría haber sido más elevado si no hubiese sido preciso </w:t>
      </w:r>
      <w:r w:rsidR="00735438" w:rsidRPr="009F1AA4">
        <w:rPr>
          <w:rFonts w:ascii="Mulish" w:hAnsi="Mulish"/>
        </w:rPr>
        <w:t>valorar</w:t>
      </w:r>
      <w:r w:rsidR="0016776E" w:rsidRPr="009F1AA4">
        <w:rPr>
          <w:rFonts w:ascii="Mulish" w:hAnsi="Mulish"/>
        </w:rPr>
        <w:t xml:space="preserve"> a la baja </w:t>
      </w:r>
      <w:r w:rsidR="00020C7D" w:rsidRPr="009F1AA4">
        <w:rPr>
          <w:rFonts w:ascii="Mulish" w:hAnsi="Mulish"/>
        </w:rPr>
        <w:t>una de las</w:t>
      </w:r>
      <w:r w:rsidR="0016776E" w:rsidRPr="009F1AA4">
        <w:rPr>
          <w:rFonts w:ascii="Mulish" w:hAnsi="Mulish"/>
        </w:rPr>
        <w:t xml:space="preserve"> obligaciones que se </w:t>
      </w:r>
      <w:r w:rsidR="00020C7D" w:rsidRPr="009F1AA4">
        <w:rPr>
          <w:rFonts w:ascii="Mulish" w:hAnsi="Mulish"/>
        </w:rPr>
        <w:t>cumplía en 2023</w:t>
      </w:r>
      <w:r w:rsidRPr="009F1AA4">
        <w:rPr>
          <w:rFonts w:ascii="Mulish" w:hAnsi="Mulish"/>
        </w:rPr>
        <w:t>.</w:t>
      </w:r>
      <w:r w:rsidR="0016776E" w:rsidRPr="009F1AA4">
        <w:rPr>
          <w:rFonts w:ascii="Mulish" w:hAnsi="Mulish"/>
        </w:rPr>
        <w:t xml:space="preserve"> Si </w:t>
      </w:r>
      <w:r w:rsidR="00020C7D" w:rsidRPr="009F1AA4">
        <w:rPr>
          <w:rFonts w:ascii="Mulish" w:hAnsi="Mulish"/>
        </w:rPr>
        <w:t xml:space="preserve">se publicara información sobre las autorizaciones para el ejercicio de actividades privadas concedidas a altos cargos del CSN y se informase sobre las subcontrataciones derivadas de las encomiendas de </w:t>
      </w:r>
      <w:r w:rsidR="00F136C9" w:rsidRPr="009F1AA4">
        <w:rPr>
          <w:rFonts w:ascii="Mulish" w:hAnsi="Mulish"/>
        </w:rPr>
        <w:t>gestión, se</w:t>
      </w:r>
      <w:r w:rsidR="00020C7D" w:rsidRPr="009F1AA4">
        <w:rPr>
          <w:rFonts w:ascii="Mulish" w:hAnsi="Mulish"/>
        </w:rPr>
        <w:t xml:space="preserve"> alcanzaría el</w:t>
      </w:r>
      <w:r w:rsidR="0016776E" w:rsidRPr="009F1AA4">
        <w:rPr>
          <w:rFonts w:ascii="Mulish" w:hAnsi="Mulish"/>
        </w:rPr>
        <w:t xml:space="preserve"> 100% de cumplimiento.</w:t>
      </w:r>
    </w:p>
    <w:p w14:paraId="1187CF89" w14:textId="77777777" w:rsidR="004D4B3E" w:rsidRPr="009F1AA4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5EBDF234" w:rsidR="004061BC" w:rsidRPr="009F1AA4" w:rsidRDefault="004061BC" w:rsidP="00DC4BB6">
      <w:pPr>
        <w:pStyle w:val="Sinespaciado"/>
        <w:spacing w:line="276" w:lineRule="auto"/>
        <w:jc w:val="right"/>
        <w:rPr>
          <w:rFonts w:ascii="Mulish" w:hAnsi="Mulish"/>
        </w:rPr>
      </w:pPr>
      <w:r w:rsidRPr="009F1AA4">
        <w:rPr>
          <w:rFonts w:ascii="Mulish" w:hAnsi="Mulish"/>
        </w:rPr>
        <w:t xml:space="preserve">Madrid, </w:t>
      </w:r>
      <w:r w:rsidR="00806B4D">
        <w:rPr>
          <w:rFonts w:ascii="Mulish" w:hAnsi="Mulish"/>
        </w:rPr>
        <w:t>junio</w:t>
      </w:r>
      <w:r w:rsidR="00DC4BB6" w:rsidRPr="009F1AA4">
        <w:rPr>
          <w:rFonts w:ascii="Mulish" w:hAnsi="Mulish"/>
        </w:rPr>
        <w:t xml:space="preserve"> de 2024</w:t>
      </w:r>
    </w:p>
    <w:p w14:paraId="5DB8548C" w14:textId="77777777" w:rsidR="00C259F4" w:rsidRPr="009F1AA4" w:rsidRDefault="00C259F4" w:rsidP="00965C69">
      <w:pPr>
        <w:pStyle w:val="Cuerpodelboletn"/>
        <w:rPr>
          <w:rFonts w:ascii="Mulish" w:hAnsi="Mulish"/>
        </w:rPr>
        <w:sectPr w:rsidR="00C259F4" w:rsidRPr="009F1AA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9F1AA4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9F1AA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9F1AA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9F1AA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9F1AA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9F1AA4" w:rsidRDefault="004061BC">
      <w:pPr>
        <w:rPr>
          <w:rFonts w:ascii="Mulish" w:hAnsi="Mulish"/>
          <w:szCs w:val="22"/>
        </w:rPr>
      </w:pPr>
      <w:r w:rsidRPr="009F1AA4">
        <w:rPr>
          <w:rFonts w:ascii="Mulish" w:hAnsi="Mulish"/>
        </w:rPr>
        <w:br w:type="page"/>
      </w:r>
    </w:p>
    <w:p w14:paraId="0C4D15C8" w14:textId="77777777" w:rsidR="00E17DF6" w:rsidRPr="009F1AA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9F1AA4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9F1AA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F1AA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9F1AA4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9F1AA4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9F1AA4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9F1AA4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F1AA4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F1AA4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F1AA4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F1AA4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9F1AA4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9F1AA4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F1AA4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9F1AA4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F1AA4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F1AA4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F1AA4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F1AA4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F1AA4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F1AA4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F1AA4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F1AA4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F1AA4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F1AA4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F1AA4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F1AA4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F1AA4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F1AA4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F1AA4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F1AA4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F1AA4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F1AA4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F1AA4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F1AA4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F1AA4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F1AA4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F1AA4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9F1AA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F1AA4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9F1AA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9F1AA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F1AA4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9F1AA4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F1AA4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F1AA4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F1AA4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9F1AA4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9F1AA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9F1AA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F1A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9F1AA4" w:rsidRDefault="00965C69" w:rsidP="00965C69">
      <w:pPr>
        <w:pStyle w:val="Cuerpodelboletn"/>
        <w:rPr>
          <w:rFonts w:ascii="Mulish" w:hAnsi="Mulish"/>
        </w:rPr>
      </w:pPr>
    </w:p>
    <w:sectPr w:rsidR="00965C69" w:rsidRPr="009F1AA4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40E7" w14:textId="77777777" w:rsidR="00020C7D" w:rsidRDefault="00020C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B37" w14:textId="77777777" w:rsidR="00020C7D" w:rsidRDefault="00020C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96D4" w14:textId="77777777" w:rsidR="00020C7D" w:rsidRDefault="00020C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1BFA" w14:textId="49945CE8" w:rsidR="00020C7D" w:rsidRDefault="00972060">
    <w:pPr>
      <w:pStyle w:val="Encabezado"/>
    </w:pPr>
    <w:r>
      <w:rPr>
        <w:noProof/>
      </w:rPr>
      <w:pict w14:anchorId="424419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04751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A73C" w14:textId="6CDD06E6" w:rsidR="00020C7D" w:rsidRDefault="00972060">
    <w:pPr>
      <w:pStyle w:val="Encabezado"/>
    </w:pPr>
    <w:r>
      <w:rPr>
        <w:noProof/>
      </w:rPr>
      <w:pict w14:anchorId="53CCA4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04752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6224" w14:textId="74FC8DE6" w:rsidR="00020C7D" w:rsidRDefault="00972060">
    <w:pPr>
      <w:pStyle w:val="Encabezado"/>
    </w:pPr>
    <w:r>
      <w:rPr>
        <w:noProof/>
      </w:rPr>
      <w:pict w14:anchorId="4B6822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04750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5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BEF"/>
    <w:multiLevelType w:val="hybridMultilevel"/>
    <w:tmpl w:val="BD06270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B7"/>
    <w:multiLevelType w:val="hybridMultilevel"/>
    <w:tmpl w:val="761EC8D4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25E7D"/>
    <w:multiLevelType w:val="hybridMultilevel"/>
    <w:tmpl w:val="6CB4B4D6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869B3"/>
    <w:multiLevelType w:val="hybridMultilevel"/>
    <w:tmpl w:val="9E2A21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65B74F0"/>
    <w:multiLevelType w:val="hybridMultilevel"/>
    <w:tmpl w:val="F6CC95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84BF5"/>
    <w:multiLevelType w:val="hybridMultilevel"/>
    <w:tmpl w:val="E30A991C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231A51"/>
    <w:multiLevelType w:val="hybridMultilevel"/>
    <w:tmpl w:val="D3FA9E4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65CAA"/>
    <w:multiLevelType w:val="hybridMultilevel"/>
    <w:tmpl w:val="7CDC7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D76003"/>
    <w:multiLevelType w:val="hybridMultilevel"/>
    <w:tmpl w:val="21981E2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0"/>
  </w:num>
  <w:num w:numId="5">
    <w:abstractNumId w:val="20"/>
  </w:num>
  <w:num w:numId="6">
    <w:abstractNumId w:val="22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5"/>
  </w:num>
  <w:num w:numId="12">
    <w:abstractNumId w:val="16"/>
  </w:num>
  <w:num w:numId="13">
    <w:abstractNumId w:val="11"/>
  </w:num>
  <w:num w:numId="14">
    <w:abstractNumId w:val="26"/>
  </w:num>
  <w:num w:numId="15">
    <w:abstractNumId w:val="2"/>
  </w:num>
  <w:num w:numId="16">
    <w:abstractNumId w:val="28"/>
  </w:num>
  <w:num w:numId="17">
    <w:abstractNumId w:val="15"/>
  </w:num>
  <w:num w:numId="18">
    <w:abstractNumId w:val="10"/>
  </w:num>
  <w:num w:numId="19">
    <w:abstractNumId w:val="7"/>
  </w:num>
  <w:num w:numId="20">
    <w:abstractNumId w:val="21"/>
  </w:num>
  <w:num w:numId="21">
    <w:abstractNumId w:val="6"/>
  </w:num>
  <w:num w:numId="22">
    <w:abstractNumId w:val="14"/>
  </w:num>
  <w:num w:numId="23">
    <w:abstractNumId w:val="18"/>
  </w:num>
  <w:num w:numId="24">
    <w:abstractNumId w:val="9"/>
  </w:num>
  <w:num w:numId="25">
    <w:abstractNumId w:val="8"/>
  </w:num>
  <w:num w:numId="26">
    <w:abstractNumId w:val="19"/>
  </w:num>
  <w:num w:numId="27">
    <w:abstractNumId w:val="24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0C7D"/>
    <w:rsid w:val="00032D8A"/>
    <w:rsid w:val="00040AF4"/>
    <w:rsid w:val="00053A0E"/>
    <w:rsid w:val="0005642F"/>
    <w:rsid w:val="00072B7E"/>
    <w:rsid w:val="000775A5"/>
    <w:rsid w:val="00085C93"/>
    <w:rsid w:val="000A77F5"/>
    <w:rsid w:val="000B4D50"/>
    <w:rsid w:val="000D3907"/>
    <w:rsid w:val="000D5417"/>
    <w:rsid w:val="000E0A9E"/>
    <w:rsid w:val="000F0DA5"/>
    <w:rsid w:val="00104DE9"/>
    <w:rsid w:val="00104E94"/>
    <w:rsid w:val="00112D14"/>
    <w:rsid w:val="001149B1"/>
    <w:rsid w:val="00132732"/>
    <w:rsid w:val="00146C3C"/>
    <w:rsid w:val="00164876"/>
    <w:rsid w:val="0016776E"/>
    <w:rsid w:val="001763F8"/>
    <w:rsid w:val="00183301"/>
    <w:rsid w:val="00187CDD"/>
    <w:rsid w:val="0019313B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D537B"/>
    <w:rsid w:val="001E5AAD"/>
    <w:rsid w:val="0021682B"/>
    <w:rsid w:val="00231D61"/>
    <w:rsid w:val="002423D7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264BC"/>
    <w:rsid w:val="00451F17"/>
    <w:rsid w:val="004720A5"/>
    <w:rsid w:val="0047735C"/>
    <w:rsid w:val="004859CC"/>
    <w:rsid w:val="004A0F38"/>
    <w:rsid w:val="004A1663"/>
    <w:rsid w:val="004C6440"/>
    <w:rsid w:val="004D4B3E"/>
    <w:rsid w:val="004D50CC"/>
    <w:rsid w:val="004D7037"/>
    <w:rsid w:val="004E0598"/>
    <w:rsid w:val="004E7B33"/>
    <w:rsid w:val="00506864"/>
    <w:rsid w:val="00512173"/>
    <w:rsid w:val="00521C69"/>
    <w:rsid w:val="005301DF"/>
    <w:rsid w:val="00536832"/>
    <w:rsid w:val="00540929"/>
    <w:rsid w:val="00551A29"/>
    <w:rsid w:val="00563295"/>
    <w:rsid w:val="00564E23"/>
    <w:rsid w:val="00565250"/>
    <w:rsid w:val="005720A9"/>
    <w:rsid w:val="00582A8C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1B8"/>
    <w:rsid w:val="00702A3B"/>
    <w:rsid w:val="007071A8"/>
    <w:rsid w:val="00707515"/>
    <w:rsid w:val="00707C14"/>
    <w:rsid w:val="00714C54"/>
    <w:rsid w:val="00717272"/>
    <w:rsid w:val="00735438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4F1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4F49"/>
    <w:rsid w:val="007F5F9D"/>
    <w:rsid w:val="00800B69"/>
    <w:rsid w:val="00803D20"/>
    <w:rsid w:val="00805A8D"/>
    <w:rsid w:val="00806B4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72060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1AA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AF56ED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1578"/>
    <w:rsid w:val="00CD3DE8"/>
    <w:rsid w:val="00CF21EB"/>
    <w:rsid w:val="00D014E1"/>
    <w:rsid w:val="00D01CA1"/>
    <w:rsid w:val="00D1453D"/>
    <w:rsid w:val="00D414E2"/>
    <w:rsid w:val="00D41F4C"/>
    <w:rsid w:val="00D45F5C"/>
    <w:rsid w:val="00D520C8"/>
    <w:rsid w:val="00D70570"/>
    <w:rsid w:val="00D77D83"/>
    <w:rsid w:val="00D9090A"/>
    <w:rsid w:val="00D96084"/>
    <w:rsid w:val="00DA6660"/>
    <w:rsid w:val="00DC4BB6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136C9"/>
    <w:rsid w:val="00F24BAF"/>
    <w:rsid w:val="00F25044"/>
    <w:rsid w:val="00F31BC3"/>
    <w:rsid w:val="00F36022"/>
    <w:rsid w:val="00F361B3"/>
    <w:rsid w:val="00F543F8"/>
    <w:rsid w:val="00F614CD"/>
    <w:rsid w:val="00F7274D"/>
    <w:rsid w:val="00F75CDB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4873beb7-5857-4685-be1f-d57550cc96cc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131</TotalTime>
  <Pages>5</Pages>
  <Words>1114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14</cp:revision>
  <cp:lastPrinted>2008-09-26T23:14:00Z</cp:lastPrinted>
  <dcterms:created xsi:type="dcterms:W3CDTF">2024-04-08T12:32:00Z</dcterms:created>
  <dcterms:modified xsi:type="dcterms:W3CDTF">2024-06-12T15:44:00Z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