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A8D0" w14:textId="4748EB2B" w:rsidR="00C5744D" w:rsidRPr="00210368" w:rsidRDefault="00C5744D">
      <w:pPr>
        <w:rPr>
          <w:rFonts w:ascii="Mulish" w:hAnsi="Mulish"/>
        </w:rPr>
      </w:pPr>
    </w:p>
    <w:p w14:paraId="5CB40AB4" w14:textId="5372BBFE" w:rsidR="00B40246" w:rsidRPr="00210368" w:rsidRDefault="00ED49C3" w:rsidP="00B40246">
      <w:pPr>
        <w:spacing w:before="120" w:after="120" w:line="312" w:lineRule="auto"/>
        <w:rPr>
          <w:rFonts w:ascii="Mulish" w:hAnsi="Mulish"/>
        </w:rPr>
      </w:pPr>
      <w:r w:rsidRPr="0021036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653C0" wp14:editId="7D348848">
                <wp:simplePos x="0" y="0"/>
                <wp:positionH relativeFrom="column">
                  <wp:posOffset>314325</wp:posOffset>
                </wp:positionH>
                <wp:positionV relativeFrom="paragraph">
                  <wp:posOffset>52705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218C77A2" w14:textId="77777777" w:rsidR="000F0A21" w:rsidRPr="00006957" w:rsidRDefault="000F0A2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653C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4.75pt;margin-top:4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oKeiM3AAAAAkBAAAPAAAAZHJzL2Rvd25y&#10;ZXYueG1sTI/NTsMwEITvSLyDtUjcqEOhTUjjVKiIB6AgcXXibRLVXkex80Ofnu0Jjjszmv2m2C/O&#10;igmH0HlS8LhKQCDV3nTUKPj6fH/IQISoyWjrCRX8YIB9eXtT6Nz4mT5wOsZGcAmFXCtoY+xzKUPd&#10;otNh5Xsk9k5+cDryOTTSDHrmcmflOkm20umO+EOrezy0WJ+Po1NQX8a37NBV03xJv9Nqae3mRFap&#10;+7vldQci4hL/wnDFZ3QomanyI5kgrILnlw0nFWRPIK52sk1ZqBSsU5ZkWcj/C8pfAA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Cgp6IzcAAAACQ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218C77A2" w14:textId="77777777" w:rsidR="000F0A21" w:rsidRPr="00006957" w:rsidRDefault="000F0A2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 w:rsidRPr="0021036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B5F71" wp14:editId="2B1918A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8B725A" w14:textId="77777777" w:rsidR="000F0A21" w:rsidRDefault="000F0A2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D88CB" wp14:editId="6695B69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5F71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4D8B725A" w14:textId="77777777" w:rsidR="000F0A21" w:rsidRDefault="000F0A2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D88CB" wp14:editId="6695B69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0B7EC0" w14:textId="77777777" w:rsidR="00B40246" w:rsidRPr="0021036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E0A39AF" w14:textId="77777777" w:rsidR="00B40246" w:rsidRPr="0021036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953AF51" w14:textId="77777777" w:rsidR="00B40246" w:rsidRPr="00210368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5A797E81" w14:textId="77777777" w:rsidR="00B40246" w:rsidRPr="00210368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21036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313F5" wp14:editId="48B189AD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31EE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1F71108" w14:textId="77777777" w:rsidR="000C6CFF" w:rsidRPr="00210368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210368" w14:paraId="4E3726C4" w14:textId="77777777" w:rsidTr="00BB6799">
        <w:tc>
          <w:tcPr>
            <w:tcW w:w="3652" w:type="dxa"/>
          </w:tcPr>
          <w:p w14:paraId="7E54FE2C" w14:textId="77777777" w:rsidR="000C6CFF" w:rsidRPr="0021036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10368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DA7ECE1" w14:textId="77777777" w:rsidR="000C6CFF" w:rsidRPr="00210368" w:rsidRDefault="00CF219D">
            <w:pPr>
              <w:rPr>
                <w:rFonts w:ascii="Mulish" w:hAnsi="Mulish"/>
                <w:sz w:val="24"/>
                <w:szCs w:val="24"/>
              </w:rPr>
            </w:pPr>
            <w:r w:rsidRPr="00210368">
              <w:rPr>
                <w:rFonts w:ascii="Mulish" w:hAnsi="Mulish"/>
                <w:sz w:val="24"/>
                <w:szCs w:val="24"/>
              </w:rPr>
              <w:t>Centro de Estudios y Experimentación de Obras Públicas (CEDEX)</w:t>
            </w:r>
          </w:p>
        </w:tc>
      </w:tr>
      <w:tr w:rsidR="000C6CFF" w:rsidRPr="00210368" w14:paraId="466F1675" w14:textId="77777777" w:rsidTr="00BB6799">
        <w:tc>
          <w:tcPr>
            <w:tcW w:w="3652" w:type="dxa"/>
          </w:tcPr>
          <w:p w14:paraId="34D6FB6E" w14:textId="77777777" w:rsidR="000C6CFF" w:rsidRPr="0021036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10368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60EBE1C7" w14:textId="77777777" w:rsidR="000C6CFF" w:rsidRPr="00210368" w:rsidRDefault="00CF219D">
            <w:pPr>
              <w:rPr>
                <w:rFonts w:ascii="Mulish" w:hAnsi="Mulish"/>
                <w:sz w:val="24"/>
                <w:szCs w:val="24"/>
              </w:rPr>
            </w:pPr>
            <w:r w:rsidRPr="00210368">
              <w:rPr>
                <w:rFonts w:ascii="Mulish" w:hAnsi="Mulish"/>
                <w:sz w:val="24"/>
                <w:szCs w:val="24"/>
              </w:rPr>
              <w:t>12/09/2023</w:t>
            </w:r>
          </w:p>
          <w:p w14:paraId="367876B7" w14:textId="4E930EA3" w:rsidR="00522CB7" w:rsidRPr="00210368" w:rsidRDefault="00522CB7">
            <w:pPr>
              <w:rPr>
                <w:rFonts w:ascii="Mulish" w:hAnsi="Mulish"/>
                <w:sz w:val="24"/>
                <w:szCs w:val="24"/>
              </w:rPr>
            </w:pPr>
            <w:r w:rsidRPr="00210368">
              <w:rPr>
                <w:rFonts w:ascii="Mulish" w:hAnsi="Mulish"/>
                <w:sz w:val="24"/>
                <w:szCs w:val="24"/>
              </w:rPr>
              <w:t>Segunda revisión: 31/10/2023</w:t>
            </w:r>
          </w:p>
        </w:tc>
      </w:tr>
      <w:tr w:rsidR="000C6CFF" w:rsidRPr="00210368" w14:paraId="70290BB0" w14:textId="77777777" w:rsidTr="00BB6799">
        <w:tc>
          <w:tcPr>
            <w:tcW w:w="3652" w:type="dxa"/>
          </w:tcPr>
          <w:p w14:paraId="2EBD6763" w14:textId="77777777" w:rsidR="000C6CFF" w:rsidRPr="0021036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10368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334157C" w14:textId="77777777" w:rsidR="000C6CFF" w:rsidRPr="00210368" w:rsidRDefault="00CF219D">
            <w:pPr>
              <w:rPr>
                <w:rFonts w:ascii="Mulish" w:hAnsi="Mulish"/>
                <w:sz w:val="24"/>
                <w:szCs w:val="24"/>
              </w:rPr>
            </w:pPr>
            <w:r w:rsidRPr="00210368">
              <w:rPr>
                <w:rFonts w:ascii="Mulish" w:hAnsi="Mulish"/>
                <w:sz w:val="24"/>
                <w:szCs w:val="24"/>
              </w:rPr>
              <w:t>http://www.cedex.es</w:t>
            </w:r>
          </w:p>
        </w:tc>
      </w:tr>
    </w:tbl>
    <w:p w14:paraId="71B25060" w14:textId="77777777" w:rsidR="000C6CFF" w:rsidRPr="00210368" w:rsidRDefault="000C6CFF">
      <w:pPr>
        <w:rPr>
          <w:rFonts w:ascii="Mulish" w:hAnsi="Mulish"/>
        </w:rPr>
      </w:pPr>
    </w:p>
    <w:p w14:paraId="60C27360" w14:textId="77777777" w:rsidR="00561402" w:rsidRPr="00210368" w:rsidRDefault="00561402">
      <w:pPr>
        <w:rPr>
          <w:rFonts w:ascii="Mulish" w:hAnsi="Mulish"/>
        </w:rPr>
      </w:pPr>
    </w:p>
    <w:p w14:paraId="1ED1177F" w14:textId="77777777" w:rsidR="00F14DA4" w:rsidRPr="00210368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210368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210368" w14:paraId="31B51184" w14:textId="77777777" w:rsidTr="000D5D95">
        <w:tc>
          <w:tcPr>
            <w:tcW w:w="1760" w:type="dxa"/>
            <w:shd w:val="clear" w:color="auto" w:fill="4D7F52"/>
          </w:tcPr>
          <w:p w14:paraId="567F3302" w14:textId="77777777" w:rsidR="005B19E4" w:rsidRPr="00210368" w:rsidRDefault="005B19E4" w:rsidP="000D5D9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8D4C5B1" w14:textId="77777777" w:rsidR="005B19E4" w:rsidRPr="00210368" w:rsidRDefault="005B19E4" w:rsidP="000D5D9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45B0FBB4" w14:textId="77777777" w:rsidR="005B19E4" w:rsidRPr="00210368" w:rsidRDefault="005B19E4" w:rsidP="000D5D9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210368" w14:paraId="3E0C7D24" w14:textId="77777777" w:rsidTr="000D5D95">
        <w:tc>
          <w:tcPr>
            <w:tcW w:w="1760" w:type="dxa"/>
          </w:tcPr>
          <w:p w14:paraId="0A6DC8BA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0BA3DE5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3E5481D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439970E0" w14:textId="77777777" w:rsidTr="000D5D95">
        <w:tc>
          <w:tcPr>
            <w:tcW w:w="1760" w:type="dxa"/>
          </w:tcPr>
          <w:p w14:paraId="0029AA9E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59832F63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8BDC774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57881081" w14:textId="77777777" w:rsidTr="000D5D95">
        <w:tc>
          <w:tcPr>
            <w:tcW w:w="1760" w:type="dxa"/>
          </w:tcPr>
          <w:p w14:paraId="708C2301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B27D134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1918AD6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4B7F27BC" w14:textId="77777777" w:rsidTr="000D5D95">
        <w:tc>
          <w:tcPr>
            <w:tcW w:w="1760" w:type="dxa"/>
          </w:tcPr>
          <w:p w14:paraId="19EDF9C2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59935999" w14:textId="77777777" w:rsidR="005B19E4" w:rsidRPr="00210368" w:rsidRDefault="000D37BA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210368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210368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04E11F6C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210368" w14:paraId="4005093F" w14:textId="77777777" w:rsidTr="000D5D95">
        <w:tc>
          <w:tcPr>
            <w:tcW w:w="1760" w:type="dxa"/>
          </w:tcPr>
          <w:p w14:paraId="6824254C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4DB7B1D2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B2D9DA2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68E54880" w14:textId="77777777" w:rsidTr="000D5D95">
        <w:tc>
          <w:tcPr>
            <w:tcW w:w="1760" w:type="dxa"/>
          </w:tcPr>
          <w:p w14:paraId="1C4094F9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749FDB30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33A8AC43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4B807DA6" w14:textId="77777777" w:rsidTr="000D5D95">
        <w:tc>
          <w:tcPr>
            <w:tcW w:w="1760" w:type="dxa"/>
          </w:tcPr>
          <w:p w14:paraId="3F1B3F40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1356518B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71830C6C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6211B984" w14:textId="77777777" w:rsidTr="000D5D95">
        <w:tc>
          <w:tcPr>
            <w:tcW w:w="1760" w:type="dxa"/>
          </w:tcPr>
          <w:p w14:paraId="1B61313C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AAA7BCC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95C395E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3BB09FA2" w14:textId="77777777" w:rsidTr="000D5D95">
        <w:tc>
          <w:tcPr>
            <w:tcW w:w="1760" w:type="dxa"/>
          </w:tcPr>
          <w:p w14:paraId="5D06EC38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6DA1166E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57E65DFD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626C8F70" w14:textId="77777777" w:rsidTr="000D5D95">
        <w:tc>
          <w:tcPr>
            <w:tcW w:w="1760" w:type="dxa"/>
          </w:tcPr>
          <w:p w14:paraId="01E8D2D6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BED0C12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FF4EE73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210368" w14:paraId="0BE9C496" w14:textId="77777777" w:rsidTr="000D5D95">
        <w:tc>
          <w:tcPr>
            <w:tcW w:w="1760" w:type="dxa"/>
          </w:tcPr>
          <w:p w14:paraId="79C79779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790AEA59" w14:textId="77777777" w:rsidR="005B19E4" w:rsidRPr="00210368" w:rsidRDefault="005B19E4" w:rsidP="000D5D95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2CD6007" w14:textId="77777777" w:rsidR="005B19E4" w:rsidRPr="00210368" w:rsidRDefault="005B19E4" w:rsidP="000D5D9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22277261" w14:textId="77777777" w:rsidR="00F14DA4" w:rsidRPr="00210368" w:rsidRDefault="00F14DA4">
      <w:pPr>
        <w:rPr>
          <w:rFonts w:ascii="Mulish" w:hAnsi="Mulish"/>
        </w:rPr>
      </w:pPr>
    </w:p>
    <w:p w14:paraId="5E5BBC71" w14:textId="77777777" w:rsidR="00F14DA4" w:rsidRPr="00210368" w:rsidRDefault="00F14DA4">
      <w:pPr>
        <w:rPr>
          <w:rFonts w:ascii="Mulish" w:hAnsi="Mulish"/>
        </w:rPr>
      </w:pPr>
    </w:p>
    <w:p w14:paraId="005926A7" w14:textId="77777777" w:rsidR="00F14DA4" w:rsidRPr="00210368" w:rsidRDefault="00F14DA4">
      <w:pPr>
        <w:rPr>
          <w:rFonts w:ascii="Mulish" w:hAnsi="Mulish"/>
        </w:rPr>
      </w:pPr>
    </w:p>
    <w:p w14:paraId="772C81D9" w14:textId="77777777" w:rsidR="00F14DA4" w:rsidRPr="00210368" w:rsidRDefault="00F14DA4">
      <w:pPr>
        <w:rPr>
          <w:rFonts w:ascii="Mulish" w:hAnsi="Mulish"/>
        </w:rPr>
      </w:pPr>
    </w:p>
    <w:p w14:paraId="017E4FFB" w14:textId="77777777" w:rsidR="00F14DA4" w:rsidRPr="00210368" w:rsidRDefault="00F14DA4">
      <w:pPr>
        <w:rPr>
          <w:rFonts w:ascii="Mulish" w:hAnsi="Mulish"/>
        </w:rPr>
      </w:pPr>
    </w:p>
    <w:p w14:paraId="65CF127E" w14:textId="77777777" w:rsidR="00561402" w:rsidRPr="00210368" w:rsidRDefault="00561402">
      <w:pPr>
        <w:rPr>
          <w:rFonts w:ascii="Mulish" w:hAnsi="Mulish"/>
        </w:rPr>
      </w:pPr>
    </w:p>
    <w:p w14:paraId="54056276" w14:textId="77777777" w:rsidR="00F14DA4" w:rsidRPr="00210368" w:rsidRDefault="00F14DA4">
      <w:pPr>
        <w:rPr>
          <w:rFonts w:ascii="Mulish" w:hAnsi="Mulish"/>
        </w:rPr>
      </w:pPr>
    </w:p>
    <w:p w14:paraId="6D9F2361" w14:textId="77777777" w:rsidR="00CB5511" w:rsidRPr="00210368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210368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210368" w14:paraId="794473AD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0D1D2A44" w14:textId="77777777" w:rsidR="00BB6799" w:rsidRPr="00210368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2EB2714" w14:textId="77777777" w:rsidR="00BB6799" w:rsidRPr="00210368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024702D6" w14:textId="77777777" w:rsidR="00BB6799" w:rsidRPr="00210368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210368" w14:paraId="23658AEB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5216ACEF" w14:textId="77777777" w:rsidR="00BB6799" w:rsidRPr="00210368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AF52BC2" w14:textId="77777777" w:rsidR="00BB6799" w:rsidRPr="00210368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3A9C90A3" w14:textId="77777777" w:rsidR="00BB6799" w:rsidRPr="00210368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210368" w14:paraId="6D02F959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98F1AB6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2007A94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76B5E06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2509E313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624BE33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AA16F89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E40BFC6" w14:textId="77777777" w:rsidR="00AD2022" w:rsidRPr="00210368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5572AA7D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7592912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8950DD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8EFE009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161955F0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B035980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8D400B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57DEB6D8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14F9595A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5028704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029273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6B91221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4D73371E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CE5919C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E0FE530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2D84245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7B06CF52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81662DF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DDBF135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C1632F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38A87C87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F4C8768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F37C1E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8ED74D9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5A7534DC" w14:textId="77777777" w:rsidTr="000D5D9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2BE1CC3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6236E3" w14:textId="77777777" w:rsidR="00AD2022" w:rsidRPr="0021036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4CE07855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92723A" w:rsidRPr="00210368" w14:paraId="3250772D" w14:textId="77777777" w:rsidTr="000D5D9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D79CFE9" w14:textId="77777777" w:rsidR="0092723A" w:rsidRPr="00210368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529FE61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571095D2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92723A" w:rsidRPr="00210368" w14:paraId="04E20192" w14:textId="77777777" w:rsidTr="000D5D9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3F8C3AD" w14:textId="77777777" w:rsidR="0092723A" w:rsidRPr="00210368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977A4E2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4DFD2E32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10368" w14:paraId="1CDB5D22" w14:textId="77777777" w:rsidTr="000D5D9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D62E380" w14:textId="77777777" w:rsidR="0092723A" w:rsidRPr="00210368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5BE9ED0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CDF4808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10368" w14:paraId="3C214BED" w14:textId="77777777" w:rsidTr="000D5D9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690AF81" w14:textId="77777777" w:rsidR="0092723A" w:rsidRPr="00210368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7A9ACA6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3512C67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10368" w14:paraId="6186476B" w14:textId="77777777" w:rsidTr="000D5D9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46A9B23" w14:textId="77777777" w:rsidR="0092723A" w:rsidRPr="00210368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CE77F6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53DD07EF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210368" w14:paraId="5BAAA6C1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76ECDC7" w14:textId="77777777" w:rsidR="0092723A" w:rsidRPr="00210368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D9396F" w14:textId="77777777" w:rsidR="0092723A" w:rsidRPr="00210368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87D5820" w14:textId="77777777" w:rsidR="0092723A" w:rsidRPr="00210368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10368" w14:paraId="64420F9B" w14:textId="77777777" w:rsidTr="000D5D9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3CCC1FDE" w14:textId="77777777" w:rsidR="00AD2022" w:rsidRPr="00210368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DEF54BF" w14:textId="77777777" w:rsidR="00AD2022" w:rsidRPr="0021036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1932011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7D928331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5D8892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4D2C06" w14:textId="4B1C4BF0" w:rsidR="00AD2022" w:rsidRPr="00210368" w:rsidRDefault="00ED49C3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210368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B9E93A2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4846ADB8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BFF91E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C4D9B9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55E188B7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0064E2B2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A83527F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00A621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2F23194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4D564EC8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5977AB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50AD05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A0A6F23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20A54903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1929EC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69FF59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875F784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00AF83E3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EECB8E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041421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284EE1C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7E397C95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8635B87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BB2F7F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619FE32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285C5DD1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6D57B6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CADD6C" w14:textId="77777777" w:rsidR="00AD2022" w:rsidRPr="0021036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589D5F42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517EE421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87D18C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7ED1A8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673E0627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52D843A0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02974A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72A86E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7BB466CA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1D1754F8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DA72EDC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BD90AE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00642620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10368" w14:paraId="4D6777AD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23828B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53C532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CC0D992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10368" w14:paraId="24749035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67062F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6506DA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3AC4A180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0495283C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6CCF987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8D7355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6D8E3BB3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5CB130D3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352FFB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7E9424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B05E864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6562B7C2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AAE918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BCFA68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BDF6CEE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544E0C" w:rsidRPr="00210368" w14:paraId="15D26080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306A64" w14:textId="77777777" w:rsidR="00544E0C" w:rsidRPr="0021036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6E3ACC" w14:textId="77777777" w:rsidR="00544E0C" w:rsidRPr="0021036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1AD26DFE" w14:textId="77777777" w:rsidR="00544E0C" w:rsidRPr="00210368" w:rsidRDefault="00544E0C" w:rsidP="00544E0C">
            <w:pPr>
              <w:jc w:val="center"/>
              <w:rPr>
                <w:rFonts w:ascii="Mulish" w:hAnsi="Mulish"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544E0C" w:rsidRPr="00210368" w14:paraId="57CD57E5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2CCBCF5" w14:textId="77777777" w:rsidR="00544E0C" w:rsidRPr="0021036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79CE28" w14:textId="77777777" w:rsidR="00544E0C" w:rsidRPr="0021036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32E6B57D" w14:textId="77777777" w:rsidR="00544E0C" w:rsidRPr="00210368" w:rsidRDefault="00544E0C" w:rsidP="00544E0C">
            <w:pPr>
              <w:jc w:val="center"/>
              <w:rPr>
                <w:rFonts w:ascii="Mulish" w:hAnsi="Mulish"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5F29B8" w:rsidRPr="00210368" w14:paraId="6680DB02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B1E413" w14:textId="77777777" w:rsidR="005F29B8" w:rsidRPr="0021036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2879EB7" w14:textId="77777777" w:rsidR="005F29B8" w:rsidRPr="0021036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7E0CF63" w14:textId="77777777" w:rsidR="005F29B8" w:rsidRPr="00210368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10368" w14:paraId="0A39BC60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5ED7F4" w14:textId="77777777" w:rsidR="005F29B8" w:rsidRPr="0021036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98FB1FC" w14:textId="77777777" w:rsidR="005F29B8" w:rsidRPr="0021036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8AC049C" w14:textId="77777777" w:rsidR="005F29B8" w:rsidRPr="00210368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10368" w14:paraId="52BE1FE9" w14:textId="77777777" w:rsidTr="000D5D9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3FC7156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694CE80" w14:textId="77777777" w:rsidR="00AD2022" w:rsidRPr="0021036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5C2F1AB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  <w:tr w:rsidR="00AD2022" w:rsidRPr="00210368" w14:paraId="2B3D1D69" w14:textId="77777777" w:rsidTr="000D5D9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2DB11F9" w14:textId="77777777" w:rsidR="00AD2022" w:rsidRPr="0021036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94D5F9E" w14:textId="77777777" w:rsidR="00AD2022" w:rsidRPr="00210368" w:rsidRDefault="00AD2022" w:rsidP="0057532F">
            <w:pPr>
              <w:rPr>
                <w:rFonts w:ascii="Mulish" w:hAnsi="Mulish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859E1EC" w14:textId="77777777" w:rsidR="00AD2022" w:rsidRPr="00210368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210368">
              <w:rPr>
                <w:rFonts w:ascii="Mulish" w:hAnsi="Mulish"/>
                <w:b/>
              </w:rPr>
              <w:t>x</w:t>
            </w:r>
          </w:p>
        </w:tc>
      </w:tr>
    </w:tbl>
    <w:p w14:paraId="629E1697" w14:textId="77777777" w:rsidR="00BB6799" w:rsidRPr="0021036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5D589B4" w14:textId="77777777" w:rsidR="00BB6799" w:rsidRPr="0021036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C1098FB" w14:textId="77777777" w:rsidR="00561402" w:rsidRPr="00210368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33C99FD0" w14:textId="77777777" w:rsidR="00B40246" w:rsidRPr="00210368" w:rsidRDefault="00210368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210368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5904C51A" w14:textId="77777777" w:rsidR="000C6CFF" w:rsidRPr="00210368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210368" w14:paraId="3563A07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70A6EC8" w14:textId="77777777" w:rsidR="00CB5511" w:rsidRPr="00210368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210368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648BD8E" w14:textId="77777777" w:rsidR="00CB5511" w:rsidRPr="0021036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F9CD4B1" w14:textId="77777777" w:rsidR="00CB5511" w:rsidRPr="00210368" w:rsidRDefault="00CF219D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7E98578C" w14:textId="65889927" w:rsidR="00CB5511" w:rsidRPr="00210368" w:rsidRDefault="00CF219D" w:rsidP="00CF219D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Localizable a mitad de página con el epígrafe Transparencia y </w:t>
            </w:r>
            <w:r w:rsidR="00B143C7" w:rsidRPr="00210368">
              <w:rPr>
                <w:rFonts w:ascii="Mulish" w:hAnsi="Mulish"/>
                <w:sz w:val="20"/>
                <w:szCs w:val="20"/>
              </w:rPr>
              <w:t>B</w:t>
            </w:r>
            <w:r w:rsidRPr="00210368">
              <w:rPr>
                <w:rFonts w:ascii="Mulish" w:hAnsi="Mulish"/>
                <w:sz w:val="20"/>
                <w:szCs w:val="20"/>
              </w:rPr>
              <w:t>uen gobierno.</w:t>
            </w:r>
          </w:p>
        </w:tc>
      </w:tr>
      <w:tr w:rsidR="00CB5511" w:rsidRPr="00210368" w14:paraId="586C846B" w14:textId="77777777" w:rsidTr="00E34195">
        <w:tc>
          <w:tcPr>
            <w:tcW w:w="2235" w:type="dxa"/>
            <w:vMerge/>
            <w:shd w:val="clear" w:color="auto" w:fill="00642D"/>
          </w:tcPr>
          <w:p w14:paraId="4A1043A8" w14:textId="77777777" w:rsidR="00CB5511" w:rsidRPr="0021036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D006DFA" w14:textId="77777777" w:rsidR="00CB5511" w:rsidRPr="0021036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448809E1" w14:textId="77777777" w:rsidR="00CB5511" w:rsidRPr="0021036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EFD288" w14:textId="77777777" w:rsidR="00CB5511" w:rsidRPr="0021036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210368" w14:paraId="5F1AB45B" w14:textId="77777777" w:rsidTr="00E34195">
        <w:tc>
          <w:tcPr>
            <w:tcW w:w="2235" w:type="dxa"/>
            <w:vMerge/>
            <w:shd w:val="clear" w:color="auto" w:fill="00642D"/>
          </w:tcPr>
          <w:p w14:paraId="5620F4FB" w14:textId="77777777" w:rsidR="00CB5511" w:rsidRPr="0021036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963218B" w14:textId="77777777" w:rsidR="00CB5511" w:rsidRPr="0021036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B0A9B99" w14:textId="77777777" w:rsidR="00CB5511" w:rsidRPr="0021036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1002F12" w14:textId="77777777" w:rsidR="00CB5511" w:rsidRPr="0021036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E85F9B4" w14:textId="77777777" w:rsidR="00CB5511" w:rsidRPr="00210368" w:rsidRDefault="00CB5511">
      <w:pPr>
        <w:rPr>
          <w:rFonts w:ascii="Mulish" w:hAnsi="Mulish"/>
        </w:rPr>
      </w:pPr>
    </w:p>
    <w:p w14:paraId="14C91E6C" w14:textId="77777777" w:rsidR="00CB5511" w:rsidRPr="00210368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210368" w14:paraId="3468AA00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2A0D946" w14:textId="77777777" w:rsidR="00932008" w:rsidRPr="00210368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210368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FBC0335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AD3EB9D" w14:textId="77777777" w:rsidR="00932008" w:rsidRPr="0021036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4F02AB0B" w14:textId="77777777" w:rsidR="00932008" w:rsidRPr="00210368" w:rsidRDefault="003361BA" w:rsidP="003361B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Gran parte de la</w:t>
            </w:r>
            <w:r w:rsidR="00CF219D" w:rsidRPr="00210368">
              <w:rPr>
                <w:rFonts w:ascii="Mulish" w:hAnsi="Mulish"/>
                <w:sz w:val="20"/>
                <w:szCs w:val="20"/>
              </w:rPr>
              <w:t xml:space="preserve"> información relacionada con las obligaciones de publicidad activa se localiza tanto en otros accesos</w:t>
            </w:r>
            <w:r w:rsidRPr="00210368">
              <w:rPr>
                <w:rFonts w:ascii="Mulish" w:hAnsi="Mulish"/>
                <w:sz w:val="20"/>
                <w:szCs w:val="20"/>
              </w:rPr>
              <w:t xml:space="preserve"> de la web diferentes del Portal de Transparencia</w:t>
            </w:r>
            <w:r w:rsidR="00CF219D" w:rsidRPr="00210368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932008" w:rsidRPr="00210368" w14:paraId="25D51A2F" w14:textId="77777777" w:rsidTr="00E34195">
        <w:tc>
          <w:tcPr>
            <w:tcW w:w="2235" w:type="dxa"/>
            <w:vMerge/>
            <w:shd w:val="clear" w:color="auto" w:fill="00642D"/>
          </w:tcPr>
          <w:p w14:paraId="2E4E9625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E2E29C" w14:textId="03048A9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B143C7" w:rsidRPr="00210368">
              <w:rPr>
                <w:rFonts w:ascii="Mulish" w:hAnsi="Mulish"/>
                <w:sz w:val="20"/>
                <w:szCs w:val="20"/>
              </w:rPr>
              <w:t>organizada,</w:t>
            </w:r>
            <w:r w:rsidRPr="00210368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761C33FD" w14:textId="77777777" w:rsidR="00932008" w:rsidRPr="00210368" w:rsidRDefault="003361BA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1036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33036F64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10368" w14:paraId="328ACA6B" w14:textId="77777777" w:rsidTr="00E34195">
        <w:tc>
          <w:tcPr>
            <w:tcW w:w="2235" w:type="dxa"/>
            <w:vMerge/>
            <w:shd w:val="clear" w:color="auto" w:fill="00642D"/>
          </w:tcPr>
          <w:p w14:paraId="7B5A4228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A8E481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A52F8F5" w14:textId="77777777" w:rsidR="00932008" w:rsidRPr="0021036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C25D5E0" w14:textId="77777777" w:rsidR="00932008" w:rsidRPr="0021036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1842EC2" w14:textId="77777777" w:rsidR="00561402" w:rsidRPr="00210368" w:rsidRDefault="00561402">
      <w:pPr>
        <w:rPr>
          <w:rFonts w:ascii="Mulish" w:hAnsi="Mulish"/>
        </w:rPr>
      </w:pPr>
    </w:p>
    <w:p w14:paraId="170291AF" w14:textId="77777777" w:rsidR="007808F7" w:rsidRPr="00210368" w:rsidRDefault="007808F7" w:rsidP="007808F7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10368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7808F7" w:rsidRPr="00210368" w14:paraId="355FB0C4" w14:textId="77777777" w:rsidTr="003361BA">
        <w:tc>
          <w:tcPr>
            <w:tcW w:w="2506" w:type="dxa"/>
          </w:tcPr>
          <w:p w14:paraId="589BABCF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671AF7BE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109F222C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43EEA5E9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7808F7" w:rsidRPr="00210368" w14:paraId="155B91B3" w14:textId="77777777" w:rsidTr="003361BA">
        <w:tc>
          <w:tcPr>
            <w:tcW w:w="2506" w:type="dxa"/>
          </w:tcPr>
          <w:p w14:paraId="330D0FDE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Fonts w:ascii="Mulish" w:hAnsi="Mulish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2616" w:type="dxa"/>
          </w:tcPr>
          <w:p w14:paraId="17268820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29,4%</w:t>
            </w:r>
          </w:p>
        </w:tc>
        <w:tc>
          <w:tcPr>
            <w:tcW w:w="2788" w:type="dxa"/>
          </w:tcPr>
          <w:p w14:paraId="3C40EA40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21</w:t>
            </w:r>
          </w:p>
        </w:tc>
        <w:tc>
          <w:tcPr>
            <w:tcW w:w="2063" w:type="dxa"/>
          </w:tcPr>
          <w:p w14:paraId="21675CB0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2</w:t>
            </w:r>
          </w:p>
        </w:tc>
      </w:tr>
      <w:tr w:rsidR="007808F7" w:rsidRPr="00210368" w14:paraId="486CF133" w14:textId="77777777" w:rsidTr="003361BA">
        <w:tc>
          <w:tcPr>
            <w:tcW w:w="2506" w:type="dxa"/>
          </w:tcPr>
          <w:p w14:paraId="74F1379F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616" w:type="dxa"/>
          </w:tcPr>
          <w:p w14:paraId="64EFC66C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35,2%</w:t>
            </w:r>
          </w:p>
        </w:tc>
        <w:tc>
          <w:tcPr>
            <w:tcW w:w="2788" w:type="dxa"/>
          </w:tcPr>
          <w:p w14:paraId="5D9BFA38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19</w:t>
            </w:r>
          </w:p>
        </w:tc>
        <w:tc>
          <w:tcPr>
            <w:tcW w:w="2063" w:type="dxa"/>
          </w:tcPr>
          <w:p w14:paraId="43DB2025" w14:textId="77777777" w:rsidR="007808F7" w:rsidRPr="00210368" w:rsidRDefault="00FD0ED8" w:rsidP="003361B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color w:val="auto"/>
                <w:sz w:val="20"/>
                <w:szCs w:val="20"/>
              </w:rPr>
              <w:t>3</w:t>
            </w:r>
          </w:p>
        </w:tc>
      </w:tr>
    </w:tbl>
    <w:p w14:paraId="166E0F7E" w14:textId="77777777" w:rsidR="007808F7" w:rsidRPr="00210368" w:rsidRDefault="007808F7" w:rsidP="007808F7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7808F7" w:rsidRPr="00210368" w14:paraId="32E29FAB" w14:textId="77777777" w:rsidTr="003361BA">
        <w:tc>
          <w:tcPr>
            <w:tcW w:w="10606" w:type="dxa"/>
          </w:tcPr>
          <w:p w14:paraId="1754FFB6" w14:textId="77777777" w:rsidR="007808F7" w:rsidRPr="00210368" w:rsidRDefault="007808F7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7808F7" w:rsidRPr="00210368" w14:paraId="2C0AC17A" w14:textId="77777777" w:rsidTr="003361BA">
        <w:tc>
          <w:tcPr>
            <w:tcW w:w="10606" w:type="dxa"/>
          </w:tcPr>
          <w:p w14:paraId="3B141F97" w14:textId="77777777" w:rsidR="007808F7" w:rsidRPr="00210368" w:rsidRDefault="007808F7" w:rsidP="007808F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0E0CADBD" w14:textId="77777777" w:rsidR="007808F7" w:rsidRPr="00210368" w:rsidRDefault="007808F7" w:rsidP="007808F7">
            <w:pPr>
              <w:pStyle w:val="Sinespaciado"/>
              <w:numPr>
                <w:ilvl w:val="0"/>
                <w:numId w:val="20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Sigue sin crearse un espacio específico para la publicación de las informaciones sujetas a obligaciones de publicidad activa.</w:t>
            </w:r>
          </w:p>
          <w:p w14:paraId="1771E2E3" w14:textId="77777777" w:rsidR="007808F7" w:rsidRPr="00210368" w:rsidRDefault="007808F7" w:rsidP="007808F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0719CCED" w14:textId="77777777" w:rsidR="007808F7" w:rsidRPr="00210368" w:rsidRDefault="007808F7" w:rsidP="007808F7">
            <w:pPr>
              <w:pStyle w:val="Sinespaciado"/>
              <w:numPr>
                <w:ilvl w:val="0"/>
                <w:numId w:val="20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03D744E4" w14:textId="77777777" w:rsidR="007808F7" w:rsidRPr="00210368" w:rsidRDefault="007808F7" w:rsidP="007808F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747A996B" w14:textId="77777777" w:rsidR="007808F7" w:rsidRPr="00210368" w:rsidRDefault="007808F7" w:rsidP="007808F7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1E5C9FB9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El organigrama</w:t>
            </w:r>
          </w:p>
          <w:p w14:paraId="62684DCD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El perfil y trayectoria profesional de los máximos responsables.  </w:t>
            </w:r>
          </w:p>
          <w:p w14:paraId="567DAA42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Los informes de seguimiento o evaluación de planes y programas</w:t>
            </w:r>
          </w:p>
          <w:p w14:paraId="2DF97853" w14:textId="77777777" w:rsidR="007808F7" w:rsidRPr="00210368" w:rsidRDefault="007808F7" w:rsidP="007808F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689D387" w14:textId="77777777" w:rsidR="007808F7" w:rsidRPr="00210368" w:rsidRDefault="007808F7" w:rsidP="007808F7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lastRenderedPageBreak/>
              <w:t>En el bloque de información económica:</w:t>
            </w:r>
          </w:p>
          <w:p w14:paraId="0084D7E9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modificaciones de contratos.</w:t>
            </w:r>
          </w:p>
          <w:p w14:paraId="035BAE69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 información estadística sobre contratación</w:t>
            </w:r>
          </w:p>
          <w:p w14:paraId="6F3E9E6D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Los convenios</w:t>
            </w:r>
          </w:p>
          <w:p w14:paraId="5050AE58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encomiendas de gestión y en su caso, las subcontrataciones derivadas de éstas.</w:t>
            </w:r>
          </w:p>
          <w:p w14:paraId="423D5264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Los presupuestos</w:t>
            </w:r>
          </w:p>
          <w:p w14:paraId="458E99CC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 ejecución presupuestaria</w:t>
            </w:r>
          </w:p>
          <w:p w14:paraId="0AAF0E4A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 cuanto a la información sobre las cuentas anuales, se redirige al Registro de Cuentas de organismos públicos, posicionando en la página inicial, lo que supone una barrera a la accesibilidad a la información.</w:t>
            </w:r>
          </w:p>
          <w:p w14:paraId="78C3E4ED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ind w:left="2127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Los informes de auditoría y fiscalización elaborados por el Tribunal de Cuentas. </w:t>
            </w:r>
          </w:p>
          <w:p w14:paraId="0E325335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ind w:left="2127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retribuciones de sus máximos responsables</w:t>
            </w:r>
          </w:p>
          <w:p w14:paraId="3BAEDC84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indemnizaciones percibidas por altos cargos y máximos responsables tras el abandono del cargo</w:t>
            </w:r>
          </w:p>
          <w:p w14:paraId="3E4E79A3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autorizaciones de compatibilidad concedidas a los empleados públicos de CEDEX.</w:t>
            </w:r>
          </w:p>
          <w:p w14:paraId="639D3934" w14:textId="77777777" w:rsidR="007808F7" w:rsidRPr="00210368" w:rsidRDefault="007808F7" w:rsidP="007808F7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Las autorizaciones para el ejercicio de actividades privadas al ceso de altos Cargos.</w:t>
            </w:r>
          </w:p>
          <w:p w14:paraId="21A87BAD" w14:textId="77777777" w:rsidR="007808F7" w:rsidRPr="00210368" w:rsidRDefault="007808F7" w:rsidP="007808F7">
            <w:pPr>
              <w:pStyle w:val="Prrafodelista"/>
              <w:numPr>
                <w:ilvl w:val="1"/>
                <w:numId w:val="21"/>
              </w:numPr>
              <w:ind w:left="1418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>En el bloque de información Patrimonial: no se publica información sobre los bienes inmuebles propiedad de CEDEX o sobre los que ostente algún derecho real.</w:t>
            </w:r>
          </w:p>
          <w:p w14:paraId="579D5205" w14:textId="77777777" w:rsidR="007808F7" w:rsidRPr="00210368" w:rsidRDefault="007808F7" w:rsidP="007808F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4960702B" w14:textId="77777777" w:rsidR="007808F7" w:rsidRPr="00210368" w:rsidRDefault="007808F7" w:rsidP="007808F7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3BC001C" w14:textId="77777777" w:rsidR="007808F7" w:rsidRPr="00210368" w:rsidRDefault="007808F7" w:rsidP="007808F7">
            <w:pPr>
              <w:pStyle w:val="Sinespaciado"/>
              <w:numPr>
                <w:ilvl w:val="0"/>
                <w:numId w:val="20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</w:t>
            </w:r>
          </w:p>
          <w:p w14:paraId="2E5CE786" w14:textId="77777777" w:rsidR="007808F7" w:rsidRPr="00210368" w:rsidRDefault="007808F7" w:rsidP="007808F7">
            <w:pPr>
              <w:pStyle w:val="Sinespaciado"/>
              <w:numPr>
                <w:ilvl w:val="1"/>
                <w:numId w:val="20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Gran parte de la información no está datada </w:t>
            </w:r>
          </w:p>
          <w:p w14:paraId="3D2ABFBE" w14:textId="35E147B2" w:rsidR="007808F7" w:rsidRPr="00210368" w:rsidRDefault="007808F7" w:rsidP="007808F7">
            <w:pPr>
              <w:pStyle w:val="Sinespaciado"/>
              <w:numPr>
                <w:ilvl w:val="1"/>
                <w:numId w:val="20"/>
              </w:numPr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210368">
              <w:rPr>
                <w:rFonts w:ascii="Mulish" w:hAnsi="Mulish"/>
                <w:sz w:val="20"/>
                <w:szCs w:val="20"/>
              </w:rPr>
              <w:t xml:space="preserve">La información debe publicarse en la web de CEDEX, sin que quepa remisión a la publicación en el Portal de Transparencia de la AGE, ya que éste sólo debería publicar la información correspondiente a la organización central de los Ministerios, administración </w:t>
            </w:r>
            <w:r w:rsidR="00ED49C3" w:rsidRPr="00210368">
              <w:rPr>
                <w:rFonts w:ascii="Mulish" w:hAnsi="Mulish"/>
                <w:sz w:val="20"/>
                <w:szCs w:val="20"/>
              </w:rPr>
              <w:t>territorial y Administración</w:t>
            </w:r>
            <w:r w:rsidRPr="00210368">
              <w:rPr>
                <w:rFonts w:ascii="Mulish" w:hAnsi="Mulish"/>
                <w:sz w:val="20"/>
                <w:szCs w:val="20"/>
              </w:rPr>
              <w:t xml:space="preserve"> General del Estado en el Exterior.  Por otra parte, esta forma de publicación exige la realización de nuevas búsquedas para localizar la información </w:t>
            </w:r>
            <w:proofErr w:type="gramStart"/>
            <w:r w:rsidRPr="00210368">
              <w:rPr>
                <w:rFonts w:ascii="Mulish" w:hAnsi="Mulish"/>
                <w:sz w:val="20"/>
                <w:szCs w:val="20"/>
              </w:rPr>
              <w:t>y</w:t>
            </w:r>
            <w:proofErr w:type="gramEnd"/>
            <w:r w:rsidRPr="00210368">
              <w:rPr>
                <w:rFonts w:ascii="Mulish" w:hAnsi="Mulish"/>
                <w:sz w:val="20"/>
                <w:szCs w:val="20"/>
              </w:rPr>
              <w:t xml:space="preserve"> además, en el Portal de Transparencia de la AGE no se publican todas las informaciones obligatorias aplicables a cada uno de </w:t>
            </w:r>
            <w:r w:rsidR="00ED49C3" w:rsidRPr="00210368">
              <w:rPr>
                <w:rFonts w:ascii="Mulish" w:hAnsi="Mulish"/>
                <w:sz w:val="20"/>
                <w:szCs w:val="20"/>
              </w:rPr>
              <w:t>los organismos</w:t>
            </w:r>
            <w:r w:rsidRPr="00210368">
              <w:rPr>
                <w:rFonts w:ascii="Mulish" w:hAnsi="Mulish"/>
                <w:sz w:val="20"/>
                <w:szCs w:val="20"/>
              </w:rPr>
              <w:t xml:space="preserve"> dependientes.</w:t>
            </w:r>
          </w:p>
        </w:tc>
      </w:tr>
    </w:tbl>
    <w:p w14:paraId="33AD3CEA" w14:textId="77777777" w:rsidR="007808F7" w:rsidRPr="00210368" w:rsidRDefault="007808F7" w:rsidP="007808F7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18069D73" w14:textId="77777777" w:rsidR="007808F7" w:rsidRPr="00210368" w:rsidRDefault="007808F7">
      <w:pPr>
        <w:rPr>
          <w:rFonts w:ascii="Mulish" w:hAnsi="Mulish"/>
        </w:rPr>
      </w:pPr>
    </w:p>
    <w:p w14:paraId="50D30058" w14:textId="77777777" w:rsidR="00561402" w:rsidRPr="00210368" w:rsidRDefault="00561402">
      <w:pPr>
        <w:rPr>
          <w:rFonts w:ascii="Mulish" w:hAnsi="Mulish"/>
        </w:rPr>
      </w:pPr>
      <w:r w:rsidRPr="00210368">
        <w:rPr>
          <w:rFonts w:ascii="Mulish" w:hAnsi="Mulish"/>
        </w:rPr>
        <w:br w:type="page"/>
      </w:r>
    </w:p>
    <w:p w14:paraId="49C11951" w14:textId="77777777" w:rsidR="00932008" w:rsidRPr="00210368" w:rsidRDefault="003361BA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10368">
        <w:rPr>
          <w:rFonts w:ascii="Mulish" w:hAnsi="Mulish"/>
          <w:b/>
          <w:color w:val="00642D"/>
          <w:sz w:val="32"/>
        </w:rPr>
        <w:lastRenderedPageBreak/>
        <w:t>Resultados de la tercera evaluación del c</w:t>
      </w:r>
      <w:r w:rsidR="00932008" w:rsidRPr="00210368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0FF5211B" w14:textId="77777777" w:rsidR="00932008" w:rsidRPr="00210368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>I</w:t>
      </w:r>
      <w:r w:rsidR="007808F7" w:rsidRPr="00210368">
        <w:rPr>
          <w:rStyle w:val="Ttulo2Car"/>
          <w:rFonts w:ascii="Mulish" w:hAnsi="Mulish"/>
          <w:color w:val="00642D"/>
          <w:lang w:bidi="es-ES"/>
        </w:rPr>
        <w:t>I</w:t>
      </w:r>
      <w:r w:rsidRPr="00210368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210368">
        <w:rPr>
          <w:rStyle w:val="Ttulo2Car"/>
          <w:rFonts w:ascii="Mulish" w:hAnsi="Mulish"/>
          <w:color w:val="00642D"/>
          <w:lang w:bidi="es-ES"/>
        </w:rPr>
        <w:t>,</w:t>
      </w:r>
      <w:r w:rsidRPr="00210368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210368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210368">
        <w:rPr>
          <w:rStyle w:val="Ttulo2Car"/>
          <w:rFonts w:ascii="Mulish" w:hAnsi="Mulish"/>
          <w:color w:val="00642D"/>
          <w:lang w:bidi="es-ES"/>
        </w:rPr>
        <w:t>.</w:t>
      </w:r>
      <w:r w:rsidRPr="0021036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210368" w14:paraId="49F78D6F" w14:textId="77777777" w:rsidTr="003361B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4A03B2C5" w14:textId="77777777" w:rsidR="00E34195" w:rsidRPr="00210368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AEDFE9F" w14:textId="77777777" w:rsidR="00E34195" w:rsidRPr="00210368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74DBF13" w14:textId="77777777" w:rsidR="00E34195" w:rsidRPr="00210368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14:paraId="2CA82747" w14:textId="77777777" w:rsidR="00E34195" w:rsidRPr="00210368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210368" w14:paraId="4E952BF1" w14:textId="77777777" w:rsidTr="003361B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8F9AF78" w14:textId="77777777" w:rsidR="00E34195" w:rsidRPr="0021036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CD67C2" w14:textId="77777777" w:rsidR="00E34195" w:rsidRPr="0021036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125D29" w14:textId="77777777" w:rsidR="00E34195" w:rsidRPr="00210368" w:rsidRDefault="00E34195" w:rsidP="003361BA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8CC602" w14:textId="77777777" w:rsidR="00E34195" w:rsidRPr="00210368" w:rsidRDefault="003361BA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acceso Quiénes somos</w:t>
            </w:r>
            <w:r w:rsidR="000D5D9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informa sobre la norma de creación del organismo y de aprobación de sus Estatutos, aunque no se da acceso a los textos. No se informa sobre otras normas de carácter general que también son aplicables al CEDEX como, por ejemplo, las Leyes 39/2015, 40/2015, Ley de Contratos del Sector Público, etc. </w:t>
            </w:r>
          </w:p>
        </w:tc>
      </w:tr>
      <w:tr w:rsidR="00E34195" w:rsidRPr="00210368" w14:paraId="20AA060E" w14:textId="77777777" w:rsidTr="003361BA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BC3A7FF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10CD9C" w14:textId="77777777" w:rsidR="00E34195" w:rsidRPr="0021036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ACA9B3" w14:textId="77777777" w:rsidR="00E34195" w:rsidRPr="00210368" w:rsidRDefault="00E34195" w:rsidP="000D5D95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F6EB34" w14:textId="77777777" w:rsidR="00E34195" w:rsidRPr="00210368" w:rsidRDefault="00A20A7F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3361BA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="000D5D9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 y Qué hacemos. No existen referencias a la última fecha en que se revisó o actualizó la información.</w:t>
            </w:r>
          </w:p>
        </w:tc>
      </w:tr>
      <w:tr w:rsidR="00E34195" w:rsidRPr="00210368" w14:paraId="3DFAD73A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5B70A99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E5C4F" w14:textId="77777777" w:rsidR="00E34195" w:rsidRPr="0021036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C81C8B" w14:textId="77777777" w:rsidR="00E34195" w:rsidRPr="00210368" w:rsidRDefault="00E34195" w:rsidP="00A20A7F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FBABCE" w14:textId="384E6C65" w:rsidR="00E34195" w:rsidRPr="00210368" w:rsidRDefault="00A20A7F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3361BA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acceso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Privacidad</w:t>
            </w:r>
            <w:r w:rsidR="003361BA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ubicado al final de la página home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existen referencias a la última fecha en que se revisó o actualizó la información</w:t>
            </w:r>
            <w:r w:rsidR="000D5D9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BF2B0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El enlace situado en el apartado Buen Gobierno abre una página que contiene un enlace – Política de privacidad del CEDEX -, que, a su vez, abre una nueva página en la que se solicita identificación para acceder a los contenidos.</w:t>
            </w:r>
          </w:p>
        </w:tc>
      </w:tr>
      <w:tr w:rsidR="00E34195" w:rsidRPr="00210368" w14:paraId="47291ABA" w14:textId="77777777" w:rsidTr="003361B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B1F9A4B" w14:textId="77777777" w:rsidR="00E34195" w:rsidRPr="0021036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6F215C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5FB8C3" w14:textId="77777777" w:rsidR="00E34195" w:rsidRPr="00210368" w:rsidRDefault="00E34195" w:rsidP="00A20A7F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3FF1BA" w14:textId="77777777" w:rsidR="00E34195" w:rsidRPr="00210368" w:rsidRDefault="000D5D95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A20A7F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ocalizable en </w:t>
            </w:r>
            <w:r w:rsidR="003361BA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="00A20A7F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existen referencias a la última fecha en que se revisó o actualizó la información.</w:t>
            </w:r>
          </w:p>
        </w:tc>
      </w:tr>
      <w:tr w:rsidR="00E34195" w:rsidRPr="00210368" w14:paraId="26471015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EF32738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344B10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3075BC" w14:textId="77777777" w:rsidR="00E34195" w:rsidRPr="00210368" w:rsidRDefault="00E34195" w:rsidP="00A20A7F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218DBB" w14:textId="77777777" w:rsidR="00E34195" w:rsidRPr="00210368" w:rsidRDefault="00A20A7F" w:rsidP="003361B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3361BA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somos/Organigrama. No se publica en formato reutilizable y tampoco aparecen referencias a la última fecha en que se revisó o actualizó la información.</w:t>
            </w:r>
          </w:p>
        </w:tc>
      </w:tr>
      <w:tr w:rsidR="00E34195" w:rsidRPr="00210368" w14:paraId="519CFB29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F40C49B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C33305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890FF2" w14:textId="77777777" w:rsidR="00E34195" w:rsidRPr="00210368" w:rsidRDefault="00E34195" w:rsidP="00EE1C0B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359B8C" w14:textId="77777777" w:rsidR="00E34195" w:rsidRPr="00210368" w:rsidRDefault="00EE1C0B" w:rsidP="007640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764046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somos/</w:t>
            </w:r>
            <w:r w:rsidR="00764046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Directorio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se publica</w:t>
            </w:r>
            <w:r w:rsidR="00764046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referencias a la última fecha en que se revisó o actualizó la información.</w:t>
            </w:r>
          </w:p>
        </w:tc>
      </w:tr>
      <w:tr w:rsidR="00E34195" w:rsidRPr="00210368" w14:paraId="089C1157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E5C41AB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4FF492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664867" w14:textId="77777777" w:rsidR="00E34195" w:rsidRPr="0021036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F45636" w14:textId="77777777" w:rsidR="00E34195" w:rsidRPr="00210368" w:rsidRDefault="00EE1C0B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561A4" w:rsidRPr="00210368" w14:paraId="4EC47FBF" w14:textId="77777777" w:rsidTr="003361B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651E12A" w14:textId="77777777" w:rsidR="001561A4" w:rsidRPr="00210368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37E8B0" w14:textId="77777777" w:rsidR="001561A4" w:rsidRPr="00210368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Programas 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E69F5F" w14:textId="77777777" w:rsidR="001561A4" w:rsidRPr="00210368" w:rsidRDefault="001561A4" w:rsidP="00764046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7CEE08" w14:textId="77777777" w:rsidR="001561A4" w:rsidRPr="00210368" w:rsidRDefault="00764046" w:rsidP="007640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el Portal de Transparencia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 publica el Plan 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Plurianual de Actuación Estratégico 2020-2022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y los planes de actuación 2020, 2021 y 2022. </w:t>
            </w:r>
          </w:p>
        </w:tc>
      </w:tr>
      <w:tr w:rsidR="001561A4" w:rsidRPr="00210368" w14:paraId="2624CF93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365B03B" w14:textId="77777777" w:rsidR="001561A4" w:rsidRPr="00210368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26AC36" w14:textId="77777777" w:rsidR="001561A4" w:rsidRPr="00210368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A97939" w14:textId="77777777" w:rsidR="001561A4" w:rsidRPr="00210368" w:rsidRDefault="001561A4" w:rsidP="00764046">
            <w:pPr>
              <w:pStyle w:val="Cuerpodelboletn"/>
              <w:numPr>
                <w:ilvl w:val="0"/>
                <w:numId w:val="2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9C3EE0" w14:textId="77777777" w:rsidR="001561A4" w:rsidRPr="00210368" w:rsidRDefault="001F0119" w:rsidP="001F011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Portal de Transparencia se publica el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 de seguimiento de los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PAC 202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 y 2021</w:t>
            </w:r>
            <w:r w:rsidR="00611034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este último fechado en junio de 2022. No se ha localizado información de seguimiento del PAC 2022.</w:t>
            </w:r>
          </w:p>
        </w:tc>
      </w:tr>
      <w:tr w:rsidR="001561A4" w:rsidRPr="00210368" w14:paraId="3DBA4FEE" w14:textId="77777777" w:rsidTr="003361B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D3BF6B8" w14:textId="77777777" w:rsidR="001561A4" w:rsidRPr="00210368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74D327" w14:textId="77777777" w:rsidR="001561A4" w:rsidRPr="00210368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D53EA3" w14:textId="77777777" w:rsidR="001561A4" w:rsidRPr="00210368" w:rsidRDefault="001561A4" w:rsidP="00611034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D0A0EB" w14:textId="77777777" w:rsidR="001561A4" w:rsidRPr="00210368" w:rsidRDefault="00611034" w:rsidP="001F011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Transparencia/Plan Estratégico/Catálogo de indicadores. No se publica</w:t>
            </w:r>
            <w:r w:rsidR="001F0119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referencias a la última fecha en que se revisó o actualizó la información.</w:t>
            </w:r>
          </w:p>
        </w:tc>
      </w:tr>
    </w:tbl>
    <w:p w14:paraId="2F994157" w14:textId="77777777" w:rsidR="00E3088D" w:rsidRPr="00210368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i/>
          <w:lang w:bidi="es-ES"/>
        </w:rPr>
      </w:pPr>
    </w:p>
    <w:p w14:paraId="256C8551" w14:textId="77777777" w:rsidR="001561A4" w:rsidRPr="0021036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F433EAE" w14:textId="77777777" w:rsidR="001561A4" w:rsidRPr="00210368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1036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B8C6F" wp14:editId="16476F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BC37" w14:textId="77777777" w:rsidR="000F0A21" w:rsidRDefault="000F0A2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18F58BC" w14:textId="77777777" w:rsidR="000F0A21" w:rsidRPr="006273F9" w:rsidRDefault="000F0A21" w:rsidP="0061103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a información publicada </w:t>
                            </w:r>
                            <w:r w:rsidRPr="00805B05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6273F9">
                              <w:rPr>
                                <w:sz w:val="20"/>
                                <w:szCs w:val="20"/>
                              </w:rPr>
                              <w:t xml:space="preserve"> recoge la totalidad de los contenidos obligatorios establecidos en el artículo 6 y 6 bis de la LTAIBG.</w:t>
                            </w:r>
                          </w:p>
                          <w:p w14:paraId="434BD41A" w14:textId="77777777" w:rsidR="000F0A21" w:rsidRDefault="000F0A21" w:rsidP="0061103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5C9A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normativa de carácter general aplicable al CEDEX.</w:t>
                            </w:r>
                          </w:p>
                          <w:p w14:paraId="4F14BEF0" w14:textId="77777777" w:rsidR="000F0A21" w:rsidRDefault="000F0A21" w:rsidP="0061103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el perfil y trayectoria profesional de los responsables del organismo.</w:t>
                            </w:r>
                          </w:p>
                          <w:p w14:paraId="69EDE0B1" w14:textId="77777777" w:rsidR="000F0A21" w:rsidRDefault="000F0A21" w:rsidP="00611034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65D1C888" w14:textId="77777777" w:rsidR="000F0A21" w:rsidRDefault="000F0A21" w:rsidP="0061103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no está datada ni existen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B8C6F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42A6BC37" w14:textId="77777777" w:rsidR="000F0A21" w:rsidRDefault="000F0A2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18F58BC" w14:textId="77777777" w:rsidR="000F0A21" w:rsidRPr="006273F9" w:rsidRDefault="000F0A21" w:rsidP="0061103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a información publicada </w:t>
                      </w:r>
                      <w:r w:rsidRPr="00805B05">
                        <w:rPr>
                          <w:sz w:val="20"/>
                          <w:szCs w:val="20"/>
                        </w:rPr>
                        <w:t>no</w:t>
                      </w:r>
                      <w:r w:rsidRPr="006273F9">
                        <w:rPr>
                          <w:sz w:val="20"/>
                          <w:szCs w:val="20"/>
                        </w:rPr>
                        <w:t xml:space="preserve"> recoge la totalidad de los contenidos obligatorios establecidos en el artículo 6 y 6 bis de la LTAIBG.</w:t>
                      </w:r>
                    </w:p>
                    <w:p w14:paraId="434BD41A" w14:textId="77777777" w:rsidR="000F0A21" w:rsidRDefault="000F0A21" w:rsidP="0061103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A5C9A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la normativa de carácter general aplicable al CEDEX.</w:t>
                      </w:r>
                    </w:p>
                    <w:p w14:paraId="4F14BEF0" w14:textId="77777777" w:rsidR="000F0A21" w:rsidRDefault="000F0A21" w:rsidP="0061103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el perfil y trayectoria profesional de los responsables del organismo.</w:t>
                      </w:r>
                    </w:p>
                    <w:p w14:paraId="69EDE0B1" w14:textId="77777777" w:rsidR="000F0A21" w:rsidRDefault="000F0A21" w:rsidP="00611034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65D1C888" w14:textId="77777777" w:rsidR="000F0A21" w:rsidRDefault="000F0A21" w:rsidP="0061103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no está datada ni existen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61C87346" w14:textId="77777777" w:rsidR="001561A4" w:rsidRPr="0021036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1FB2B01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BADB8C0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959376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F46FD7E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177ACA1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267EDF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ADDF785" w14:textId="77777777" w:rsidR="0094515D" w:rsidRPr="00210368" w:rsidRDefault="0094515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06D803B" w14:textId="77777777" w:rsidR="006A2766" w:rsidRPr="00210368" w:rsidRDefault="006A2766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>I</w:t>
      </w:r>
      <w:r w:rsidR="007808F7" w:rsidRPr="00210368">
        <w:rPr>
          <w:rStyle w:val="Ttulo2Car"/>
          <w:rFonts w:ascii="Mulish" w:hAnsi="Mulish"/>
          <w:color w:val="00642D"/>
          <w:lang w:bidi="es-ES"/>
        </w:rPr>
        <w:t>I</w:t>
      </w:r>
      <w:r w:rsidRPr="00210368">
        <w:rPr>
          <w:rStyle w:val="Ttulo2Car"/>
          <w:rFonts w:ascii="Mulish" w:hAnsi="Mulish"/>
          <w:color w:val="00642D"/>
          <w:lang w:bidi="es-ES"/>
        </w:rPr>
        <w:t>I.2 Información de Relevancia Jurídica.</w:t>
      </w:r>
      <w:r w:rsidRPr="0021036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210368" w14:paraId="27F7DFE4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33DD4C3F" w14:textId="77777777" w:rsidR="006A2766" w:rsidRPr="00210368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BC2ED9E" w14:textId="77777777" w:rsidR="006A2766" w:rsidRPr="00210368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022B359" w14:textId="77777777" w:rsidR="006A2766" w:rsidRPr="00210368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1E4714DB" w14:textId="77777777" w:rsidR="006A2766" w:rsidRPr="00210368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210368" w14:paraId="2E5B89A4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6B54E87F" w14:textId="77777777" w:rsidR="006A2766" w:rsidRPr="00210368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683298" w14:textId="77777777" w:rsidR="006A2766" w:rsidRPr="00210368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69BEC5" w14:textId="77777777" w:rsidR="006A2766" w:rsidRPr="00210368" w:rsidRDefault="006A2766" w:rsidP="0094515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86554" w14:textId="63C64FE9" w:rsidR="0094515D" w:rsidRPr="00210368" w:rsidRDefault="0094515D" w:rsidP="009451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única información obligatoria aplicable al CEDEX, ya que carece de iniciativa normativa, serían las directrices, instrucciones, circulares y respuestas a consultas planteadas por particulares que tengan efectos jurídicos. Dadas las competencias y funciones asignadas al CEDEX, este CTBG considera que esta obligación </w:t>
            </w:r>
            <w:r w:rsidR="00B143C7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B143C7" w:rsidRPr="0021036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o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sería de aplicación. </w:t>
            </w:r>
          </w:p>
          <w:p w14:paraId="60E43895" w14:textId="38764B26" w:rsidR="006A2766" w:rsidRPr="00210368" w:rsidRDefault="0094515D" w:rsidP="009451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 que sí sería conveniente es que esta circunstancia se indique expresamente en el apartado Información de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relevancia jurídica de su futuro Portal de Transparencia</w:t>
            </w:r>
            <w:r w:rsidR="00522CB7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08BC266F" w14:textId="77777777" w:rsidR="00C33A23" w:rsidRPr="00210368" w:rsidRDefault="007808F7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C33A23" w:rsidRPr="00210368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="00C33A23" w:rsidRPr="00210368">
        <w:rPr>
          <w:rFonts w:ascii="Mulish" w:hAnsi="Mulish"/>
          <w:color w:val="00642D"/>
          <w:lang w:bidi="es-ES"/>
        </w:rPr>
        <w:t xml:space="preserve"> </w:t>
      </w:r>
    </w:p>
    <w:p w14:paraId="351B193C" w14:textId="77777777" w:rsidR="00C33A23" w:rsidRPr="0021036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210368" w14:paraId="77C9CBFB" w14:textId="77777777" w:rsidTr="001F0119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6BA3F361" w14:textId="77777777" w:rsidR="00C33A23" w:rsidRPr="00210368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BBCAF40" w14:textId="77777777" w:rsidR="00C33A23" w:rsidRPr="00210368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09BEA03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586D6508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210368" w14:paraId="1D364ACC" w14:textId="77777777" w:rsidTr="002E48C0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3A3417D" w14:textId="77777777" w:rsidR="00C33A23" w:rsidRPr="00210368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142210" w14:textId="77777777" w:rsidR="00C33A23" w:rsidRPr="00210368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6BAEDC" w14:textId="77777777" w:rsidR="00C33A23" w:rsidRPr="00210368" w:rsidRDefault="00C33A23" w:rsidP="002E48C0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1FE8E5" w14:textId="77777777" w:rsidR="00C33A23" w:rsidRPr="00210368" w:rsidRDefault="0094515D" w:rsidP="002E48C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Transparencia/Contratación pública/Acceso al perfil del contratante, que </w:t>
            </w:r>
            <w:r w:rsidR="002E48C0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redirige a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Plataforma de Contratación del Sector</w:t>
            </w:r>
            <w:r w:rsidR="002E48C0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Público, posicionando en el perfil del contratante de CEDEX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210368" w14:paraId="32B028E7" w14:textId="77777777" w:rsidTr="002E48C0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6E03107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C5BDE0" w14:textId="77777777" w:rsidR="00C33A23" w:rsidRPr="00210368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proofErr w:type="gramStart"/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proofErr w:type="gramEnd"/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11F62B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1DA783" w14:textId="77777777" w:rsidR="00C33A23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1F0119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Plataforma de Contratación del Sector Público no incluye las modificaciones entre los criterios de búsqueda de licitaciones, lo que obliga a abrir todas y cada una de las licitaciones para comprobar si ha sufrido modificaciones. Por esta razón no se ha considerado cumplida esta obligación.</w:t>
            </w:r>
          </w:p>
        </w:tc>
      </w:tr>
      <w:tr w:rsidR="00C33A23" w:rsidRPr="00210368" w14:paraId="089AF0C2" w14:textId="77777777" w:rsidTr="002E48C0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1DF75E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A795A2" w14:textId="77777777" w:rsidR="00C33A23" w:rsidRPr="00210368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244271" w14:textId="77777777" w:rsidR="00C33A23" w:rsidRPr="00210368" w:rsidRDefault="00C33A23" w:rsidP="00A0161F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15B3AF" w14:textId="77777777" w:rsidR="00C33A23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aplicable. En el Perfil del Contratante no se han localizado contratos desistidos.</w:t>
            </w:r>
          </w:p>
        </w:tc>
      </w:tr>
      <w:tr w:rsidR="00C33A23" w:rsidRPr="00210368" w14:paraId="5C4BF128" w14:textId="77777777" w:rsidTr="002E48C0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B12EE16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4490E4" w14:textId="77777777" w:rsidR="00C33A23" w:rsidRPr="00210368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775EEF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81C414" w14:textId="77777777" w:rsidR="00C33A23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210368" w14:paraId="6FBE6EE5" w14:textId="77777777" w:rsidTr="002E48C0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86F66B8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C47CDC" w14:textId="77777777" w:rsidR="00C33A23" w:rsidRPr="00210368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F6B97F" w14:textId="77777777" w:rsidR="00C33A23" w:rsidRPr="00210368" w:rsidRDefault="00C33A23" w:rsidP="00A0161F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37121C" w14:textId="77777777" w:rsidR="00C33A23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Transparencia/Contratación pública/Acceso al perfil del contratante, que redirige a la Plataforma de Contratación del Sector Público, posicionando en el perfil del contratante de CEDEX.</w:t>
            </w:r>
          </w:p>
        </w:tc>
      </w:tr>
      <w:tr w:rsidR="00C33A23" w:rsidRPr="00210368" w14:paraId="4DC306A9" w14:textId="77777777" w:rsidTr="002E48C0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7B14644" w14:textId="77777777" w:rsidR="00C33A23" w:rsidRPr="0021036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E1A14D" w14:textId="77777777" w:rsidR="00C33A23" w:rsidRPr="00210368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F5F7E3" w14:textId="77777777" w:rsidR="00C33A23" w:rsidRPr="0021036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33B568" w14:textId="77777777" w:rsidR="00C33A23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210368" w14:paraId="3E246099" w14:textId="77777777" w:rsidTr="002E48C0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DE35DDB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9479F2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16F528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C7DADE" w14:textId="77777777" w:rsidR="009609E9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210368" w14:paraId="5D302459" w14:textId="77777777" w:rsidTr="002E48C0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9AA16E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2FB641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6FA56B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29D07E" w14:textId="77777777" w:rsidR="009609E9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210368" w14:paraId="2AFE4E61" w14:textId="77777777" w:rsidTr="002E48C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EF5B7A" w14:textId="77777777" w:rsidR="009609E9" w:rsidRPr="00210368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95156F" w14:textId="77777777" w:rsidR="009609E9" w:rsidRPr="00210368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64336B" w14:textId="77777777" w:rsidR="009609E9" w:rsidRPr="0021036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155F86" w14:textId="27EB3208" w:rsidR="009609E9" w:rsidRPr="00210368" w:rsidRDefault="00A0161F" w:rsidP="00D221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D2215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acceso Servicios/empleo público/becas se informa de la existencia de un programa de becas y se </w:t>
            </w:r>
            <w:r w:rsidR="00BF2B0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</w:t>
            </w:r>
            <w:r w:rsidR="00D2215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que no hay ninguna convocatoria abierta – la información no está datada, por lo que no es posible conocer a qué año está referida -. No se informa sobre las concesiones de años anteriores. Por otra parte, en la Base de Datos Nacional de Subvenciones se han localizado un total de 43 subvenciones vinculadas a los premios por jubilación </w:t>
            </w:r>
            <w:r w:rsidR="00BF2B05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del</w:t>
            </w:r>
            <w:r w:rsidR="00D2215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personal del Organismo.</w:t>
            </w:r>
          </w:p>
        </w:tc>
      </w:tr>
      <w:tr w:rsidR="00F47C3B" w:rsidRPr="00210368" w14:paraId="13FD25CC" w14:textId="77777777" w:rsidTr="002E48C0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911A9A4" w14:textId="77777777" w:rsidR="00F47C3B" w:rsidRPr="00210368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A5E094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37A56C1A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30EF38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562603" w14:textId="77777777" w:rsidR="00F47C3B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210368" w14:paraId="58B1648E" w14:textId="77777777" w:rsidTr="002E48C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19FBB61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E461E4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8C1FCD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ACC940" w14:textId="77777777" w:rsidR="00F47C3B" w:rsidRPr="00210368" w:rsidRDefault="00A0161F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210368" w14:paraId="39880431" w14:textId="77777777" w:rsidTr="002E48C0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86B804B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257585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1A329B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141C21" w14:textId="77777777" w:rsidR="00F47C3B" w:rsidRPr="00210368" w:rsidRDefault="002B3762" w:rsidP="002B376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Transparencia, las últimas cuentas publicadas corresponden a 2020. Dado el desfase temporal, no se ha considerado cumplida esta obligación.</w:t>
            </w:r>
          </w:p>
        </w:tc>
      </w:tr>
      <w:tr w:rsidR="00F47C3B" w:rsidRPr="00210368" w14:paraId="6A3D4AD3" w14:textId="77777777" w:rsidTr="002E48C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159C5A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1BE64A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5E6434" w14:textId="77777777" w:rsidR="00F47C3B" w:rsidRPr="0021036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36BEA9" w14:textId="523F5C8B" w:rsidR="00F47C3B" w:rsidRPr="00210368" w:rsidRDefault="002B376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D2215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la web </w:t>
            </w:r>
            <w:r w:rsidR="00522CB7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="00D2215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Tribunal de Cuentas se ha localizado un informe de fiscalización publicado en 2005</w:t>
            </w:r>
          </w:p>
        </w:tc>
      </w:tr>
      <w:tr w:rsidR="00BD4582" w:rsidRPr="00210368" w14:paraId="02BA8DD4" w14:textId="77777777" w:rsidTr="002E48C0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C6C71B8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537D5A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FCD9E8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408EFE" w14:textId="77777777" w:rsidR="00BD4582" w:rsidRPr="00210368" w:rsidRDefault="002B376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210368" w14:paraId="579C5AE7" w14:textId="77777777" w:rsidTr="002E48C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9DFB2B1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D6FE61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E9A40F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479E99" w14:textId="77777777" w:rsidR="00BD4582" w:rsidRPr="00210368" w:rsidRDefault="002B376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210368" w14:paraId="2D6FA4F0" w14:textId="77777777" w:rsidTr="002E48C0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4582B8F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8BC60B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397D92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932142" w14:textId="77777777" w:rsidR="00BD4582" w:rsidRPr="00210368" w:rsidRDefault="002B376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210368" w14:paraId="716713CF" w14:textId="77777777" w:rsidTr="002E48C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F175B5D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18BFE6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Autorización para actividad privada al cese de altos cargos en la AGE o asimilados en CCAA o 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EELL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86AE7A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E04294" w14:textId="77777777" w:rsidR="00BD4582" w:rsidRPr="00210368" w:rsidRDefault="002B376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210368" w14:paraId="3ADFC6B5" w14:textId="77777777" w:rsidTr="002E48C0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6FE9B5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6581D2" w14:textId="77777777" w:rsidR="00BD4582" w:rsidRPr="0021036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32308E" w14:textId="77777777" w:rsidR="00BD4582" w:rsidRPr="00210368" w:rsidRDefault="00BD4582" w:rsidP="00522CB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7D7433" w14:textId="77777777" w:rsidR="00BD4582" w:rsidRPr="00210368" w:rsidRDefault="002B3762" w:rsidP="00B27EC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Aunque la información se localiza en la página home/Qué hacemos/Memoria anual de actividades, esta data de 2021, </w:t>
            </w:r>
            <w:r w:rsidR="00B27ECD"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por lo que</w:t>
            </w: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puede dar por cumplida la obligación.</w:t>
            </w:r>
          </w:p>
        </w:tc>
      </w:tr>
    </w:tbl>
    <w:p w14:paraId="73BB7396" w14:textId="77777777" w:rsidR="00522CB7" w:rsidRPr="00210368" w:rsidRDefault="00522CB7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5D6E319" w14:textId="63CE12FE" w:rsidR="00C33A23" w:rsidRPr="0021036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210368">
        <w:rPr>
          <w:rStyle w:val="Ttulo2Car"/>
          <w:rFonts w:ascii="Mulish" w:hAnsi="Mulish"/>
          <w:color w:val="00642D"/>
          <w:lang w:bidi="es-ES"/>
        </w:rPr>
        <w:t>I</w:t>
      </w:r>
      <w:r w:rsidRPr="00210368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210368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0FD30BA7" w14:textId="77777777" w:rsidR="00C33A23" w:rsidRPr="0021036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1036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64CF8" wp14:editId="344398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50E4" w14:textId="77777777" w:rsidR="000F0A21" w:rsidRDefault="000F0A2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0713304" w14:textId="77777777" w:rsidR="000F0A21" w:rsidRPr="00352F8C" w:rsidRDefault="000F0A21" w:rsidP="002B376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01BEE16C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modificaciones de contratos adjudicados.</w:t>
                            </w:r>
                          </w:p>
                          <w:p w14:paraId="12DA8BDB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 de licitación.</w:t>
                            </w:r>
                          </w:p>
                          <w:p w14:paraId="65341D10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convenios.</w:t>
                            </w:r>
                          </w:p>
                          <w:p w14:paraId="1B4BCAC1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14:paraId="45ADFCB8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subcontrataciones.</w:t>
                            </w:r>
                          </w:p>
                          <w:p w14:paraId="3EC4F7EF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subvenciones.</w:t>
                            </w:r>
                          </w:p>
                          <w:p w14:paraId="2568648B" w14:textId="77777777" w:rsidR="000F0A21" w:rsidRPr="007567B4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567B4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presupuestos y su ejecución. </w:t>
                            </w:r>
                          </w:p>
                          <w:p w14:paraId="30E5DE5F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actualizada sobre las cuentas anuales y no se publican los informes de auditoría de cuentas y de fiscalización realizados por órganos de control externo.</w:t>
                            </w:r>
                          </w:p>
                          <w:p w14:paraId="7D90ACFD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de los Altos Cargos y máximos responsables.</w:t>
                            </w:r>
                          </w:p>
                          <w:p w14:paraId="324954E1" w14:textId="794E2F1C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Altos Cargos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máximos responsables 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>con ocasión del abandono del cargo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4A1607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autorizaciones para la compatibilidad con actividades públicas o privadas concedidas a los empleados públicos.</w:t>
                            </w:r>
                          </w:p>
                          <w:p w14:paraId="2F3BDFAA" w14:textId="77777777" w:rsidR="000F0A21" w:rsidRDefault="000F0A21" w:rsidP="002B376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14:paraId="27003D6C" w14:textId="77777777" w:rsidR="000F0A21" w:rsidRPr="006E7A54" w:rsidRDefault="000F0A21" w:rsidP="006E7A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E7A54">
                              <w:rPr>
                                <w:sz w:val="20"/>
                                <w:szCs w:val="20"/>
                              </w:rPr>
                              <w:t>No se ha localizado información estadística actualizada que permita valorar el grado de cumplimiento y calidad de los servicios públicos competencia del CEDEX.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64CF8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00950E4" w14:textId="77777777" w:rsidR="000F0A21" w:rsidRDefault="000F0A2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0713304" w14:textId="77777777" w:rsidR="000F0A21" w:rsidRPr="00352F8C" w:rsidRDefault="000F0A21" w:rsidP="002B376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01BEE16C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modificaciones de contratos adjudicados.</w:t>
                      </w:r>
                    </w:p>
                    <w:p w14:paraId="12DA8BDB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 de licitación.</w:t>
                      </w:r>
                    </w:p>
                    <w:p w14:paraId="65341D10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convenios.</w:t>
                      </w:r>
                    </w:p>
                    <w:p w14:paraId="1B4BCAC1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14:paraId="45ADFCB8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subcontrataciones.</w:t>
                      </w:r>
                    </w:p>
                    <w:p w14:paraId="3EC4F7EF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subvenciones.</w:t>
                      </w:r>
                    </w:p>
                    <w:p w14:paraId="2568648B" w14:textId="77777777" w:rsidR="000F0A21" w:rsidRPr="007567B4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567B4">
                        <w:rPr>
                          <w:sz w:val="20"/>
                          <w:szCs w:val="20"/>
                        </w:rPr>
                        <w:t xml:space="preserve">No se ha localizado información sobre los presupuestos y su ejecución. </w:t>
                      </w:r>
                    </w:p>
                    <w:p w14:paraId="30E5DE5F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actualizada sobre las cuentas anuales y no se publican los informes de auditoría de cuentas y de fiscalización realizados por órganos de control externo.</w:t>
                      </w:r>
                    </w:p>
                    <w:p w14:paraId="7D90ACFD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de los Altos Cargos y máximos responsables.</w:t>
                      </w:r>
                    </w:p>
                    <w:p w14:paraId="324954E1" w14:textId="794E2F1C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Altos Cargos </w:t>
                      </w:r>
                      <w:r>
                        <w:rPr>
                          <w:sz w:val="20"/>
                          <w:szCs w:val="20"/>
                        </w:rPr>
                        <w:t xml:space="preserve">y máximos responsables </w:t>
                      </w:r>
                      <w:r w:rsidRPr="00085262">
                        <w:rPr>
                          <w:sz w:val="20"/>
                          <w:szCs w:val="20"/>
                        </w:rPr>
                        <w:t>con ocasión del abandono del cargo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24A1607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autorizaciones para la compatibilidad con actividades públicas o privadas concedidas a los empleados públicos.</w:t>
                      </w:r>
                    </w:p>
                    <w:p w14:paraId="2F3BDFAA" w14:textId="77777777" w:rsidR="000F0A21" w:rsidRDefault="000F0A21" w:rsidP="002B376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14:paraId="27003D6C" w14:textId="77777777" w:rsidR="000F0A21" w:rsidRPr="006E7A54" w:rsidRDefault="000F0A21" w:rsidP="006E7A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E7A54">
                        <w:rPr>
                          <w:sz w:val="20"/>
                          <w:szCs w:val="20"/>
                        </w:rPr>
                        <w:t>No se ha localizado información estadística actualizada que permita valorar el grado de cumplimiento y calidad de los servicios públicos competencia del CEDEX.</w:t>
                      </w:r>
                    </w:p>
                  </w:txbxContent>
                </v:textbox>
              </v:shape>
            </w:pict>
          </mc:Fallback>
        </mc:AlternateContent>
      </w:r>
    </w:p>
    <w:p w14:paraId="2E72C9C7" w14:textId="77777777" w:rsidR="00C33A23" w:rsidRPr="0021036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4B3B568" w14:textId="77777777" w:rsidR="00C33A23" w:rsidRPr="0021036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430FA6" w14:textId="77777777" w:rsidR="001561A4" w:rsidRPr="0021036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0BC4E57" w14:textId="77777777" w:rsidR="001561A4" w:rsidRPr="0021036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3161CF9" w14:textId="77777777" w:rsidR="001561A4" w:rsidRPr="0021036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624D3B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039A2EE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E2C5DC7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716628C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0CF8B19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51809D6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63E22B9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8C6CDBA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DCF2D17" w14:textId="77777777" w:rsidR="006E7A54" w:rsidRPr="00210368" w:rsidRDefault="006E7A5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001A0FF" w14:textId="77777777" w:rsidR="00E3088D" w:rsidRPr="00210368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8FC0140" w14:textId="77777777" w:rsidR="00BD4582" w:rsidRPr="00210368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>I</w:t>
      </w:r>
      <w:r w:rsidR="007808F7" w:rsidRPr="00210368">
        <w:rPr>
          <w:rStyle w:val="Ttulo2Car"/>
          <w:rFonts w:ascii="Mulish" w:hAnsi="Mulish"/>
          <w:color w:val="00642D"/>
          <w:lang w:bidi="es-ES"/>
        </w:rPr>
        <w:t>I</w:t>
      </w:r>
      <w:r w:rsidRPr="00210368">
        <w:rPr>
          <w:rStyle w:val="Ttulo2Car"/>
          <w:rFonts w:ascii="Mulish" w:hAnsi="Mulish"/>
          <w:color w:val="00642D"/>
          <w:lang w:bidi="es-ES"/>
        </w:rPr>
        <w:t>I.</w:t>
      </w:r>
      <w:r w:rsidR="007808F7" w:rsidRPr="00210368">
        <w:rPr>
          <w:rStyle w:val="Ttulo2Car"/>
          <w:rFonts w:ascii="Mulish" w:hAnsi="Mulish"/>
          <w:color w:val="00642D"/>
          <w:lang w:bidi="es-ES"/>
        </w:rPr>
        <w:t>4</w:t>
      </w:r>
      <w:r w:rsidRPr="00210368">
        <w:rPr>
          <w:rStyle w:val="Ttulo2Car"/>
          <w:rFonts w:ascii="Mulish" w:hAnsi="Mulish"/>
          <w:color w:val="00642D"/>
          <w:lang w:bidi="es-ES"/>
        </w:rPr>
        <w:t xml:space="preserve"> Información Patrimonial.</w:t>
      </w:r>
      <w:r w:rsidRPr="0021036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210368" w14:paraId="09E5BEB5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6C8FA38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7342DDB" w14:textId="77777777" w:rsidR="00BD4582" w:rsidRPr="00210368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7CFF99C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0A7A15A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210368" w14:paraId="3F8ABED9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DD1E465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33CAD7" w14:textId="77777777" w:rsidR="00BD4582" w:rsidRPr="00210368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F94CE8" w14:textId="77777777" w:rsidR="00BD4582" w:rsidRPr="00210368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083FF8" w14:textId="77777777" w:rsidR="00BD4582" w:rsidRPr="00210368" w:rsidRDefault="006E7A54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1036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0460D6B2" w14:textId="77777777" w:rsidR="00522CB7" w:rsidRPr="00210368" w:rsidRDefault="00522CB7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8C855AF" w14:textId="47723B7C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10368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488C0605" w14:textId="77777777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21036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D9314" wp14:editId="0F7024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84BE" w14:textId="77777777" w:rsidR="000F0A21" w:rsidRDefault="000F0A2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4C83076" w14:textId="77777777" w:rsidR="000F0A21" w:rsidRPr="0002458D" w:rsidRDefault="000F0A21" w:rsidP="006E7A5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>La información publicada no recoge los contenidos establecidos en el artículo 8.3 de la LTAIBG.</w:t>
                            </w:r>
                          </w:p>
                          <w:p w14:paraId="5EF7E4A0" w14:textId="3E37E48D" w:rsidR="000F0A21" w:rsidRDefault="000F0A21" w:rsidP="006E7A5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 w:rsidRPr="006E7A54">
                              <w:rPr>
                                <w:sz w:val="20"/>
                                <w:szCs w:val="20"/>
                              </w:rPr>
                              <w:t xml:space="preserve">No se ha localizado información relativa a los bienes patrimoniales propiedad del </w:t>
                            </w:r>
                            <w:r w:rsidR="00BF2B05" w:rsidRPr="006E7A54">
                              <w:rPr>
                                <w:sz w:val="20"/>
                                <w:szCs w:val="20"/>
                              </w:rPr>
                              <w:t>CEDEX o</w:t>
                            </w:r>
                            <w:r w:rsidRPr="006E7A54">
                              <w:rPr>
                                <w:sz w:val="20"/>
                                <w:szCs w:val="20"/>
                              </w:rPr>
                              <w:t xml:space="preserve"> sobre los que ostente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D9314"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11C384BE" w14:textId="77777777" w:rsidR="000F0A21" w:rsidRDefault="000F0A21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4C83076" w14:textId="77777777" w:rsidR="000F0A21" w:rsidRPr="0002458D" w:rsidRDefault="000F0A21" w:rsidP="006E7A5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>La información publicada no recoge los contenidos establecidos en el artículo 8.3 de la LTAIBG.</w:t>
                      </w:r>
                    </w:p>
                    <w:p w14:paraId="5EF7E4A0" w14:textId="3E37E48D" w:rsidR="000F0A21" w:rsidRDefault="000F0A21" w:rsidP="006E7A5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</w:pPr>
                      <w:r w:rsidRPr="006E7A54">
                        <w:rPr>
                          <w:sz w:val="20"/>
                          <w:szCs w:val="20"/>
                        </w:rPr>
                        <w:t xml:space="preserve">No se ha localizado información relativa a los bienes patrimoniales propiedad del </w:t>
                      </w:r>
                      <w:r w:rsidR="00BF2B05" w:rsidRPr="006E7A54">
                        <w:rPr>
                          <w:sz w:val="20"/>
                          <w:szCs w:val="20"/>
                        </w:rPr>
                        <w:t>CEDEX o</w:t>
                      </w:r>
                      <w:r w:rsidRPr="006E7A54">
                        <w:rPr>
                          <w:sz w:val="20"/>
                          <w:szCs w:val="20"/>
                        </w:rPr>
                        <w:t xml:space="preserve"> sobre los que ostente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14:paraId="3ECFD9CA" w14:textId="77777777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6E2EA68" w14:textId="77777777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A477153" w14:textId="77777777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1D332F3" w14:textId="77777777" w:rsidR="002A154B" w:rsidRPr="00210368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567E27" w14:textId="77777777" w:rsidR="00BD4582" w:rsidRPr="00210368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10368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731"/>
        <w:gridCol w:w="744"/>
        <w:gridCol w:w="744"/>
        <w:gridCol w:w="743"/>
        <w:gridCol w:w="743"/>
        <w:gridCol w:w="743"/>
        <w:gridCol w:w="743"/>
        <w:gridCol w:w="743"/>
        <w:gridCol w:w="748"/>
      </w:tblGrid>
      <w:tr w:rsidR="002A154B" w:rsidRPr="00210368" w14:paraId="453522EE" w14:textId="77777777" w:rsidTr="00ED4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326AF8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43E8CE7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EB04778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BB2A05D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EBEB420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5110D22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A31C592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2751AF3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197BCDC" w14:textId="77777777" w:rsidR="002A154B" w:rsidRPr="0021036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B27ECD" w:rsidRPr="00210368" w14:paraId="4C4B963E" w14:textId="77777777" w:rsidTr="00ED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2289EA97" w14:textId="77777777" w:rsidR="00B27ECD" w:rsidRPr="00210368" w:rsidRDefault="00B27ECD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8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1FF96C70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85,0</w:t>
            </w:r>
          </w:p>
        </w:tc>
        <w:tc>
          <w:tcPr>
            <w:tcW w:w="348" w:type="pct"/>
            <w:noWrap/>
            <w:vAlign w:val="center"/>
          </w:tcPr>
          <w:p w14:paraId="3EC1C666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85,0</w:t>
            </w:r>
          </w:p>
        </w:tc>
        <w:tc>
          <w:tcPr>
            <w:tcW w:w="348" w:type="pct"/>
            <w:noWrap/>
            <w:vAlign w:val="center"/>
          </w:tcPr>
          <w:p w14:paraId="2AE51C5C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85,0</w:t>
            </w:r>
          </w:p>
        </w:tc>
        <w:tc>
          <w:tcPr>
            <w:tcW w:w="348" w:type="pct"/>
            <w:noWrap/>
            <w:vAlign w:val="center"/>
          </w:tcPr>
          <w:p w14:paraId="327DBF14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85,0</w:t>
            </w:r>
          </w:p>
        </w:tc>
        <w:tc>
          <w:tcPr>
            <w:tcW w:w="348" w:type="pct"/>
            <w:noWrap/>
            <w:vAlign w:val="center"/>
          </w:tcPr>
          <w:p w14:paraId="1D182AF3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85,0</w:t>
            </w:r>
          </w:p>
        </w:tc>
        <w:tc>
          <w:tcPr>
            <w:tcW w:w="348" w:type="pct"/>
            <w:noWrap/>
            <w:vAlign w:val="center"/>
          </w:tcPr>
          <w:p w14:paraId="43346719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75,0</w:t>
            </w:r>
          </w:p>
        </w:tc>
        <w:tc>
          <w:tcPr>
            <w:tcW w:w="348" w:type="pct"/>
            <w:noWrap/>
            <w:vAlign w:val="center"/>
          </w:tcPr>
          <w:p w14:paraId="4C63F41C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8" w:type="pct"/>
            <w:noWrap/>
            <w:vAlign w:val="center"/>
          </w:tcPr>
          <w:p w14:paraId="3198C1B2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75,0</w:t>
            </w:r>
          </w:p>
        </w:tc>
      </w:tr>
      <w:tr w:rsidR="00B27ECD" w:rsidRPr="00210368" w14:paraId="72F3C13A" w14:textId="77777777" w:rsidTr="00ED49C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0ACF946E" w14:textId="77777777" w:rsidR="00B27ECD" w:rsidRPr="00210368" w:rsidRDefault="00B27ECD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2786" w:type="pct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587DF383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No aplicable</w:t>
            </w:r>
          </w:p>
        </w:tc>
      </w:tr>
      <w:tr w:rsidR="00B27ECD" w:rsidRPr="00210368" w14:paraId="118D833C" w14:textId="77777777" w:rsidTr="00ED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C48C9B5" w14:textId="6BFC9271" w:rsidR="00B27ECD" w:rsidRPr="00210368" w:rsidRDefault="00ED49C3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Económica,</w:t>
            </w:r>
            <w:r w:rsidR="00B27ECD" w:rsidRPr="00210368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8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F6ECD23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11,8</w:t>
            </w:r>
          </w:p>
        </w:tc>
        <w:tc>
          <w:tcPr>
            <w:tcW w:w="348" w:type="pct"/>
            <w:noWrap/>
            <w:vAlign w:val="center"/>
          </w:tcPr>
          <w:p w14:paraId="38C0B43F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53CFAA61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11,8</w:t>
            </w:r>
          </w:p>
        </w:tc>
        <w:tc>
          <w:tcPr>
            <w:tcW w:w="348" w:type="pct"/>
            <w:noWrap/>
            <w:vAlign w:val="center"/>
          </w:tcPr>
          <w:p w14:paraId="60C82EBE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7AB61140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11,8</w:t>
            </w:r>
          </w:p>
        </w:tc>
        <w:tc>
          <w:tcPr>
            <w:tcW w:w="348" w:type="pct"/>
            <w:noWrap/>
            <w:vAlign w:val="center"/>
          </w:tcPr>
          <w:p w14:paraId="35C0C979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11,8</w:t>
            </w:r>
          </w:p>
        </w:tc>
        <w:tc>
          <w:tcPr>
            <w:tcW w:w="348" w:type="pct"/>
            <w:noWrap/>
            <w:vAlign w:val="center"/>
          </w:tcPr>
          <w:p w14:paraId="3FFDFF4C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11,8</w:t>
            </w:r>
          </w:p>
        </w:tc>
        <w:tc>
          <w:tcPr>
            <w:tcW w:w="348" w:type="pct"/>
            <w:noWrap/>
            <w:vAlign w:val="center"/>
          </w:tcPr>
          <w:p w14:paraId="0E37E65F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8,4</w:t>
            </w:r>
          </w:p>
        </w:tc>
      </w:tr>
      <w:tr w:rsidR="00B27ECD" w:rsidRPr="00210368" w14:paraId="0A9521F6" w14:textId="77777777" w:rsidTr="00ED49C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7CF05B87" w14:textId="77777777" w:rsidR="00B27ECD" w:rsidRPr="00210368" w:rsidRDefault="00B27ECD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10368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348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2BF435DE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52C347CF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28A6B8F3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1F121992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146BC0F8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04D6B626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3C16914B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8" w:type="pct"/>
            <w:noWrap/>
            <w:vAlign w:val="center"/>
          </w:tcPr>
          <w:p w14:paraId="48D0BAA5" w14:textId="77777777" w:rsidR="00B27ECD" w:rsidRPr="00210368" w:rsidRDefault="00B27ECD" w:rsidP="00B27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10368">
              <w:rPr>
                <w:rFonts w:ascii="Mulish" w:hAnsi="Mulish"/>
                <w:sz w:val="16"/>
              </w:rPr>
              <w:t>0,0</w:t>
            </w:r>
          </w:p>
        </w:tc>
      </w:tr>
      <w:tr w:rsidR="00B27ECD" w:rsidRPr="00210368" w14:paraId="5E31E6A1" w14:textId="77777777" w:rsidTr="00ED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644A1ED" w14:textId="77777777" w:rsidR="00B27ECD" w:rsidRPr="00210368" w:rsidRDefault="00B27ECD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210368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8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204C67B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37,5</w:t>
            </w:r>
          </w:p>
        </w:tc>
        <w:tc>
          <w:tcPr>
            <w:tcW w:w="348" w:type="pct"/>
            <w:noWrap/>
            <w:vAlign w:val="center"/>
          </w:tcPr>
          <w:p w14:paraId="6C3F3E2A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30,4</w:t>
            </w:r>
          </w:p>
        </w:tc>
        <w:tc>
          <w:tcPr>
            <w:tcW w:w="348" w:type="pct"/>
            <w:noWrap/>
            <w:vAlign w:val="center"/>
          </w:tcPr>
          <w:p w14:paraId="5140B729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37,5</w:t>
            </w:r>
          </w:p>
        </w:tc>
        <w:tc>
          <w:tcPr>
            <w:tcW w:w="348" w:type="pct"/>
            <w:noWrap/>
            <w:vAlign w:val="center"/>
          </w:tcPr>
          <w:p w14:paraId="3ABF7AEF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30,4</w:t>
            </w:r>
          </w:p>
        </w:tc>
        <w:tc>
          <w:tcPr>
            <w:tcW w:w="348" w:type="pct"/>
            <w:noWrap/>
            <w:vAlign w:val="center"/>
          </w:tcPr>
          <w:p w14:paraId="5EDBF0E6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37,5</w:t>
            </w:r>
          </w:p>
        </w:tc>
        <w:tc>
          <w:tcPr>
            <w:tcW w:w="348" w:type="pct"/>
            <w:noWrap/>
            <w:vAlign w:val="center"/>
          </w:tcPr>
          <w:p w14:paraId="36B58BBC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33,9</w:t>
            </w:r>
          </w:p>
        </w:tc>
        <w:tc>
          <w:tcPr>
            <w:tcW w:w="348" w:type="pct"/>
            <w:noWrap/>
            <w:vAlign w:val="center"/>
          </w:tcPr>
          <w:p w14:paraId="6DBE7F84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16,1</w:t>
            </w:r>
          </w:p>
        </w:tc>
        <w:tc>
          <w:tcPr>
            <w:tcW w:w="348" w:type="pct"/>
            <w:noWrap/>
            <w:vAlign w:val="center"/>
          </w:tcPr>
          <w:p w14:paraId="402ECB16" w14:textId="77777777" w:rsidR="00B27ECD" w:rsidRPr="00210368" w:rsidRDefault="00B27ECD" w:rsidP="00B27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10368">
              <w:rPr>
                <w:rFonts w:ascii="Mulish" w:hAnsi="Mulish"/>
                <w:b/>
                <w:i/>
                <w:sz w:val="16"/>
              </w:rPr>
              <w:t>31,9</w:t>
            </w:r>
          </w:p>
        </w:tc>
      </w:tr>
    </w:tbl>
    <w:p w14:paraId="3B698DF3" w14:textId="77777777" w:rsidR="00BD4582" w:rsidRPr="00210368" w:rsidRDefault="00BD4582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5B77667D" w14:textId="77034D8E" w:rsidR="00FD0ED8" w:rsidRPr="00210368" w:rsidRDefault="006E7A54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El Índice de Cumplimiento de la Información Obligatoria (ICIO) alcanza </w:t>
      </w:r>
      <w:r w:rsidR="00B27ECD" w:rsidRPr="00210368">
        <w:rPr>
          <w:rFonts w:ascii="Mulish" w:hAnsi="Mulish"/>
        </w:rPr>
        <w:t xml:space="preserve">el 31,9% </w:t>
      </w:r>
      <w:r w:rsidRPr="00210368">
        <w:rPr>
          <w:rFonts w:ascii="Mulish" w:hAnsi="Mulish"/>
        </w:rPr>
        <w:t xml:space="preserve">de cumplimiento. </w:t>
      </w:r>
      <w:r w:rsidR="00FD0ED8" w:rsidRPr="00210368">
        <w:rPr>
          <w:rFonts w:ascii="Mulish" w:hAnsi="Mulish"/>
        </w:rPr>
        <w:t xml:space="preserve">Respecto de 2022, se produce una minoración de 3,3 puntos porcentuales, ya </w:t>
      </w:r>
      <w:r w:rsidR="00BF2B05" w:rsidRPr="00210368">
        <w:rPr>
          <w:rFonts w:ascii="Mulish" w:hAnsi="Mulish"/>
        </w:rPr>
        <w:t>que,</w:t>
      </w:r>
      <w:r w:rsidR="00FD0ED8" w:rsidRPr="00210368">
        <w:rPr>
          <w:rFonts w:ascii="Mulish" w:hAnsi="Mulish"/>
        </w:rPr>
        <w:t xml:space="preserve"> aunque se han aplicado tres recomendaciones, ha sido preciso revisar a la baja el cumplimiento de las obligaciones cuentas anuales (la información corresponde a 2020), subvenciones y ayudas públicas (se ha localizado información de CEDEX en</w:t>
      </w:r>
      <w:r w:rsidR="00BE7CD2" w:rsidRPr="00210368">
        <w:rPr>
          <w:rFonts w:ascii="Mulish" w:hAnsi="Mulish"/>
        </w:rPr>
        <w:t xml:space="preserve"> </w:t>
      </w:r>
      <w:r w:rsidR="00FD0ED8" w:rsidRPr="00210368">
        <w:rPr>
          <w:rFonts w:ascii="Mulish" w:hAnsi="Mulish"/>
        </w:rPr>
        <w:t>la BDNS que no se publica) e información estadística sobre cumplimiento y calidad de los servicios (la última información corresponde a 2021).</w:t>
      </w:r>
    </w:p>
    <w:p w14:paraId="0EA3A0A1" w14:textId="77777777" w:rsidR="006E7A54" w:rsidRPr="00210368" w:rsidRDefault="006E7A54" w:rsidP="006E7A54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lastRenderedPageBreak/>
        <w:t xml:space="preserve"> </w:t>
      </w:r>
    </w:p>
    <w:p w14:paraId="36560473" w14:textId="77777777" w:rsidR="00FD0ED8" w:rsidRPr="00210368" w:rsidRDefault="002A154B" w:rsidP="004556B6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</w:rPr>
      </w:pPr>
      <w:r w:rsidRPr="00210368">
        <w:rPr>
          <w:rFonts w:ascii="Mulish" w:hAnsi="Mulish"/>
          <w:b/>
          <w:color w:val="00642D"/>
          <w:sz w:val="32"/>
        </w:rPr>
        <w:t xml:space="preserve">Conclusiones </w:t>
      </w:r>
    </w:p>
    <w:p w14:paraId="1CF57FF4" w14:textId="62E5D591" w:rsidR="00FD0ED8" w:rsidRPr="00210368" w:rsidRDefault="00FD0ED8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>En 2021 se realizó una primera evaluación de cumplimiento de las obligaciones de publicidad activa por parte de CEDEX. El índice de cumplimiento alcanzado se situó en el 29,4% y, a partir de las evidencias obtenidas en la evaluación, este Consejo efectuó 21 recomendaciones, cuya finalidad era la mejora del cumplimiento de la LTAIBG por parte de la organización.</w:t>
      </w:r>
    </w:p>
    <w:p w14:paraId="113A74C2" w14:textId="6096A2C4" w:rsidR="00FD0ED8" w:rsidRPr="00210368" w:rsidRDefault="00FD0ED8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En 2022, se abordó una nueva evaluación de cumplimiento, en la que se constató que CEDEX había aplicado 2 de las 21 recomendaciones derivadas de la evaluación 2021, lo que se tradujo en un incremento de su Índice de Cumplimiento </w:t>
      </w:r>
      <w:r w:rsidR="00BF2B05" w:rsidRPr="00210368">
        <w:rPr>
          <w:rFonts w:ascii="Mulish" w:hAnsi="Mulish"/>
        </w:rPr>
        <w:t>en 5</w:t>
      </w:r>
      <w:r w:rsidRPr="00210368">
        <w:rPr>
          <w:rFonts w:ascii="Mulish" w:hAnsi="Mulish"/>
        </w:rPr>
        <w:t>,8 puntos porcentuales, alcanzando el 35,2%.</w:t>
      </w:r>
    </w:p>
    <w:p w14:paraId="0A9DE409" w14:textId="263F069A" w:rsidR="00FD0ED8" w:rsidRPr="00210368" w:rsidRDefault="00FD0ED8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Dado que el nivel de cumplimiento de la LTAIBG por parte de CEDEX era claramente insuficiente, se decidió por parte de este CTBG, incluir a CEDEX en el Plan de evaluación 2023 y realizar una tercera evaluación de cumplimiento. </w:t>
      </w:r>
    </w:p>
    <w:p w14:paraId="6641F187" w14:textId="7FCE129A" w:rsidR="00FD0ED8" w:rsidRPr="00210368" w:rsidRDefault="00FD0ED8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Los resultados de esta última evaluación muestran que el Índice de Cumplimiento alcanzado por CEDEX ha disminuido en 3,3 puntos porcentuales respecto de los valores alcanzados en 2022, dado </w:t>
      </w:r>
      <w:r w:rsidR="00BF2B05" w:rsidRPr="00210368">
        <w:rPr>
          <w:rFonts w:ascii="Mulish" w:hAnsi="Mulish"/>
        </w:rPr>
        <w:t>que,</w:t>
      </w:r>
      <w:r w:rsidRPr="00210368">
        <w:rPr>
          <w:rFonts w:ascii="Mulish" w:hAnsi="Mulish"/>
        </w:rPr>
        <w:t xml:space="preserve"> aunque se han aplicado tres de las recomendaciones derivadas de la evaluación realizada en ese año, ha sido preciso revisar a la baja la valoración de las obligaciones subvenciones y ayudas públicas, </w:t>
      </w:r>
      <w:r w:rsidR="00BE7CD2" w:rsidRPr="00210368">
        <w:rPr>
          <w:rFonts w:ascii="Mulish" w:hAnsi="Mulish"/>
        </w:rPr>
        <w:t>cuentas anuales e información estadística sobre cumplimiento y calidad de los servicios.</w:t>
      </w:r>
      <w:r w:rsidRPr="00210368">
        <w:rPr>
          <w:rFonts w:ascii="Mulish" w:hAnsi="Mulish"/>
        </w:rPr>
        <w:t xml:space="preserve"> </w:t>
      </w:r>
    </w:p>
    <w:p w14:paraId="0ADBB418" w14:textId="77777777" w:rsidR="00FD0ED8" w:rsidRPr="00210368" w:rsidRDefault="00FD0ED8" w:rsidP="00FD0ED8">
      <w:p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Por todo lo que antecede y tras la realización de tres evaluaciones de cumplimiento y aun teniendo en cuenta la mejora en el cumplimiento de la LTAIBG por parte de </w:t>
      </w:r>
      <w:r w:rsidR="00BE7CD2" w:rsidRPr="00210368">
        <w:rPr>
          <w:rFonts w:ascii="Mulish" w:hAnsi="Mulish"/>
        </w:rPr>
        <w:t>CEDEX</w:t>
      </w:r>
      <w:r w:rsidRPr="00210368">
        <w:rPr>
          <w:rFonts w:ascii="Mulish" w:hAnsi="Mulish"/>
        </w:rPr>
        <w:t xml:space="preserve">, este Consejo de Transparencia y Buen Gobierno </w:t>
      </w:r>
      <w:r w:rsidRPr="00210368">
        <w:rPr>
          <w:rFonts w:ascii="Mulish" w:hAnsi="Mulish"/>
          <w:b/>
        </w:rPr>
        <w:t>INSTA</w:t>
      </w:r>
      <w:r w:rsidRPr="00210368">
        <w:rPr>
          <w:rFonts w:ascii="Mulish" w:hAnsi="Mulish"/>
        </w:rPr>
        <w:t xml:space="preserve"> al </w:t>
      </w:r>
      <w:r w:rsidR="00BE7CD2" w:rsidRPr="00210368">
        <w:rPr>
          <w:rFonts w:ascii="Mulish" w:hAnsi="Mulish"/>
        </w:rPr>
        <w:t>Centro de Estudios y Experimentación de Obras Públicas</w:t>
      </w:r>
      <w:r w:rsidRPr="00210368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2998AD59" w14:textId="5AECFD23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en su página web sobre el perfil y trayectoria profesional de sus máximos responsables</w:t>
      </w:r>
      <w:r w:rsidR="00522CB7" w:rsidRPr="00210368">
        <w:rPr>
          <w:rFonts w:ascii="Mulish" w:hAnsi="Mulish"/>
        </w:rPr>
        <w:t>.</w:t>
      </w:r>
    </w:p>
    <w:p w14:paraId="613F04C0" w14:textId="17E53E53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información estadística sobre los contratos adjudicados en los términos establecidos por el artículo 8.1.a de la LTAIBG</w:t>
      </w:r>
      <w:r w:rsidR="00D358F2" w:rsidRPr="00210368">
        <w:rPr>
          <w:rFonts w:ascii="Mulish" w:hAnsi="Mulish"/>
        </w:rPr>
        <w:t>.</w:t>
      </w:r>
    </w:p>
    <w:p w14:paraId="49A61649" w14:textId="77777777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las modificaciones de contratos adjudicados.</w:t>
      </w:r>
    </w:p>
    <w:p w14:paraId="03B1D4E0" w14:textId="77777777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 xml:space="preserve"> Informar sobre los convenios, o, en su caso, informar sobre su inexistencia. La publicación debe contemplar todos los ítems informativos establecidos en el artículo 8.1.b de la LTAIBG.</w:t>
      </w:r>
    </w:p>
    <w:p w14:paraId="58404D7F" w14:textId="77777777" w:rsidR="00BE7CD2" w:rsidRPr="00210368" w:rsidRDefault="00BE7CD2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encomiendas de gestión efectuadas por el organismo. La publicación debe contemplar todos los ítems informativos establecidos en el artículo 8.1.b de la LTAIBG.</w:t>
      </w:r>
    </w:p>
    <w:p w14:paraId="35E9DCDA" w14:textId="77777777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subcontrataciones derivadas de las encomiendas de gestión. La publicación debe contemplar todos los ítems informativos establecidos en el artículo 8.1.b de la LTAIBG.</w:t>
      </w:r>
    </w:p>
    <w:p w14:paraId="67CA5742" w14:textId="5094B2D8" w:rsidR="00FD0ED8" w:rsidRPr="00210368" w:rsidRDefault="00FD0ED8" w:rsidP="00522CB7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subvenciones y ayudas públicas concedidas. La publicación debe contemplar todos los ítems informativos establecidos en el artículo 8.1.c de la LTAIBG.</w:t>
      </w:r>
    </w:p>
    <w:p w14:paraId="5882646E" w14:textId="739DE740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el presupuesto de la entidad</w:t>
      </w:r>
      <w:r w:rsidR="00D358F2" w:rsidRPr="00210368">
        <w:rPr>
          <w:rFonts w:ascii="Mulish" w:hAnsi="Mulish"/>
        </w:rPr>
        <w:t>.</w:t>
      </w:r>
    </w:p>
    <w:p w14:paraId="1D53A78E" w14:textId="0BBD79D7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 ejecución presupuestaria</w:t>
      </w:r>
      <w:r w:rsidR="00D358F2" w:rsidRPr="00210368">
        <w:rPr>
          <w:rFonts w:ascii="Mulish" w:hAnsi="Mulish"/>
        </w:rPr>
        <w:t>.</w:t>
      </w:r>
    </w:p>
    <w:p w14:paraId="2D4FB307" w14:textId="77777777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los informes de auditoría y fiscalización relativos a la entidad elaborados por el Tribunal de Cuentas.</w:t>
      </w:r>
    </w:p>
    <w:p w14:paraId="6593CF1C" w14:textId="7EF7DCAE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retribuciones percibidas por sus máximos responsables</w:t>
      </w:r>
      <w:r w:rsidR="00D358F2" w:rsidRPr="00210368">
        <w:rPr>
          <w:rFonts w:ascii="Mulish" w:hAnsi="Mulish"/>
        </w:rPr>
        <w:t>.</w:t>
      </w:r>
    </w:p>
    <w:p w14:paraId="727D4E85" w14:textId="05DA0C88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indemnizaciones percibidas por altos cargos y máximos responsables con ocasión del cese</w:t>
      </w:r>
      <w:r w:rsidR="00D358F2" w:rsidRPr="00210368">
        <w:rPr>
          <w:rFonts w:ascii="Mulish" w:hAnsi="Mulish"/>
        </w:rPr>
        <w:t>.</w:t>
      </w:r>
    </w:p>
    <w:p w14:paraId="4C3A2CFE" w14:textId="191F60B3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lastRenderedPageBreak/>
        <w:t>Informar sobre las autorizaciones de compatibilidad concedidas a empleados</w:t>
      </w:r>
      <w:r w:rsidR="00D358F2" w:rsidRPr="00210368">
        <w:rPr>
          <w:rFonts w:ascii="Mulish" w:hAnsi="Mulish"/>
        </w:rPr>
        <w:t>.</w:t>
      </w:r>
    </w:p>
    <w:p w14:paraId="6EDCDCAB" w14:textId="63CD7BB5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Informar sobre las autorizaciones para el ejercicio de actividades privadas al cese de altos cargos</w:t>
      </w:r>
      <w:r w:rsidR="00D358F2" w:rsidRPr="00210368">
        <w:rPr>
          <w:rFonts w:ascii="Mulish" w:hAnsi="Mulish"/>
        </w:rPr>
        <w:t>.</w:t>
      </w:r>
    </w:p>
    <w:p w14:paraId="2A0A8881" w14:textId="5D0FAFEF" w:rsidR="00BE7CD2" w:rsidRPr="00210368" w:rsidRDefault="00BE7CD2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información estadística sobre cumplimiento y calidad de los servicios</w:t>
      </w:r>
      <w:r w:rsidR="00D358F2" w:rsidRPr="00210368">
        <w:rPr>
          <w:rFonts w:ascii="Mulish" w:hAnsi="Mulish"/>
        </w:rPr>
        <w:t>.</w:t>
      </w:r>
    </w:p>
    <w:p w14:paraId="7123846B" w14:textId="77777777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información sobre los bienes inmuebles de su propiedad o sobre los que ostente algún derecho real.</w:t>
      </w:r>
    </w:p>
    <w:p w14:paraId="7A9BE89D" w14:textId="77777777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 toda la información relativa a las obligaciones de publicidad activa que le son de aplicación en su web institucional, sin remisión al Portal de Transparencia de la Administración General del Estado.</w:t>
      </w:r>
    </w:p>
    <w:p w14:paraId="4A37D708" w14:textId="77777777" w:rsidR="00FD0ED8" w:rsidRPr="00210368" w:rsidRDefault="00FD0ED8" w:rsidP="00D358F2">
      <w:pPr>
        <w:pStyle w:val="Prrafodelista"/>
        <w:numPr>
          <w:ilvl w:val="0"/>
          <w:numId w:val="23"/>
        </w:numPr>
        <w:jc w:val="both"/>
        <w:rPr>
          <w:rFonts w:ascii="Mulish" w:hAnsi="Mulish"/>
        </w:rPr>
      </w:pPr>
      <w:r w:rsidRPr="00210368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B411B75" w14:textId="77777777" w:rsidR="004556B6" w:rsidRPr="00210368" w:rsidRDefault="004556B6" w:rsidP="004556B6">
      <w:pPr>
        <w:ind w:left="360"/>
        <w:jc w:val="both"/>
        <w:rPr>
          <w:rFonts w:ascii="Mulish" w:hAnsi="Mulish"/>
        </w:rPr>
      </w:pPr>
    </w:p>
    <w:p w14:paraId="6BC73144" w14:textId="5A6E7323" w:rsidR="00B40246" w:rsidRPr="00210368" w:rsidRDefault="004556B6" w:rsidP="00BF2B05">
      <w:pPr>
        <w:ind w:left="6372" w:firstLine="708"/>
        <w:rPr>
          <w:rFonts w:ascii="Mulish" w:hAnsi="Mulish"/>
        </w:rPr>
      </w:pPr>
      <w:r w:rsidRPr="00210368">
        <w:rPr>
          <w:rFonts w:ascii="Mulish" w:hAnsi="Mulish"/>
        </w:rPr>
        <w:t xml:space="preserve">Madrid, </w:t>
      </w:r>
      <w:r w:rsidR="00BF2B05" w:rsidRPr="00210368">
        <w:rPr>
          <w:rFonts w:ascii="Mulish" w:hAnsi="Mulish"/>
        </w:rPr>
        <w:t>octubre</w:t>
      </w:r>
      <w:r w:rsidRPr="00210368">
        <w:rPr>
          <w:rFonts w:ascii="Mulish" w:hAnsi="Mulish"/>
        </w:rPr>
        <w:t xml:space="preserve"> de 2023</w:t>
      </w:r>
    </w:p>
    <w:p w14:paraId="53B9EEC5" w14:textId="77777777" w:rsidR="00CA4FB1" w:rsidRPr="00210368" w:rsidRDefault="00CA4FB1">
      <w:pPr>
        <w:rPr>
          <w:rFonts w:ascii="Mulish" w:hAnsi="Mulish"/>
        </w:rPr>
      </w:pPr>
      <w:r w:rsidRPr="00210368">
        <w:rPr>
          <w:rFonts w:ascii="Mulish" w:hAnsi="Mulish"/>
        </w:rPr>
        <w:br w:type="page"/>
      </w:r>
    </w:p>
    <w:p w14:paraId="1F09D927" w14:textId="77777777" w:rsidR="00CA4FB1" w:rsidRPr="00210368" w:rsidRDefault="00210368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210368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210368" w14:paraId="7A42E71F" w14:textId="77777777" w:rsidTr="000D5D9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7DC81FC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1739210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9B750C6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8A2710D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AD7F79B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210368" w14:paraId="77AF7E99" w14:textId="77777777" w:rsidTr="000D5D9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8D2A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CAB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20F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86C4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D6D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210368" w14:paraId="0226764A" w14:textId="77777777" w:rsidTr="000D5D9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BB2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AB1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83D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44A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B72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210368" w14:paraId="09F352C1" w14:textId="77777777" w:rsidTr="000D5D9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B8E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E684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9F2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A8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AEC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210368" w14:paraId="2EC4E5B7" w14:textId="77777777" w:rsidTr="000D5D9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61A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E53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706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E0E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16D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210368" w14:paraId="58E8AF8B" w14:textId="77777777" w:rsidTr="000D5D9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79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5F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DD2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E103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141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210368" w14:paraId="116D4D8D" w14:textId="77777777" w:rsidTr="000D5D9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FD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8D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63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99D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58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210368" w14:paraId="24EE14AF" w14:textId="77777777" w:rsidTr="000D5D9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C77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93E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CA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572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66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210368" w14:paraId="64D75F52" w14:textId="77777777" w:rsidTr="000D5D9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7F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57E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705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2B95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DB2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210368" w14:paraId="77A83037" w14:textId="77777777" w:rsidTr="000D5D9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C0E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32C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6DE9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3BEA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69A8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210368" w14:paraId="6075E9DA" w14:textId="77777777" w:rsidTr="000D5D9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943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9FA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7AB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428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F19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210368" w14:paraId="2A4E40FA" w14:textId="77777777" w:rsidTr="000D5D9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2F2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E42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538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639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742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210368" w14:paraId="5A389B39" w14:textId="77777777" w:rsidTr="000D5D9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7DA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55E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D65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366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7F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210368" w14:paraId="7D688843" w14:textId="77777777" w:rsidTr="000D5D9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D18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FC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561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6E70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BB98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210368" w14:paraId="1540BC2B" w14:textId="77777777" w:rsidTr="000D5D9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6E9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72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EE8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980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88C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210368" w14:paraId="3F56BA70" w14:textId="77777777" w:rsidTr="000D5D9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85D9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D9E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24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A12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263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210368" w14:paraId="5ACE20BA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25D6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A1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637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123D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715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210368" w14:paraId="489956A1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69E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465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54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F42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A199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210368" w14:paraId="3B30DC53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357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851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12F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D89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1F4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210368" w14:paraId="18616170" w14:textId="77777777" w:rsidTr="000D5D9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429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D37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4EF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5BA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EB0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210368" w14:paraId="11CCF871" w14:textId="77777777" w:rsidTr="000D5D9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C7F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785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73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B19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F30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10368" w14:paraId="6A838998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BBC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7C8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B41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8B8F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9F1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210368" w14:paraId="5E84D0BB" w14:textId="77777777" w:rsidTr="000D5D9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896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E21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FE0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199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C01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10368" w14:paraId="667E1828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789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156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4C7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1279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5EC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210368" w14:paraId="2D6C2E34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B50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FEF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4F0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789C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C8B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10368" w14:paraId="09DE623B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5D0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598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AB5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CF8A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B2C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210368" w14:paraId="101BBA37" w14:textId="77777777" w:rsidTr="000D5D9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194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445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6FC4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6CB8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9B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10368" w14:paraId="7543C7B8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9B1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86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04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4C1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B586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210368" w14:paraId="1BF3857F" w14:textId="77777777" w:rsidTr="000D5D9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C937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281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A29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435C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DA1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210368" w14:paraId="4FDC79C3" w14:textId="77777777" w:rsidTr="000D5D9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0F6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FE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AB18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BA2C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E69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210368" w14:paraId="0B719499" w14:textId="77777777" w:rsidTr="000D5D9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032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7A4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90D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85E9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FB7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210368" w14:paraId="6718B034" w14:textId="77777777" w:rsidTr="000D5D9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6F2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D0AA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CFE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3844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6BD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210368" w14:paraId="242B22BA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B553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35A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123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8375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04E1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210368" w14:paraId="04FACFC9" w14:textId="77777777" w:rsidTr="000D5D9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FE22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198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65E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AB10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79A0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210368" w14:paraId="684CA66C" w14:textId="77777777" w:rsidTr="000D5D9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1A3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5DB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2E0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4FEE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2E29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210368" w14:paraId="0F5A111B" w14:textId="77777777" w:rsidTr="000D5D9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5AAB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3F5F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C8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D0B4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6BE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210368" w14:paraId="236AE154" w14:textId="77777777" w:rsidTr="000D5D9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0085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9B46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5AC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77C5" w14:textId="77777777" w:rsidR="00CA4FB1" w:rsidRPr="00210368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BAED" w14:textId="77777777" w:rsidR="00CA4FB1" w:rsidRPr="00210368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1036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6531514" w14:textId="77777777" w:rsidR="00CA4FB1" w:rsidRPr="00210368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4C5C77A2" w14:textId="6E15C7F5" w:rsidR="00B40246" w:rsidRPr="00210368" w:rsidRDefault="00B40246">
      <w:pPr>
        <w:rPr>
          <w:rFonts w:ascii="Mulish" w:hAnsi="Mulish"/>
        </w:rPr>
      </w:pPr>
    </w:p>
    <w:sectPr w:rsidR="00B40246" w:rsidRPr="00210368" w:rsidSect="00DF6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3903" w14:textId="77777777" w:rsidR="000F0A21" w:rsidRDefault="000F0A21" w:rsidP="00932008">
      <w:pPr>
        <w:spacing w:after="0" w:line="240" w:lineRule="auto"/>
      </w:pPr>
      <w:r>
        <w:separator/>
      </w:r>
    </w:p>
  </w:endnote>
  <w:endnote w:type="continuationSeparator" w:id="0">
    <w:p w14:paraId="183BBB30" w14:textId="77777777" w:rsidR="000F0A21" w:rsidRDefault="000F0A2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6D19" w14:textId="77777777" w:rsidR="000F0A21" w:rsidRDefault="000F0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2A0B" w14:textId="77777777" w:rsidR="000F0A21" w:rsidRDefault="000F0A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9935" w14:textId="77777777" w:rsidR="000F0A21" w:rsidRDefault="000F0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769C" w14:textId="77777777" w:rsidR="000F0A21" w:rsidRDefault="000F0A21" w:rsidP="00932008">
      <w:pPr>
        <w:spacing w:after="0" w:line="240" w:lineRule="auto"/>
      </w:pPr>
      <w:r>
        <w:separator/>
      </w:r>
    </w:p>
  </w:footnote>
  <w:footnote w:type="continuationSeparator" w:id="0">
    <w:p w14:paraId="0BFAF75E" w14:textId="77777777" w:rsidR="000F0A21" w:rsidRDefault="000F0A2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4661" w14:textId="2BAAAC3F" w:rsidR="000F0A21" w:rsidRDefault="000F0A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B687" w14:textId="4D9EB9EA" w:rsidR="000F0A21" w:rsidRDefault="000F0A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1201" w14:textId="46EDCBA7" w:rsidR="000F0A21" w:rsidRDefault="000F0A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26653C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5" type="#_x0000_t75" style="width:9pt;height:9pt" o:bullet="t">
        <v:imagedata r:id="rId1" o:title="BD14533_"/>
      </v:shape>
    </w:pict>
  </w:numPicBullet>
  <w:numPicBullet w:numPicBulletId="1">
    <w:pict>
      <v:shape w14:anchorId="0ECB5F71" id="_x0000_i1806" type="#_x0000_t75" style="width:9pt;height:9pt" o:bullet="t">
        <v:imagedata r:id="rId2" o:title="BD21296_"/>
      </v:shape>
    </w:pict>
  </w:numPicBullet>
  <w:abstractNum w:abstractNumId="0" w15:restartNumberingAfterBreak="0">
    <w:nsid w:val="0BFA2388"/>
    <w:multiLevelType w:val="hybridMultilevel"/>
    <w:tmpl w:val="01A466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F1F"/>
    <w:multiLevelType w:val="hybridMultilevel"/>
    <w:tmpl w:val="FD94BD2E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5BBB"/>
    <w:multiLevelType w:val="hybridMultilevel"/>
    <w:tmpl w:val="D7ACA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74FB"/>
    <w:multiLevelType w:val="hybridMultilevel"/>
    <w:tmpl w:val="0530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28EA"/>
    <w:multiLevelType w:val="hybridMultilevel"/>
    <w:tmpl w:val="4F6C5BBE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D0542"/>
    <w:multiLevelType w:val="hybridMultilevel"/>
    <w:tmpl w:val="B6905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7E19"/>
    <w:multiLevelType w:val="hybridMultilevel"/>
    <w:tmpl w:val="94F4DC9C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41788"/>
    <w:multiLevelType w:val="hybridMultilevel"/>
    <w:tmpl w:val="E8A245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43F8DC4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59EB"/>
    <w:multiLevelType w:val="hybridMultilevel"/>
    <w:tmpl w:val="A51EE3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5"/>
  </w:num>
  <w:num w:numId="5">
    <w:abstractNumId w:val="0"/>
  </w:num>
  <w:num w:numId="6">
    <w:abstractNumId w:val="22"/>
  </w:num>
  <w:num w:numId="7">
    <w:abstractNumId w:val="14"/>
  </w:num>
  <w:num w:numId="8">
    <w:abstractNumId w:val="7"/>
  </w:num>
  <w:num w:numId="9">
    <w:abstractNumId w:val="1"/>
  </w:num>
  <w:num w:numId="10">
    <w:abstractNumId w:val="18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  <w:num w:numId="15">
    <w:abstractNumId w:val="21"/>
  </w:num>
  <w:num w:numId="16">
    <w:abstractNumId w:val="8"/>
  </w:num>
  <w:num w:numId="17">
    <w:abstractNumId w:val="9"/>
  </w:num>
  <w:num w:numId="18">
    <w:abstractNumId w:val="12"/>
  </w:num>
  <w:num w:numId="19">
    <w:abstractNumId w:val="4"/>
  </w:num>
  <w:num w:numId="20">
    <w:abstractNumId w:val="6"/>
  </w:num>
  <w:num w:numId="21">
    <w:abstractNumId w:val="16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65B3"/>
    <w:rsid w:val="000C6CFF"/>
    <w:rsid w:val="000D37BA"/>
    <w:rsid w:val="000D5D95"/>
    <w:rsid w:val="000E437F"/>
    <w:rsid w:val="000F0A21"/>
    <w:rsid w:val="00102733"/>
    <w:rsid w:val="00113CA9"/>
    <w:rsid w:val="001561A4"/>
    <w:rsid w:val="001D5EB0"/>
    <w:rsid w:val="001F0119"/>
    <w:rsid w:val="00210368"/>
    <w:rsid w:val="00224232"/>
    <w:rsid w:val="002A154B"/>
    <w:rsid w:val="002B3762"/>
    <w:rsid w:val="002E48C0"/>
    <w:rsid w:val="003361BA"/>
    <w:rsid w:val="003435B2"/>
    <w:rsid w:val="003871F8"/>
    <w:rsid w:val="003F271E"/>
    <w:rsid w:val="003F572A"/>
    <w:rsid w:val="004556B6"/>
    <w:rsid w:val="00486B35"/>
    <w:rsid w:val="004F2655"/>
    <w:rsid w:val="00521DA9"/>
    <w:rsid w:val="00522CB7"/>
    <w:rsid w:val="00544E0C"/>
    <w:rsid w:val="00561402"/>
    <w:rsid w:val="0057532F"/>
    <w:rsid w:val="005A4CD3"/>
    <w:rsid w:val="005B19E4"/>
    <w:rsid w:val="005F29B8"/>
    <w:rsid w:val="00611034"/>
    <w:rsid w:val="00671D67"/>
    <w:rsid w:val="006A2766"/>
    <w:rsid w:val="006E5667"/>
    <w:rsid w:val="006E7A54"/>
    <w:rsid w:val="00710031"/>
    <w:rsid w:val="00743756"/>
    <w:rsid w:val="00764046"/>
    <w:rsid w:val="007808F7"/>
    <w:rsid w:val="007B0F99"/>
    <w:rsid w:val="00844FA9"/>
    <w:rsid w:val="008C1E1E"/>
    <w:rsid w:val="008D3814"/>
    <w:rsid w:val="008F2DF4"/>
    <w:rsid w:val="0092723A"/>
    <w:rsid w:val="00932008"/>
    <w:rsid w:val="0094515D"/>
    <w:rsid w:val="009601F8"/>
    <w:rsid w:val="009609E9"/>
    <w:rsid w:val="00A0161F"/>
    <w:rsid w:val="00A20A7F"/>
    <w:rsid w:val="00AD2022"/>
    <w:rsid w:val="00B143C7"/>
    <w:rsid w:val="00B27ECD"/>
    <w:rsid w:val="00B40246"/>
    <w:rsid w:val="00B841AE"/>
    <w:rsid w:val="00BB6799"/>
    <w:rsid w:val="00BD4582"/>
    <w:rsid w:val="00BE6A46"/>
    <w:rsid w:val="00BE7CD2"/>
    <w:rsid w:val="00BF2B05"/>
    <w:rsid w:val="00C33A23"/>
    <w:rsid w:val="00C5744D"/>
    <w:rsid w:val="00C65B5B"/>
    <w:rsid w:val="00CA4FB1"/>
    <w:rsid w:val="00CB5511"/>
    <w:rsid w:val="00CC2049"/>
    <w:rsid w:val="00CF219D"/>
    <w:rsid w:val="00D2215D"/>
    <w:rsid w:val="00D358F2"/>
    <w:rsid w:val="00D96F84"/>
    <w:rsid w:val="00DF5F2A"/>
    <w:rsid w:val="00DF63E7"/>
    <w:rsid w:val="00E3088D"/>
    <w:rsid w:val="00E34195"/>
    <w:rsid w:val="00E47613"/>
    <w:rsid w:val="00EC6DDD"/>
    <w:rsid w:val="00ED49C3"/>
    <w:rsid w:val="00EE1C0B"/>
    <w:rsid w:val="00F14DA4"/>
    <w:rsid w:val="00F47C3B"/>
    <w:rsid w:val="00F71D7D"/>
    <w:rsid w:val="00FD0ED8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1867"/>
  <w15:docId w15:val="{32D4ED82-B0A8-448E-9394-BF0F1F4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110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16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6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61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6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61F"/>
    <w:rPr>
      <w:rFonts w:ascii="Century Gothic" w:hAnsi="Century Gothic"/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4556B6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556B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F291A"/>
    <w:rsid w:val="0068496A"/>
    <w:rsid w:val="0068708C"/>
    <w:rsid w:val="00822AD3"/>
    <w:rsid w:val="0083154F"/>
    <w:rsid w:val="00D0557C"/>
    <w:rsid w:val="00D35513"/>
    <w:rsid w:val="00DE4B57"/>
    <w:rsid w:val="00E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A818D9-BBAF-46D5-8A91-793F57D98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390</TotalTime>
  <Pages>13</Pages>
  <Words>3173</Words>
  <Characters>17455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25</cp:revision>
  <cp:lastPrinted>2007-10-26T10:03:00Z</cp:lastPrinted>
  <dcterms:created xsi:type="dcterms:W3CDTF">2023-09-12T10:58:00Z</dcterms:created>
  <dcterms:modified xsi:type="dcterms:W3CDTF">2025-01-17T11:16:00Z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