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0478" w14:textId="7C625D50" w:rsidR="006F17B5" w:rsidRPr="0091738C" w:rsidRDefault="006F17B5" w:rsidP="001B16D9">
      <w:pPr>
        <w:pStyle w:val="Ttulo1"/>
        <w:jc w:val="both"/>
        <w:rPr>
          <w:rFonts w:ascii="Mulish" w:hAnsi="Mulish"/>
          <w:color w:val="6BA999"/>
        </w:rPr>
      </w:pPr>
      <w:r w:rsidRPr="0091738C">
        <w:rPr>
          <w:rFonts w:ascii="Mulish" w:hAnsi="Mulish"/>
          <w:color w:val="6BA999"/>
        </w:rPr>
        <w:t xml:space="preserve">INFORME RELATIVO A LAS OBSERVACIONES REMITIDAS POR </w:t>
      </w:r>
      <w:r w:rsidR="004458C9" w:rsidRPr="0091738C">
        <w:rPr>
          <w:rFonts w:ascii="Mulish" w:hAnsi="Mulish"/>
          <w:color w:val="6BA999"/>
        </w:rPr>
        <w:t>UMIVALE ACTIVA</w:t>
      </w:r>
      <w:r w:rsidR="00EF7316" w:rsidRPr="0091738C">
        <w:rPr>
          <w:rFonts w:ascii="Mulish" w:hAnsi="Mulish"/>
          <w:color w:val="6BA999"/>
        </w:rPr>
        <w:t xml:space="preserve"> </w:t>
      </w:r>
      <w:r w:rsidRPr="0091738C">
        <w:rPr>
          <w:rFonts w:ascii="Mulish" w:hAnsi="Mulish"/>
          <w:color w:val="6BA999"/>
        </w:rPr>
        <w:t>EN RELACIÓN CON EL INFORME DEL CTBG SOBRE CUMPLIMIENTO DE LAS OBLIGACIONES DE PUBLICIDAD ACTIVA ESTABLECIDAS POR LA LTAIBG</w:t>
      </w:r>
    </w:p>
    <w:p w14:paraId="18432AB7" w14:textId="77777777" w:rsidR="006F17B5" w:rsidRPr="0091738C" w:rsidRDefault="006F17B5" w:rsidP="006F17B5">
      <w:pPr>
        <w:jc w:val="center"/>
        <w:rPr>
          <w:rFonts w:ascii="Mulish" w:hAnsi="Mulish" w:cstheme="minorHAnsi"/>
          <w:szCs w:val="24"/>
        </w:rPr>
      </w:pPr>
    </w:p>
    <w:p w14:paraId="63CA6E05" w14:textId="0A675F91" w:rsidR="00D23111" w:rsidRPr="0091738C" w:rsidRDefault="00D23111" w:rsidP="009E16B5">
      <w:pPr>
        <w:tabs>
          <w:tab w:val="left" w:pos="284"/>
        </w:tabs>
        <w:spacing w:before="120" w:after="120" w:line="312" w:lineRule="auto"/>
        <w:contextualSpacing/>
        <w:jc w:val="both"/>
        <w:rPr>
          <w:rFonts w:ascii="Mulish" w:hAnsi="Mulish" w:cstheme="minorHAnsi"/>
          <w:szCs w:val="24"/>
        </w:rPr>
      </w:pPr>
      <w:r w:rsidRPr="0091738C">
        <w:rPr>
          <w:rFonts w:ascii="Mulish" w:hAnsi="Mulish" w:cstheme="minorHAnsi"/>
          <w:szCs w:val="24"/>
        </w:rPr>
        <w:t xml:space="preserve">En contestación a </w:t>
      </w:r>
      <w:r w:rsidR="00EF7316" w:rsidRPr="0091738C">
        <w:rPr>
          <w:rFonts w:ascii="Mulish" w:hAnsi="Mulish" w:cstheme="minorHAnsi"/>
          <w:szCs w:val="24"/>
        </w:rPr>
        <w:t>su escrito remitido</w:t>
      </w:r>
      <w:r w:rsidR="00AA1AC4" w:rsidRPr="0091738C">
        <w:rPr>
          <w:rFonts w:ascii="Mulish" w:hAnsi="Mulish" w:cstheme="minorHAnsi"/>
          <w:szCs w:val="24"/>
        </w:rPr>
        <w:t xml:space="preserve"> a este Consejo con fecha</w:t>
      </w:r>
      <w:r w:rsidRPr="0091738C">
        <w:rPr>
          <w:rFonts w:ascii="Mulish" w:hAnsi="Mulish" w:cstheme="minorHAnsi"/>
          <w:szCs w:val="24"/>
        </w:rPr>
        <w:t xml:space="preserve"> </w:t>
      </w:r>
      <w:r w:rsidR="004458C9" w:rsidRPr="0091738C">
        <w:rPr>
          <w:rFonts w:ascii="Mulish" w:hAnsi="Mulish" w:cstheme="minorHAnsi"/>
          <w:szCs w:val="24"/>
        </w:rPr>
        <w:t>4</w:t>
      </w:r>
      <w:r w:rsidRPr="0091738C">
        <w:rPr>
          <w:rFonts w:ascii="Mulish" w:hAnsi="Mulish" w:cstheme="minorHAnsi"/>
          <w:szCs w:val="24"/>
        </w:rPr>
        <w:t xml:space="preserve"> de </w:t>
      </w:r>
      <w:r w:rsidR="004458C9" w:rsidRPr="0091738C">
        <w:rPr>
          <w:rFonts w:ascii="Mulish" w:hAnsi="Mulish" w:cstheme="minorHAnsi"/>
          <w:szCs w:val="24"/>
        </w:rPr>
        <w:t xml:space="preserve">enero </w:t>
      </w:r>
      <w:r w:rsidRPr="0091738C">
        <w:rPr>
          <w:rFonts w:ascii="Mulish" w:hAnsi="Mulish" w:cstheme="minorHAnsi"/>
          <w:szCs w:val="24"/>
        </w:rPr>
        <w:t>de 202</w:t>
      </w:r>
      <w:r w:rsidR="004458C9" w:rsidRPr="0091738C">
        <w:rPr>
          <w:rFonts w:ascii="Mulish" w:hAnsi="Mulish" w:cstheme="minorHAnsi"/>
          <w:szCs w:val="24"/>
        </w:rPr>
        <w:t>4</w:t>
      </w:r>
      <w:r w:rsidR="00C119CE" w:rsidRPr="0091738C">
        <w:rPr>
          <w:rFonts w:ascii="Mulish" w:hAnsi="Mulish" w:cstheme="minorHAnsi"/>
          <w:szCs w:val="24"/>
        </w:rPr>
        <w:t>,</w:t>
      </w:r>
      <w:r w:rsidR="005B1C12" w:rsidRPr="0091738C">
        <w:rPr>
          <w:rFonts w:ascii="Mulish" w:hAnsi="Mulish" w:cstheme="minorHAnsi"/>
          <w:szCs w:val="24"/>
        </w:rPr>
        <w:t xml:space="preserve"> </w:t>
      </w:r>
      <w:r w:rsidRPr="0091738C">
        <w:rPr>
          <w:rFonts w:ascii="Mulish" w:hAnsi="Mulish" w:cstheme="minorHAnsi"/>
          <w:szCs w:val="24"/>
        </w:rPr>
        <w:t>una vez analiza</w:t>
      </w:r>
      <w:r w:rsidR="00AA1AC4" w:rsidRPr="0091738C">
        <w:rPr>
          <w:rFonts w:ascii="Mulish" w:hAnsi="Mulish" w:cstheme="minorHAnsi"/>
          <w:szCs w:val="24"/>
        </w:rPr>
        <w:t>dos</w:t>
      </w:r>
      <w:r w:rsidRPr="0091738C">
        <w:rPr>
          <w:rFonts w:ascii="Mulish" w:hAnsi="Mulish" w:cstheme="minorHAnsi"/>
          <w:szCs w:val="24"/>
        </w:rPr>
        <w:t xml:space="preserve"> </w:t>
      </w:r>
      <w:r w:rsidR="00AA1AC4" w:rsidRPr="0091738C">
        <w:rPr>
          <w:rFonts w:ascii="Mulish" w:hAnsi="Mulish" w:cstheme="minorHAnsi"/>
          <w:szCs w:val="24"/>
        </w:rPr>
        <w:t>todos sus contenidos relacionados con e</w:t>
      </w:r>
      <w:r w:rsidRPr="0091738C">
        <w:rPr>
          <w:rFonts w:ascii="Mulish" w:hAnsi="Mulish" w:cstheme="minorHAnsi"/>
          <w:szCs w:val="24"/>
        </w:rPr>
        <w:t xml:space="preserve">l borrador de informe de evaluación </w:t>
      </w:r>
      <w:r w:rsidR="00B81EE6" w:rsidRPr="0091738C">
        <w:rPr>
          <w:rFonts w:ascii="Mulish" w:hAnsi="Mulish" w:cstheme="minorHAnsi"/>
          <w:szCs w:val="24"/>
        </w:rPr>
        <w:t xml:space="preserve">relativo al </w:t>
      </w:r>
      <w:r w:rsidRPr="0091738C">
        <w:rPr>
          <w:rFonts w:ascii="Mulish" w:hAnsi="Mulish" w:cstheme="minorHAnsi"/>
          <w:szCs w:val="24"/>
        </w:rPr>
        <w:t xml:space="preserve">cumplimiento de las obligaciones de publicidad activa por parte de esa </w:t>
      </w:r>
      <w:r w:rsidR="00855ECA" w:rsidRPr="0091738C">
        <w:rPr>
          <w:rFonts w:ascii="Mulish" w:hAnsi="Mulish" w:cstheme="minorHAnsi"/>
          <w:szCs w:val="24"/>
        </w:rPr>
        <w:t>Institución</w:t>
      </w:r>
      <w:r w:rsidRPr="0091738C">
        <w:rPr>
          <w:rFonts w:ascii="Mulish" w:hAnsi="Mulish" w:cstheme="minorHAnsi"/>
          <w:szCs w:val="24"/>
        </w:rPr>
        <w:t>, este CTBG efectúa las siguientes consideraciones:</w:t>
      </w:r>
    </w:p>
    <w:p w14:paraId="67EB90DA" w14:textId="77777777" w:rsidR="00855ECA" w:rsidRPr="0091738C" w:rsidRDefault="00855ECA" w:rsidP="009E16B5">
      <w:pPr>
        <w:tabs>
          <w:tab w:val="left" w:pos="284"/>
        </w:tabs>
        <w:spacing w:before="120" w:after="120" w:line="312" w:lineRule="auto"/>
        <w:contextualSpacing/>
        <w:jc w:val="both"/>
        <w:rPr>
          <w:rFonts w:ascii="Mulish" w:hAnsi="Mulish" w:cstheme="minorHAnsi"/>
          <w:szCs w:val="24"/>
        </w:rPr>
      </w:pPr>
    </w:p>
    <w:p w14:paraId="69B81DC0" w14:textId="46626DC6" w:rsidR="00D579C5" w:rsidRPr="0091738C" w:rsidRDefault="004458C9" w:rsidP="000A6CB7">
      <w:pPr>
        <w:pStyle w:val="Prrafodelista"/>
        <w:numPr>
          <w:ilvl w:val="0"/>
          <w:numId w:val="13"/>
        </w:numPr>
        <w:tabs>
          <w:tab w:val="left" w:pos="284"/>
        </w:tabs>
        <w:spacing w:before="120" w:after="120" w:line="312" w:lineRule="auto"/>
        <w:jc w:val="both"/>
        <w:rPr>
          <w:rFonts w:ascii="Mulish" w:hAnsi="Mulish" w:cstheme="minorHAnsi"/>
          <w:sz w:val="24"/>
          <w:szCs w:val="28"/>
        </w:rPr>
      </w:pPr>
      <w:r w:rsidRPr="0091738C">
        <w:rPr>
          <w:rFonts w:ascii="Mulish" w:hAnsi="Mulish" w:cstheme="minorHAnsi"/>
          <w:sz w:val="24"/>
          <w:szCs w:val="28"/>
        </w:rPr>
        <w:t>Sobre la publicación de las subvenciones y ayudas públicas concedidas</w:t>
      </w:r>
      <w:r w:rsidR="0070550B" w:rsidRPr="0091738C">
        <w:rPr>
          <w:rFonts w:ascii="Mulish" w:hAnsi="Mulish" w:cstheme="minorHAnsi"/>
          <w:sz w:val="24"/>
          <w:szCs w:val="28"/>
        </w:rPr>
        <w:t>.</w:t>
      </w:r>
      <w:r w:rsidR="00D579C5" w:rsidRPr="0091738C">
        <w:rPr>
          <w:rFonts w:ascii="Mulish" w:hAnsi="Mulish" w:cstheme="minorHAnsi"/>
          <w:sz w:val="24"/>
          <w:szCs w:val="28"/>
        </w:rPr>
        <w:t xml:space="preserve"> Señala UMIVALE Activa, que la información se encuentra publicada en el documento cuentas anuales, informando en paralelo,</w:t>
      </w:r>
      <w:r w:rsidR="007E55EA">
        <w:rPr>
          <w:rFonts w:ascii="Mulish" w:hAnsi="Mulish" w:cstheme="minorHAnsi"/>
          <w:sz w:val="24"/>
          <w:szCs w:val="28"/>
        </w:rPr>
        <w:t xml:space="preserve"> </w:t>
      </w:r>
      <w:r w:rsidR="00D579C5" w:rsidRPr="0091738C">
        <w:rPr>
          <w:rFonts w:ascii="Mulish" w:hAnsi="Mulish" w:cstheme="minorHAnsi"/>
          <w:sz w:val="24"/>
          <w:szCs w:val="28"/>
        </w:rPr>
        <w:t xml:space="preserve">que se ha creado un apartado específico en el Portal de Transparencia para la publicación de esta información. Respecto de la publicación de información de una obligación a través de los documentos correspondientes a otra obligación – u otros documentos, como las memorias -, este CTBG recuerda que, de la misma manera que la LTAIBG distingue y enumera todas y cada una de las obligaciones de publicidad activa, la publicación de las informaciones relativas a estas obligaciones debe realizarse manera individualizada. </w:t>
      </w:r>
    </w:p>
    <w:p w14:paraId="750AF21F" w14:textId="77777777" w:rsidR="00D579C5" w:rsidRPr="0091738C" w:rsidRDefault="00D579C5" w:rsidP="00D579C5">
      <w:pPr>
        <w:pStyle w:val="Prrafodelista"/>
        <w:tabs>
          <w:tab w:val="left" w:pos="284"/>
        </w:tabs>
        <w:spacing w:before="120" w:after="120" w:line="312" w:lineRule="auto"/>
        <w:jc w:val="both"/>
        <w:rPr>
          <w:rFonts w:ascii="Mulish" w:hAnsi="Mulish" w:cstheme="minorHAnsi"/>
          <w:sz w:val="24"/>
          <w:szCs w:val="28"/>
        </w:rPr>
      </w:pPr>
    </w:p>
    <w:p w14:paraId="623F4D20" w14:textId="0131F830" w:rsidR="00AA1AC4" w:rsidRPr="0091738C" w:rsidRDefault="00D579C5" w:rsidP="00D579C5">
      <w:pPr>
        <w:pStyle w:val="Prrafodelista"/>
        <w:tabs>
          <w:tab w:val="left" w:pos="284"/>
        </w:tabs>
        <w:spacing w:before="120" w:after="120" w:line="312" w:lineRule="auto"/>
        <w:jc w:val="both"/>
        <w:rPr>
          <w:rFonts w:ascii="Mulish" w:hAnsi="Mulish" w:cstheme="minorHAnsi"/>
          <w:sz w:val="24"/>
          <w:szCs w:val="28"/>
        </w:rPr>
      </w:pPr>
      <w:r w:rsidRPr="0091738C">
        <w:rPr>
          <w:rFonts w:ascii="Mulish" w:hAnsi="Mulish" w:cstheme="minorHAnsi"/>
          <w:sz w:val="24"/>
          <w:szCs w:val="28"/>
        </w:rPr>
        <w:t xml:space="preserve">Por otra parte, la publicación 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14:paraId="6B002FAD" w14:textId="77777777" w:rsidR="00D579C5" w:rsidRPr="0091738C" w:rsidRDefault="00D579C5" w:rsidP="00D579C5">
      <w:pPr>
        <w:pStyle w:val="Prrafodelista"/>
        <w:tabs>
          <w:tab w:val="left" w:pos="284"/>
        </w:tabs>
        <w:spacing w:before="120" w:after="120" w:line="312" w:lineRule="auto"/>
        <w:jc w:val="both"/>
        <w:rPr>
          <w:rFonts w:ascii="Mulish" w:hAnsi="Mulish" w:cstheme="minorHAnsi"/>
          <w:sz w:val="24"/>
          <w:szCs w:val="28"/>
        </w:rPr>
      </w:pPr>
    </w:p>
    <w:p w14:paraId="2BB95DA2" w14:textId="5594E76D" w:rsidR="00D579C5" w:rsidRPr="0091738C" w:rsidRDefault="00D579C5" w:rsidP="00D579C5">
      <w:pPr>
        <w:pStyle w:val="Prrafodelista"/>
        <w:tabs>
          <w:tab w:val="left" w:pos="284"/>
        </w:tabs>
        <w:spacing w:before="120" w:after="120" w:line="312" w:lineRule="auto"/>
        <w:jc w:val="both"/>
        <w:rPr>
          <w:rFonts w:ascii="Mulish" w:hAnsi="Mulish" w:cstheme="minorHAnsi"/>
          <w:sz w:val="24"/>
          <w:szCs w:val="28"/>
        </w:rPr>
      </w:pPr>
      <w:r w:rsidRPr="0091738C">
        <w:rPr>
          <w:rFonts w:ascii="Mulish" w:hAnsi="Mulish" w:cstheme="minorHAnsi"/>
          <w:sz w:val="24"/>
          <w:szCs w:val="28"/>
        </w:rPr>
        <w:lastRenderedPageBreak/>
        <w:t>La decisión de UMIVALE Activa de publicar de manera separada la información sobre subvenciones da respuesta a esta recomendación y resuelve los problemas de accesibilidad señalados.</w:t>
      </w:r>
    </w:p>
    <w:p w14:paraId="1E3EAB7A" w14:textId="77777777" w:rsidR="00D579C5" w:rsidRPr="0091738C" w:rsidRDefault="00D579C5" w:rsidP="00D579C5">
      <w:pPr>
        <w:pStyle w:val="Prrafodelista"/>
        <w:rPr>
          <w:rFonts w:ascii="Mulish" w:hAnsi="Mulish" w:cstheme="minorHAnsi"/>
          <w:sz w:val="24"/>
          <w:szCs w:val="28"/>
        </w:rPr>
      </w:pPr>
    </w:p>
    <w:p w14:paraId="093C498B" w14:textId="2A74AC53" w:rsidR="008229C5" w:rsidRPr="0091738C" w:rsidRDefault="00D579C5" w:rsidP="00D579C5">
      <w:pPr>
        <w:pStyle w:val="Prrafodelista"/>
        <w:numPr>
          <w:ilvl w:val="0"/>
          <w:numId w:val="13"/>
        </w:numPr>
        <w:tabs>
          <w:tab w:val="left" w:pos="284"/>
        </w:tabs>
        <w:spacing w:before="120" w:after="120" w:line="312" w:lineRule="auto"/>
        <w:jc w:val="both"/>
        <w:rPr>
          <w:rFonts w:ascii="Mulish" w:hAnsi="Mulish" w:cstheme="minorHAnsi"/>
          <w:sz w:val="24"/>
          <w:szCs w:val="28"/>
        </w:rPr>
      </w:pPr>
      <w:r w:rsidRPr="0091738C">
        <w:rPr>
          <w:rFonts w:ascii="Mulish" w:hAnsi="Mulish" w:cstheme="minorHAnsi"/>
          <w:sz w:val="24"/>
          <w:szCs w:val="28"/>
        </w:rPr>
        <w:t xml:space="preserve">En relación con la publicación de los informes de fiscalización del Tribunal de Cuentas, se admite la observación y se reevalúa el cumplimiento de esta obligación. El </w:t>
      </w:r>
      <w:r w:rsidR="008229C5" w:rsidRPr="0091738C">
        <w:rPr>
          <w:rFonts w:ascii="Mulish" w:hAnsi="Mulish" w:cstheme="minorHAnsi"/>
          <w:sz w:val="24"/>
          <w:szCs w:val="28"/>
        </w:rPr>
        <w:t>Informe</w:t>
      </w:r>
      <w:r w:rsidRPr="0091738C">
        <w:rPr>
          <w:rFonts w:ascii="Mulish" w:hAnsi="Mulish" w:cstheme="minorHAnsi"/>
          <w:sz w:val="24"/>
          <w:szCs w:val="28"/>
        </w:rPr>
        <w:t xml:space="preserve"> de</w:t>
      </w:r>
      <w:r w:rsidR="008229C5" w:rsidRPr="0091738C">
        <w:rPr>
          <w:rFonts w:ascii="Mulish" w:hAnsi="Mulish" w:cstheme="minorHAnsi"/>
          <w:sz w:val="24"/>
          <w:szCs w:val="28"/>
        </w:rPr>
        <w:t>l Tribunal de Cuentas había pasado desapercibido en el transcurso de la evaluación, dado que se encuentra al final del informe de auditoría de la IGSS. Se recomienda que, si es posible, se creen enlaces diferenciados a los dos documentos para facilitar la localización del informe del TCU.</w:t>
      </w:r>
    </w:p>
    <w:p w14:paraId="5903C252" w14:textId="7CC8AC9C" w:rsidR="008229C5" w:rsidRPr="0091738C" w:rsidRDefault="00E00F5E" w:rsidP="00D579C5">
      <w:pPr>
        <w:pStyle w:val="Prrafodelista"/>
        <w:numPr>
          <w:ilvl w:val="0"/>
          <w:numId w:val="13"/>
        </w:numPr>
        <w:tabs>
          <w:tab w:val="left" w:pos="284"/>
        </w:tabs>
        <w:spacing w:before="120" w:after="120" w:line="312" w:lineRule="auto"/>
        <w:jc w:val="both"/>
        <w:rPr>
          <w:rFonts w:ascii="Mulish" w:hAnsi="Mulish" w:cstheme="minorHAnsi"/>
          <w:sz w:val="24"/>
          <w:szCs w:val="28"/>
        </w:rPr>
      </w:pPr>
      <w:r w:rsidRPr="0091738C">
        <w:rPr>
          <w:rFonts w:ascii="Mulish" w:hAnsi="Mulish" w:cstheme="minorHAnsi"/>
          <w:sz w:val="24"/>
          <w:szCs w:val="28"/>
        </w:rPr>
        <w:t>Tras la revisión efectuada, el Índice de Cumplimiento se sitúa en el 95,2%.</w:t>
      </w:r>
    </w:p>
    <w:p w14:paraId="113F5FDB" w14:textId="77777777" w:rsidR="00E00F5E" w:rsidRPr="0091738C" w:rsidRDefault="00E00F5E" w:rsidP="009E16B5">
      <w:pPr>
        <w:tabs>
          <w:tab w:val="left" w:pos="284"/>
        </w:tabs>
        <w:spacing w:before="120" w:after="120" w:line="312" w:lineRule="auto"/>
        <w:contextualSpacing/>
        <w:jc w:val="both"/>
        <w:rPr>
          <w:rFonts w:ascii="Mulish" w:hAnsi="Mulish" w:cstheme="minorHAnsi"/>
          <w:szCs w:val="24"/>
        </w:rPr>
      </w:pPr>
    </w:p>
    <w:p w14:paraId="6C961EB6" w14:textId="3FFF11FF" w:rsidR="00267F0B" w:rsidRPr="0091738C" w:rsidRDefault="00E2210B" w:rsidP="009E16B5">
      <w:pPr>
        <w:tabs>
          <w:tab w:val="left" w:pos="284"/>
        </w:tabs>
        <w:spacing w:before="120" w:after="120" w:line="312" w:lineRule="auto"/>
        <w:contextualSpacing/>
        <w:jc w:val="both"/>
        <w:rPr>
          <w:rFonts w:ascii="Mulish" w:hAnsi="Mulish" w:cstheme="minorHAnsi"/>
          <w:szCs w:val="24"/>
        </w:rPr>
      </w:pPr>
      <w:r w:rsidRPr="0091738C">
        <w:rPr>
          <w:rFonts w:ascii="Mulish" w:hAnsi="Mulish" w:cstheme="minorHAnsi"/>
          <w:szCs w:val="24"/>
        </w:rPr>
        <w:t xml:space="preserve">Este Consejo, valora muy positivamente la disposición </w:t>
      </w:r>
      <w:r w:rsidR="00E00F5E" w:rsidRPr="0091738C">
        <w:rPr>
          <w:rFonts w:ascii="Mulish" w:hAnsi="Mulish" w:cstheme="minorHAnsi"/>
          <w:szCs w:val="24"/>
        </w:rPr>
        <w:t>de UMIVALE Activa</w:t>
      </w:r>
      <w:r w:rsidRPr="0091738C">
        <w:rPr>
          <w:rFonts w:ascii="Mulish" w:hAnsi="Mulish" w:cstheme="minorHAnsi"/>
          <w:szCs w:val="24"/>
        </w:rPr>
        <w:t xml:space="preserve"> a aplicar las mejoras señaladas en el informe provisional de evaluación</w:t>
      </w:r>
      <w:r w:rsidR="00E00F5E" w:rsidRPr="0091738C">
        <w:rPr>
          <w:rFonts w:ascii="Mulish" w:hAnsi="Mulish" w:cstheme="minorHAnsi"/>
          <w:szCs w:val="24"/>
        </w:rPr>
        <w:t>, todas ellas ya implementadas, lo que, con toda seguridad, repercutirá en un incremento del Índice de Cumplimiento en la revisión que se efectuará en los próximos meses de marzo y abril.</w:t>
      </w:r>
    </w:p>
    <w:p w14:paraId="56250D99" w14:textId="77777777" w:rsidR="0045134F" w:rsidRPr="0091738C" w:rsidRDefault="0045134F" w:rsidP="00D44E9D">
      <w:pPr>
        <w:pStyle w:val="Prrafodelista"/>
        <w:tabs>
          <w:tab w:val="left" w:pos="284"/>
        </w:tabs>
        <w:spacing w:before="120" w:after="120" w:line="312" w:lineRule="auto"/>
        <w:jc w:val="both"/>
        <w:rPr>
          <w:rFonts w:ascii="Mulish" w:hAnsi="Mulish" w:cstheme="minorHAnsi"/>
          <w:szCs w:val="24"/>
        </w:rPr>
      </w:pPr>
    </w:p>
    <w:p w14:paraId="66878C8F" w14:textId="2E236621" w:rsidR="006F17B5" w:rsidRPr="0091738C" w:rsidRDefault="0006533A" w:rsidP="0006533A">
      <w:pPr>
        <w:tabs>
          <w:tab w:val="left" w:pos="284"/>
        </w:tabs>
        <w:autoSpaceDE w:val="0"/>
        <w:autoSpaceDN w:val="0"/>
        <w:adjustRightInd w:val="0"/>
        <w:spacing w:before="120" w:after="120" w:line="312" w:lineRule="auto"/>
        <w:jc w:val="right"/>
        <w:rPr>
          <w:rFonts w:ascii="Mulish" w:hAnsi="Mulish"/>
          <w:szCs w:val="24"/>
        </w:rPr>
      </w:pPr>
      <w:r w:rsidRPr="0091738C">
        <w:rPr>
          <w:rFonts w:ascii="Mulish" w:hAnsi="Mulish" w:cstheme="minorHAnsi"/>
          <w:szCs w:val="24"/>
        </w:rPr>
        <w:t xml:space="preserve">Madrid, </w:t>
      </w:r>
      <w:r w:rsidR="00EB7645" w:rsidRPr="0091738C">
        <w:rPr>
          <w:rFonts w:ascii="Mulish" w:hAnsi="Mulish" w:cstheme="minorHAnsi"/>
          <w:szCs w:val="24"/>
        </w:rPr>
        <w:t>enero</w:t>
      </w:r>
      <w:r w:rsidRPr="0091738C">
        <w:rPr>
          <w:rFonts w:ascii="Mulish" w:hAnsi="Mulish" w:cstheme="minorHAnsi"/>
          <w:szCs w:val="24"/>
        </w:rPr>
        <w:t xml:space="preserve"> de 202</w:t>
      </w:r>
      <w:r w:rsidR="00EB7645" w:rsidRPr="0091738C">
        <w:rPr>
          <w:rFonts w:ascii="Mulish" w:hAnsi="Mulish" w:cstheme="minorHAnsi"/>
          <w:szCs w:val="24"/>
        </w:rPr>
        <w:t>4</w:t>
      </w:r>
    </w:p>
    <w:sectPr w:rsidR="006F17B5" w:rsidRPr="0091738C" w:rsidSect="009E16B5">
      <w:headerReference w:type="default" r:id="rId7"/>
      <w:footerReference w:type="default" r:id="rId8"/>
      <w:headerReference w:type="first" r:id="rId9"/>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E9B9" w14:textId="77777777" w:rsidR="004326E1" w:rsidRDefault="004326E1" w:rsidP="00344FE7">
      <w:pPr>
        <w:spacing w:after="0" w:line="240" w:lineRule="auto"/>
      </w:pPr>
      <w:r>
        <w:separator/>
      </w:r>
    </w:p>
  </w:endnote>
  <w:endnote w:type="continuationSeparator" w:id="0">
    <w:p w14:paraId="1C3E2F0D" w14:textId="77777777" w:rsidR="004326E1" w:rsidRDefault="004326E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13920B37" w14:textId="77777777" w:rsidR="004326E1" w:rsidRPr="00C23F36" w:rsidRDefault="004326E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7703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2BF4" w14:textId="77777777" w:rsidR="004326E1" w:rsidRDefault="004326E1" w:rsidP="00344FE7">
      <w:pPr>
        <w:spacing w:after="0" w:line="240" w:lineRule="auto"/>
      </w:pPr>
      <w:r>
        <w:separator/>
      </w:r>
    </w:p>
  </w:footnote>
  <w:footnote w:type="continuationSeparator" w:id="0">
    <w:p w14:paraId="3275DEA2" w14:textId="77777777" w:rsidR="004326E1" w:rsidRDefault="004326E1"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EC9" w14:textId="77777777" w:rsidR="004326E1" w:rsidRDefault="004326E1">
    <w:pPr>
      <w:pStyle w:val="Encabezado"/>
    </w:pPr>
    <w:r>
      <w:rPr>
        <w:noProof/>
        <w:lang w:eastAsia="es-ES"/>
      </w:rPr>
      <w:drawing>
        <wp:anchor distT="0" distB="0" distL="0" distR="0" simplePos="0" relativeHeight="251670528" behindDoc="0" locked="0" layoutInCell="1" allowOverlap="0" wp14:anchorId="4A178C54" wp14:editId="046F51E7">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D6C526C" w14:textId="77777777" w:rsidR="004326E1" w:rsidRDefault="004326E1">
    <w:pPr>
      <w:pStyle w:val="Encabezado"/>
    </w:pPr>
  </w:p>
  <w:p w14:paraId="5FA2C50F" w14:textId="77777777" w:rsidR="004326E1" w:rsidRDefault="004326E1" w:rsidP="00344FE7">
    <w:pPr>
      <w:pStyle w:val="Encabezado"/>
    </w:pPr>
  </w:p>
  <w:p w14:paraId="026EC9C3" w14:textId="77777777" w:rsidR="004326E1" w:rsidRDefault="004326E1" w:rsidP="00344FE7">
    <w:pPr>
      <w:pStyle w:val="Encabezado"/>
    </w:pPr>
  </w:p>
  <w:p w14:paraId="6F3EF43C" w14:textId="77777777" w:rsidR="004326E1" w:rsidRDefault="004326E1"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B4A6" w14:textId="77777777" w:rsidR="004326E1" w:rsidRDefault="004326E1" w:rsidP="006F5890">
    <w:pPr>
      <w:jc w:val="right"/>
      <w:rPr>
        <w:noProof/>
        <w:lang w:eastAsia="es-ES"/>
      </w:rPr>
    </w:pPr>
    <w:r>
      <w:rPr>
        <w:noProof/>
        <w:lang w:eastAsia="es-ES"/>
      </w:rPr>
      <w:drawing>
        <wp:anchor distT="0" distB="0" distL="0" distR="0" simplePos="0" relativeHeight="251668480" behindDoc="0" locked="0" layoutInCell="1" allowOverlap="0" wp14:anchorId="3DA5C729" wp14:editId="1BD64B3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07110063" wp14:editId="3248834C">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5" type="#_x0000_t75" style="width:11.25pt;height:11.25pt" o:bullet="t">
        <v:imagedata r:id="rId1" o:title="BD14529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68957FB"/>
    <w:multiLevelType w:val="hybridMultilevel"/>
    <w:tmpl w:val="63A2B488"/>
    <w:lvl w:ilvl="0" w:tplc="EEF83A2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2381F"/>
    <w:multiLevelType w:val="hybridMultilevel"/>
    <w:tmpl w:val="657811A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980738"/>
    <w:multiLevelType w:val="hybridMultilevel"/>
    <w:tmpl w:val="3D123A6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4" w15:restartNumberingAfterBreak="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14"/>
  </w:num>
  <w:num w:numId="12">
    <w:abstractNumId w:val="9"/>
  </w:num>
  <w:num w:numId="13">
    <w:abstractNumId w:val="11"/>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4FFC"/>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326E1"/>
    <w:rsid w:val="00444012"/>
    <w:rsid w:val="004458C9"/>
    <w:rsid w:val="0045134F"/>
    <w:rsid w:val="00452188"/>
    <w:rsid w:val="00474140"/>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80DF9"/>
    <w:rsid w:val="007A662D"/>
    <w:rsid w:val="007C00E5"/>
    <w:rsid w:val="007C0642"/>
    <w:rsid w:val="007C1C6F"/>
    <w:rsid w:val="007D24E2"/>
    <w:rsid w:val="007E55EA"/>
    <w:rsid w:val="00815DA2"/>
    <w:rsid w:val="00816D4F"/>
    <w:rsid w:val="008229C5"/>
    <w:rsid w:val="008245B4"/>
    <w:rsid w:val="008516E4"/>
    <w:rsid w:val="00855ECA"/>
    <w:rsid w:val="00856637"/>
    <w:rsid w:val="00865A09"/>
    <w:rsid w:val="0089717A"/>
    <w:rsid w:val="008B79BD"/>
    <w:rsid w:val="008E6A8A"/>
    <w:rsid w:val="00901F1F"/>
    <w:rsid w:val="009029E0"/>
    <w:rsid w:val="0091738C"/>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17BE1"/>
    <w:rsid w:val="00B20ABA"/>
    <w:rsid w:val="00B20F3A"/>
    <w:rsid w:val="00B21C2F"/>
    <w:rsid w:val="00B2797F"/>
    <w:rsid w:val="00B31F84"/>
    <w:rsid w:val="00B35A53"/>
    <w:rsid w:val="00B75881"/>
    <w:rsid w:val="00B81EE6"/>
    <w:rsid w:val="00BA7103"/>
    <w:rsid w:val="00BC6382"/>
    <w:rsid w:val="00BC7A82"/>
    <w:rsid w:val="00BD4827"/>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30E88"/>
    <w:rsid w:val="00D445A4"/>
    <w:rsid w:val="00D44E9D"/>
    <w:rsid w:val="00D579C5"/>
    <w:rsid w:val="00D72EF9"/>
    <w:rsid w:val="00DB21EC"/>
    <w:rsid w:val="00DB2CB4"/>
    <w:rsid w:val="00DB2CCC"/>
    <w:rsid w:val="00DD07B5"/>
    <w:rsid w:val="00DF5982"/>
    <w:rsid w:val="00E00F5E"/>
    <w:rsid w:val="00E03C82"/>
    <w:rsid w:val="00E2210B"/>
    <w:rsid w:val="00E27657"/>
    <w:rsid w:val="00E35741"/>
    <w:rsid w:val="00E4386D"/>
    <w:rsid w:val="00E5135F"/>
    <w:rsid w:val="00E64F85"/>
    <w:rsid w:val="00E77037"/>
    <w:rsid w:val="00E90B21"/>
    <w:rsid w:val="00EB7058"/>
    <w:rsid w:val="00EB7645"/>
    <w:rsid w:val="00EC3AAE"/>
    <w:rsid w:val="00EC696D"/>
    <w:rsid w:val="00ED6FD3"/>
    <w:rsid w:val="00EF0D47"/>
    <w:rsid w:val="00EF5F68"/>
    <w:rsid w:val="00EF7316"/>
    <w:rsid w:val="00F14500"/>
    <w:rsid w:val="00F17B00"/>
    <w:rsid w:val="00F20969"/>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4C01F890"/>
  <w15:docId w15:val="{1B7213EC-8906-4D2C-BEC2-A131A22E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Mencinsinresolver">
    <w:name w:val="Unresolved Mention"/>
    <w:basedOn w:val="Fuentedeprrafopredeter"/>
    <w:uiPriority w:val="99"/>
    <w:semiHidden/>
    <w:unhideWhenUsed/>
    <w:rsid w:val="0000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2024-01-15T12:11:00Z</dcterms:created>
  <dcterms:modified xsi:type="dcterms:W3CDTF">2025-01-16T11:30:00Z</dcterms:modified>
</cp:coreProperties>
</file>