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0478" w14:textId="3F28AB0C" w:rsidR="006F17B5" w:rsidRPr="00D20F75" w:rsidRDefault="006F17B5" w:rsidP="001B16D9">
      <w:pPr>
        <w:pStyle w:val="Ttulo1"/>
        <w:jc w:val="both"/>
        <w:rPr>
          <w:rFonts w:ascii="Mulish" w:hAnsi="Mulish"/>
          <w:color w:val="6BA999"/>
        </w:rPr>
      </w:pPr>
      <w:r w:rsidRPr="00D20F75">
        <w:rPr>
          <w:rFonts w:ascii="Mulish" w:hAnsi="Mulish"/>
          <w:color w:val="6BA999"/>
        </w:rPr>
        <w:t xml:space="preserve">INFORME RELATIVO A LAS OBSERVACIONES REMITIDAS POR </w:t>
      </w:r>
      <w:r w:rsidR="00EF7316" w:rsidRPr="00D20F75">
        <w:rPr>
          <w:rFonts w:ascii="Mulish" w:hAnsi="Mulish"/>
          <w:color w:val="6BA999"/>
        </w:rPr>
        <w:t xml:space="preserve">EL </w:t>
      </w:r>
      <w:r w:rsidR="006F35CD" w:rsidRPr="00D20F75">
        <w:rPr>
          <w:rFonts w:ascii="Mulish" w:hAnsi="Mulish"/>
          <w:color w:val="6BA999"/>
        </w:rPr>
        <w:t>CONSEJO GENERAL DE ECONOMISTAS DE ESPAÑA</w:t>
      </w:r>
      <w:r w:rsidR="00EF7316" w:rsidRPr="00D20F75">
        <w:rPr>
          <w:rFonts w:ascii="Mulish" w:hAnsi="Mulish"/>
          <w:color w:val="6BA999"/>
        </w:rPr>
        <w:t xml:space="preserve"> </w:t>
      </w:r>
      <w:r w:rsidRPr="00D20F75">
        <w:rPr>
          <w:rFonts w:ascii="Mulish" w:hAnsi="Mulish"/>
          <w:color w:val="6BA999"/>
        </w:rPr>
        <w:t>EN RELACIÓN CON EL INFORME DEL CTBG SOBRE CUMPLIMIENTO DE LAS OBLIGACIONES DE PUBLICIDAD ACTIVA ESTABLECIDAS POR LA LTAIBG</w:t>
      </w:r>
    </w:p>
    <w:p w14:paraId="18432AB7" w14:textId="77777777" w:rsidR="006F17B5" w:rsidRPr="00D20F75" w:rsidRDefault="006F17B5" w:rsidP="006F17B5">
      <w:pPr>
        <w:jc w:val="center"/>
        <w:rPr>
          <w:rFonts w:ascii="Mulish" w:hAnsi="Mulish" w:cstheme="minorHAnsi"/>
          <w:szCs w:val="24"/>
        </w:rPr>
      </w:pPr>
    </w:p>
    <w:p w14:paraId="63CA6E05" w14:textId="5DA3FBDB" w:rsidR="00D23111" w:rsidRPr="00D20F75" w:rsidRDefault="00D23111" w:rsidP="009E16B5">
      <w:pPr>
        <w:tabs>
          <w:tab w:val="left" w:pos="284"/>
        </w:tabs>
        <w:spacing w:before="120" w:after="120" w:line="312" w:lineRule="auto"/>
        <w:contextualSpacing/>
        <w:jc w:val="both"/>
        <w:rPr>
          <w:rFonts w:ascii="Mulish" w:hAnsi="Mulish" w:cstheme="minorHAnsi"/>
          <w:szCs w:val="24"/>
        </w:rPr>
      </w:pPr>
      <w:r w:rsidRPr="00D20F75">
        <w:rPr>
          <w:rFonts w:ascii="Mulish" w:hAnsi="Mulish" w:cstheme="minorHAnsi"/>
          <w:szCs w:val="24"/>
        </w:rPr>
        <w:t xml:space="preserve">En contestación a </w:t>
      </w:r>
      <w:r w:rsidR="00EF7316" w:rsidRPr="00D20F75">
        <w:rPr>
          <w:rFonts w:ascii="Mulish" w:hAnsi="Mulish" w:cstheme="minorHAnsi"/>
          <w:szCs w:val="24"/>
        </w:rPr>
        <w:t xml:space="preserve">su </w:t>
      </w:r>
      <w:r w:rsidR="006F35CD" w:rsidRPr="00D20F75">
        <w:rPr>
          <w:rFonts w:ascii="Mulish" w:hAnsi="Mulish" w:cstheme="minorHAnsi"/>
          <w:szCs w:val="24"/>
        </w:rPr>
        <w:t>correo</w:t>
      </w:r>
      <w:r w:rsidR="00EF7316" w:rsidRPr="00D20F75">
        <w:rPr>
          <w:rFonts w:ascii="Mulish" w:hAnsi="Mulish" w:cstheme="minorHAnsi"/>
          <w:szCs w:val="24"/>
        </w:rPr>
        <w:t xml:space="preserve"> remitido</w:t>
      </w:r>
      <w:r w:rsidR="00AA1AC4" w:rsidRPr="00D20F75">
        <w:rPr>
          <w:rFonts w:ascii="Mulish" w:hAnsi="Mulish" w:cstheme="minorHAnsi"/>
          <w:szCs w:val="24"/>
        </w:rPr>
        <w:t xml:space="preserve"> a este Consejo con fecha</w:t>
      </w:r>
      <w:r w:rsidRPr="00D20F75">
        <w:rPr>
          <w:rFonts w:ascii="Mulish" w:hAnsi="Mulish" w:cstheme="minorHAnsi"/>
          <w:szCs w:val="24"/>
        </w:rPr>
        <w:t xml:space="preserve"> </w:t>
      </w:r>
      <w:r w:rsidR="00452188" w:rsidRPr="00D20F75">
        <w:rPr>
          <w:rFonts w:ascii="Mulish" w:hAnsi="Mulish" w:cstheme="minorHAnsi"/>
          <w:szCs w:val="24"/>
        </w:rPr>
        <w:t>2</w:t>
      </w:r>
      <w:r w:rsidR="00D20F75">
        <w:rPr>
          <w:rFonts w:ascii="Mulish" w:hAnsi="Mulish" w:cstheme="minorHAnsi"/>
          <w:szCs w:val="24"/>
        </w:rPr>
        <w:t>7</w:t>
      </w:r>
      <w:r w:rsidRPr="00D20F75">
        <w:rPr>
          <w:rFonts w:ascii="Mulish" w:hAnsi="Mulish" w:cstheme="minorHAnsi"/>
          <w:szCs w:val="24"/>
        </w:rPr>
        <w:t xml:space="preserve"> de </w:t>
      </w:r>
      <w:r w:rsidR="00452188" w:rsidRPr="00D20F75">
        <w:rPr>
          <w:rFonts w:ascii="Mulish" w:hAnsi="Mulish" w:cstheme="minorHAnsi"/>
          <w:szCs w:val="24"/>
        </w:rPr>
        <w:t>diciembre</w:t>
      </w:r>
      <w:r w:rsidR="000C18DE" w:rsidRPr="00D20F75">
        <w:rPr>
          <w:rFonts w:ascii="Mulish" w:hAnsi="Mulish" w:cstheme="minorHAnsi"/>
          <w:szCs w:val="24"/>
        </w:rPr>
        <w:t xml:space="preserve"> </w:t>
      </w:r>
      <w:r w:rsidRPr="00D20F75">
        <w:rPr>
          <w:rFonts w:ascii="Mulish" w:hAnsi="Mulish" w:cstheme="minorHAnsi"/>
          <w:szCs w:val="24"/>
        </w:rPr>
        <w:t>de 202</w:t>
      </w:r>
      <w:r w:rsidR="00452188" w:rsidRPr="00D20F75">
        <w:rPr>
          <w:rFonts w:ascii="Mulish" w:hAnsi="Mulish" w:cstheme="minorHAnsi"/>
          <w:szCs w:val="24"/>
        </w:rPr>
        <w:t>3</w:t>
      </w:r>
      <w:r w:rsidR="00C119CE" w:rsidRPr="00D20F75">
        <w:rPr>
          <w:rFonts w:ascii="Mulish" w:hAnsi="Mulish" w:cstheme="minorHAnsi"/>
          <w:szCs w:val="24"/>
        </w:rPr>
        <w:t>,</w:t>
      </w:r>
      <w:r w:rsidR="005B1C12" w:rsidRPr="00D20F75">
        <w:rPr>
          <w:rFonts w:ascii="Mulish" w:hAnsi="Mulish" w:cstheme="minorHAnsi"/>
          <w:szCs w:val="24"/>
        </w:rPr>
        <w:t xml:space="preserve"> </w:t>
      </w:r>
      <w:r w:rsidRPr="00D20F75">
        <w:rPr>
          <w:rFonts w:ascii="Mulish" w:hAnsi="Mulish" w:cstheme="minorHAnsi"/>
          <w:szCs w:val="24"/>
        </w:rPr>
        <w:t>una vez analiza</w:t>
      </w:r>
      <w:r w:rsidR="00AA1AC4" w:rsidRPr="00D20F75">
        <w:rPr>
          <w:rFonts w:ascii="Mulish" w:hAnsi="Mulish" w:cstheme="minorHAnsi"/>
          <w:szCs w:val="24"/>
        </w:rPr>
        <w:t>dos</w:t>
      </w:r>
      <w:r w:rsidRPr="00D20F75">
        <w:rPr>
          <w:rFonts w:ascii="Mulish" w:hAnsi="Mulish" w:cstheme="minorHAnsi"/>
          <w:szCs w:val="24"/>
        </w:rPr>
        <w:t xml:space="preserve"> </w:t>
      </w:r>
      <w:r w:rsidR="00AA1AC4" w:rsidRPr="00D20F75">
        <w:rPr>
          <w:rFonts w:ascii="Mulish" w:hAnsi="Mulish" w:cstheme="minorHAnsi"/>
          <w:szCs w:val="24"/>
        </w:rPr>
        <w:t>todos sus contenidos relacionados con e</w:t>
      </w:r>
      <w:r w:rsidRPr="00D20F75">
        <w:rPr>
          <w:rFonts w:ascii="Mulish" w:hAnsi="Mulish" w:cstheme="minorHAnsi"/>
          <w:szCs w:val="24"/>
        </w:rPr>
        <w:t xml:space="preserve">l borrador de informe de evaluación </w:t>
      </w:r>
      <w:r w:rsidR="00B81EE6" w:rsidRPr="00D20F75">
        <w:rPr>
          <w:rFonts w:ascii="Mulish" w:hAnsi="Mulish" w:cstheme="minorHAnsi"/>
          <w:szCs w:val="24"/>
        </w:rPr>
        <w:t xml:space="preserve">relativo al </w:t>
      </w:r>
      <w:r w:rsidRPr="00D20F75">
        <w:rPr>
          <w:rFonts w:ascii="Mulish" w:hAnsi="Mulish" w:cstheme="minorHAnsi"/>
          <w:szCs w:val="24"/>
        </w:rPr>
        <w:t xml:space="preserve">cumplimiento de las obligaciones de publicidad activa por parte de esa </w:t>
      </w:r>
      <w:r w:rsidR="00855ECA" w:rsidRPr="00D20F75">
        <w:rPr>
          <w:rFonts w:ascii="Mulish" w:hAnsi="Mulish" w:cstheme="minorHAnsi"/>
          <w:szCs w:val="24"/>
        </w:rPr>
        <w:t>Institución</w:t>
      </w:r>
      <w:r w:rsidRPr="00D20F75">
        <w:rPr>
          <w:rFonts w:ascii="Mulish" w:hAnsi="Mulish" w:cstheme="minorHAnsi"/>
          <w:szCs w:val="24"/>
        </w:rPr>
        <w:t>, este CTBG efectúa las siguientes consideraciones:</w:t>
      </w:r>
    </w:p>
    <w:p w14:paraId="67EB90DA" w14:textId="77777777" w:rsidR="00855ECA" w:rsidRPr="00D20F75" w:rsidRDefault="00855ECA" w:rsidP="009E16B5">
      <w:pPr>
        <w:tabs>
          <w:tab w:val="left" w:pos="284"/>
        </w:tabs>
        <w:spacing w:before="120" w:after="120" w:line="312" w:lineRule="auto"/>
        <w:contextualSpacing/>
        <w:jc w:val="both"/>
        <w:rPr>
          <w:rFonts w:ascii="Mulish" w:hAnsi="Mulish" w:cstheme="minorHAnsi"/>
          <w:szCs w:val="24"/>
        </w:rPr>
      </w:pPr>
    </w:p>
    <w:p w14:paraId="623F4D20" w14:textId="7BF10E85" w:rsidR="00AA1AC4" w:rsidRPr="00D20F75" w:rsidRDefault="006F35CD" w:rsidP="00AA1AC4">
      <w:pPr>
        <w:pStyle w:val="Prrafodelista"/>
        <w:numPr>
          <w:ilvl w:val="0"/>
          <w:numId w:val="13"/>
        </w:numPr>
        <w:tabs>
          <w:tab w:val="left" w:pos="284"/>
        </w:tabs>
        <w:spacing w:before="120" w:after="120" w:line="312" w:lineRule="auto"/>
        <w:jc w:val="both"/>
        <w:rPr>
          <w:rFonts w:ascii="Mulish" w:hAnsi="Mulish" w:cstheme="minorHAnsi"/>
          <w:sz w:val="24"/>
          <w:szCs w:val="28"/>
        </w:rPr>
      </w:pPr>
      <w:r w:rsidRPr="00D20F75">
        <w:rPr>
          <w:rFonts w:ascii="Mulish" w:hAnsi="Mulish" w:cstheme="minorHAnsi"/>
          <w:sz w:val="24"/>
          <w:szCs w:val="28"/>
        </w:rPr>
        <w:t>Se indica por parte del CGE, que existe una contradicción entre los datos de incremento del Índice de Cumplimiento de la Información Obligatoria que aparecen en el apartado IV y las conclusiones del informe de evaluación</w:t>
      </w:r>
      <w:r w:rsidR="0070550B" w:rsidRPr="00D20F75">
        <w:rPr>
          <w:rFonts w:ascii="Mulish" w:hAnsi="Mulish" w:cstheme="minorHAnsi"/>
          <w:sz w:val="24"/>
          <w:szCs w:val="28"/>
        </w:rPr>
        <w:t>.</w:t>
      </w:r>
      <w:r w:rsidRPr="00D20F75">
        <w:rPr>
          <w:rFonts w:ascii="Mulish" w:hAnsi="Mulish" w:cstheme="minorHAnsi"/>
          <w:sz w:val="24"/>
          <w:szCs w:val="28"/>
        </w:rPr>
        <w:t xml:space="preserve"> A partir de los contenidos del correo parece deducirse que ha habido una interpretación errónea de la información que aparece en ambos apartados del informe. Mientras </w:t>
      </w:r>
      <w:r w:rsidR="008345C3" w:rsidRPr="00D20F75">
        <w:rPr>
          <w:rFonts w:ascii="Mulish" w:hAnsi="Mulish" w:cstheme="minorHAnsi"/>
          <w:sz w:val="24"/>
          <w:szCs w:val="28"/>
        </w:rPr>
        <w:t xml:space="preserve">que </w:t>
      </w:r>
      <w:r w:rsidRPr="00D20F75">
        <w:rPr>
          <w:rFonts w:ascii="Mulish" w:hAnsi="Mulish" w:cstheme="minorHAnsi"/>
          <w:sz w:val="24"/>
          <w:szCs w:val="28"/>
        </w:rPr>
        <w:t>en el apartado IV el dato de incremento se proporciona en puntos porcentuales</w:t>
      </w:r>
      <w:r w:rsidR="00AC42BC" w:rsidRPr="00D20F75">
        <w:rPr>
          <w:rFonts w:ascii="Mulish" w:hAnsi="Mulish" w:cstheme="minorHAnsi"/>
          <w:sz w:val="24"/>
          <w:szCs w:val="28"/>
        </w:rPr>
        <w:t>,</w:t>
      </w:r>
      <w:r w:rsidRPr="00D20F75">
        <w:rPr>
          <w:rFonts w:ascii="Mulish" w:hAnsi="Mulish" w:cstheme="minorHAnsi"/>
          <w:sz w:val="24"/>
          <w:szCs w:val="28"/>
        </w:rPr>
        <w:t xml:space="preserve"> en las conclusiones se proporciona en porcentaje. </w:t>
      </w:r>
      <w:r w:rsidR="00AC42BC" w:rsidRPr="00D20F75">
        <w:rPr>
          <w:rFonts w:ascii="Mulish" w:hAnsi="Mulish" w:cstheme="minorHAnsi"/>
          <w:sz w:val="24"/>
          <w:szCs w:val="28"/>
        </w:rPr>
        <w:t xml:space="preserve">En 2021, el CGE obtuvo un ICIO de 37,5%, en 2023 del 50%, en puntos porcentuales esto significa que el incremento se sitúa en 12,5 puntos porcentuales mientras que este incremento expresado en porcentaje ((12,5*100) /37,5) supone un </w:t>
      </w:r>
      <w:r w:rsidR="008345C3" w:rsidRPr="00D20F75">
        <w:rPr>
          <w:rFonts w:ascii="Mulish" w:hAnsi="Mulish" w:cstheme="minorHAnsi"/>
          <w:sz w:val="24"/>
          <w:szCs w:val="28"/>
        </w:rPr>
        <w:t>33</w:t>
      </w:r>
      <w:r w:rsidR="00AC42BC" w:rsidRPr="00D20F75">
        <w:rPr>
          <w:rFonts w:ascii="Mulish" w:hAnsi="Mulish" w:cstheme="minorHAnsi"/>
          <w:sz w:val="24"/>
          <w:szCs w:val="28"/>
        </w:rPr>
        <w:t>,3% de incremento.</w:t>
      </w:r>
    </w:p>
    <w:p w14:paraId="599976E5" w14:textId="77777777" w:rsidR="008345C3" w:rsidRPr="00D20F75" w:rsidRDefault="008345C3" w:rsidP="008345C3">
      <w:pPr>
        <w:pStyle w:val="Prrafodelista"/>
        <w:tabs>
          <w:tab w:val="left" w:pos="284"/>
        </w:tabs>
        <w:spacing w:before="120" w:after="120" w:line="312" w:lineRule="auto"/>
        <w:jc w:val="both"/>
        <w:rPr>
          <w:rFonts w:ascii="Mulish" w:hAnsi="Mulish" w:cstheme="minorHAnsi"/>
          <w:sz w:val="24"/>
          <w:szCs w:val="28"/>
        </w:rPr>
      </w:pPr>
    </w:p>
    <w:p w14:paraId="795ED246" w14:textId="6573DB27" w:rsidR="00AC42BC" w:rsidRPr="00D20F75" w:rsidRDefault="00AC42BC" w:rsidP="00B454CE">
      <w:pPr>
        <w:pStyle w:val="Prrafodelista"/>
        <w:numPr>
          <w:ilvl w:val="0"/>
          <w:numId w:val="13"/>
        </w:numPr>
        <w:tabs>
          <w:tab w:val="left" w:pos="284"/>
        </w:tabs>
        <w:spacing w:before="120" w:after="120" w:line="312" w:lineRule="auto"/>
        <w:jc w:val="both"/>
        <w:rPr>
          <w:rFonts w:ascii="Mulish" w:hAnsi="Mulish" w:cstheme="minorHAnsi"/>
          <w:sz w:val="24"/>
          <w:szCs w:val="28"/>
        </w:rPr>
      </w:pPr>
      <w:r w:rsidRPr="00D20F75">
        <w:rPr>
          <w:rFonts w:ascii="Mulish" w:hAnsi="Mulish" w:cstheme="minorHAnsi"/>
          <w:sz w:val="24"/>
          <w:szCs w:val="28"/>
        </w:rPr>
        <w:t>Esta misma confusión parece darse en relación con la proporción de informaciones obligatorias que se publican por parte del CGE. La referencia a que esta proporción se sitúa en el 41,7%</w:t>
      </w:r>
      <w:r w:rsidR="008345C3" w:rsidRPr="00D20F75">
        <w:rPr>
          <w:rFonts w:ascii="Mulish" w:hAnsi="Mulish" w:cstheme="minorHAnsi"/>
          <w:sz w:val="24"/>
          <w:szCs w:val="28"/>
        </w:rPr>
        <w:t>,</w:t>
      </w:r>
      <w:r w:rsidRPr="00D20F75">
        <w:rPr>
          <w:rFonts w:ascii="Mulish" w:hAnsi="Mulish" w:cstheme="minorHAnsi"/>
          <w:sz w:val="24"/>
          <w:szCs w:val="28"/>
        </w:rPr>
        <w:t xml:space="preserve"> procede de las conclusiones de la evaluación realizada en 2021, en 2023 la proporción de contenidos obligatorios publicados se incrementa hasta alcanzar el 54,5%, tal y como se refleja en la tabla que aparece en el apartado IV. La celda contenido expresa </w:t>
      </w:r>
      <w:r w:rsidR="00A235F0" w:rsidRPr="00D20F75">
        <w:rPr>
          <w:rFonts w:ascii="Mulish" w:hAnsi="Mulish" w:cstheme="minorHAnsi"/>
          <w:sz w:val="24"/>
          <w:szCs w:val="28"/>
        </w:rPr>
        <w:t xml:space="preserve">el porcentaje de informaciones obligatorias que se publican: </w:t>
      </w:r>
    </w:p>
    <w:p w14:paraId="05F30884" w14:textId="77777777" w:rsidR="008345C3" w:rsidRPr="00D20F75" w:rsidRDefault="008345C3" w:rsidP="008345C3">
      <w:pPr>
        <w:pStyle w:val="Prrafodelista"/>
        <w:rPr>
          <w:rFonts w:ascii="Mulish" w:hAnsi="Mulish" w:cstheme="minorHAnsi"/>
          <w:sz w:val="24"/>
          <w:szCs w:val="28"/>
        </w:rPr>
      </w:pPr>
    </w:p>
    <w:p w14:paraId="3442E90B" w14:textId="71C5D681" w:rsidR="008345C3" w:rsidRPr="00D20F75" w:rsidRDefault="008345C3" w:rsidP="008345C3">
      <w:pPr>
        <w:tabs>
          <w:tab w:val="left" w:pos="284"/>
        </w:tabs>
        <w:spacing w:before="120" w:after="120" w:line="312" w:lineRule="auto"/>
        <w:jc w:val="both"/>
        <w:rPr>
          <w:rFonts w:ascii="Mulish" w:hAnsi="Mulish" w:cstheme="minorHAnsi"/>
          <w:szCs w:val="28"/>
        </w:rPr>
      </w:pPr>
    </w:p>
    <w:p w14:paraId="4DC30ECB" w14:textId="4F1B6C5E" w:rsidR="008345C3" w:rsidRPr="00D20F75" w:rsidRDefault="008345C3" w:rsidP="008345C3">
      <w:pPr>
        <w:tabs>
          <w:tab w:val="left" w:pos="284"/>
        </w:tabs>
        <w:spacing w:before="120" w:after="120" w:line="312" w:lineRule="auto"/>
        <w:jc w:val="both"/>
        <w:rPr>
          <w:rFonts w:ascii="Mulish" w:hAnsi="Mulish" w:cstheme="minorHAnsi"/>
          <w:szCs w:val="28"/>
        </w:rPr>
      </w:pPr>
    </w:p>
    <w:p w14:paraId="6A193E31" w14:textId="77777777" w:rsidR="008345C3" w:rsidRPr="00D20F75" w:rsidRDefault="008345C3" w:rsidP="008345C3">
      <w:pPr>
        <w:tabs>
          <w:tab w:val="left" w:pos="284"/>
        </w:tabs>
        <w:spacing w:before="120" w:after="120" w:line="312" w:lineRule="auto"/>
        <w:jc w:val="both"/>
        <w:rPr>
          <w:rFonts w:ascii="Mulish" w:hAnsi="Mulish" w:cstheme="minorHAnsi"/>
          <w:szCs w:val="28"/>
        </w:rPr>
      </w:pPr>
    </w:p>
    <w:tbl>
      <w:tblPr>
        <w:tblStyle w:val="Sombreadomedio2-nfasis3"/>
        <w:tblW w:w="5000" w:type="pct"/>
        <w:tblLook w:val="04A0" w:firstRow="1" w:lastRow="0" w:firstColumn="1" w:lastColumn="0" w:noHBand="0" w:noVBand="1"/>
      </w:tblPr>
      <w:tblGrid>
        <w:gridCol w:w="3900"/>
        <w:gridCol w:w="681"/>
        <w:gridCol w:w="681"/>
        <w:gridCol w:w="682"/>
        <w:gridCol w:w="682"/>
        <w:gridCol w:w="682"/>
        <w:gridCol w:w="682"/>
        <w:gridCol w:w="682"/>
        <w:gridCol w:w="682"/>
      </w:tblGrid>
      <w:tr w:rsidR="00A235F0" w:rsidRPr="00D20F75" w14:paraId="191AF17D" w14:textId="77777777" w:rsidTr="00A235F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4F19F57F" w14:textId="77777777" w:rsidR="00A235F0" w:rsidRPr="00D20F75" w:rsidRDefault="00A235F0" w:rsidP="00A235F0">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31EBF410" w14:textId="77777777" w:rsidR="00A235F0" w:rsidRPr="00D20F75" w:rsidRDefault="00A235F0" w:rsidP="00A235F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0F75">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43FEC502" w14:textId="77777777" w:rsidR="00A235F0" w:rsidRPr="00D20F75" w:rsidRDefault="00A235F0" w:rsidP="00A235F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0F75">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1FD8A43D" w14:textId="77777777" w:rsidR="00A235F0" w:rsidRPr="00D20F75" w:rsidRDefault="00A235F0" w:rsidP="00A235F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0F75">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552168B6" w14:textId="77777777" w:rsidR="00A235F0" w:rsidRPr="00D20F75" w:rsidRDefault="00A235F0" w:rsidP="00A235F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0F75">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7DBB02ED" w14:textId="77777777" w:rsidR="00A235F0" w:rsidRPr="00D20F75" w:rsidRDefault="00A235F0" w:rsidP="00A235F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0F75">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0A6C451F" w14:textId="77777777" w:rsidR="00A235F0" w:rsidRPr="00D20F75" w:rsidRDefault="00A235F0" w:rsidP="00A235F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0F75">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76A47606" w14:textId="77777777" w:rsidR="00A235F0" w:rsidRPr="00D20F75" w:rsidRDefault="00A235F0" w:rsidP="00A235F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0F75">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1E50B420" w14:textId="77777777" w:rsidR="00A235F0" w:rsidRPr="00D20F75" w:rsidRDefault="00A235F0" w:rsidP="00A235F0">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0F75">
              <w:rPr>
                <w:rFonts w:ascii="Mulish" w:hAnsi="Mulish" w:cs="Calibri"/>
                <w:sz w:val="16"/>
                <w:szCs w:val="16"/>
              </w:rPr>
              <w:t>Total</w:t>
            </w:r>
          </w:p>
        </w:tc>
      </w:tr>
      <w:tr w:rsidR="00A235F0" w:rsidRPr="00D20F75" w14:paraId="022EDFAF" w14:textId="77777777" w:rsidTr="00A235F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39AF154A" w14:textId="77777777" w:rsidR="00A235F0" w:rsidRPr="00D20F75" w:rsidRDefault="00A235F0" w:rsidP="00A235F0">
            <w:pPr>
              <w:spacing w:before="120" w:after="120" w:line="312" w:lineRule="auto"/>
              <w:rPr>
                <w:rFonts w:ascii="Mulish" w:hAnsi="Mulish" w:cs="Calibri"/>
                <w:sz w:val="16"/>
                <w:szCs w:val="16"/>
              </w:rPr>
            </w:pPr>
            <w:r w:rsidRPr="00D20F75">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0CD0794C"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20F75">
              <w:rPr>
                <w:rFonts w:ascii="Mulish" w:hAnsi="Mulish"/>
                <w:sz w:val="16"/>
              </w:rPr>
              <w:t>71,4</w:t>
            </w:r>
          </w:p>
        </w:tc>
        <w:tc>
          <w:tcPr>
            <w:tcW w:w="344" w:type="pct"/>
            <w:noWrap/>
            <w:vAlign w:val="center"/>
          </w:tcPr>
          <w:p w14:paraId="34CA220A"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20F75">
              <w:rPr>
                <w:rFonts w:ascii="Mulish" w:hAnsi="Mulish"/>
                <w:sz w:val="16"/>
              </w:rPr>
              <w:t>71,4</w:t>
            </w:r>
          </w:p>
        </w:tc>
        <w:tc>
          <w:tcPr>
            <w:tcW w:w="344" w:type="pct"/>
            <w:noWrap/>
            <w:vAlign w:val="center"/>
          </w:tcPr>
          <w:p w14:paraId="4988B3C5"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20F75">
              <w:rPr>
                <w:rFonts w:ascii="Mulish" w:hAnsi="Mulish"/>
                <w:sz w:val="16"/>
              </w:rPr>
              <w:t>71,4</w:t>
            </w:r>
          </w:p>
        </w:tc>
        <w:tc>
          <w:tcPr>
            <w:tcW w:w="344" w:type="pct"/>
            <w:noWrap/>
            <w:vAlign w:val="center"/>
          </w:tcPr>
          <w:p w14:paraId="1C657A1D"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20F75">
              <w:rPr>
                <w:rFonts w:ascii="Mulish" w:hAnsi="Mulish"/>
                <w:sz w:val="16"/>
              </w:rPr>
              <w:t>71,4</w:t>
            </w:r>
          </w:p>
        </w:tc>
        <w:tc>
          <w:tcPr>
            <w:tcW w:w="344" w:type="pct"/>
            <w:noWrap/>
            <w:vAlign w:val="center"/>
          </w:tcPr>
          <w:p w14:paraId="7C0A7370"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20F75">
              <w:rPr>
                <w:rFonts w:ascii="Mulish" w:hAnsi="Mulish"/>
                <w:sz w:val="16"/>
              </w:rPr>
              <w:t>71,4</w:t>
            </w:r>
          </w:p>
        </w:tc>
        <w:tc>
          <w:tcPr>
            <w:tcW w:w="344" w:type="pct"/>
            <w:noWrap/>
            <w:vAlign w:val="center"/>
          </w:tcPr>
          <w:p w14:paraId="37FB85C6"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20F75">
              <w:rPr>
                <w:rFonts w:ascii="Mulish" w:hAnsi="Mulish"/>
                <w:sz w:val="16"/>
              </w:rPr>
              <w:t>57,1</w:t>
            </w:r>
          </w:p>
        </w:tc>
        <w:tc>
          <w:tcPr>
            <w:tcW w:w="344" w:type="pct"/>
            <w:noWrap/>
            <w:vAlign w:val="center"/>
          </w:tcPr>
          <w:p w14:paraId="4747E0F5"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20F75">
              <w:rPr>
                <w:rFonts w:ascii="Mulish" w:hAnsi="Mulish"/>
                <w:sz w:val="16"/>
              </w:rPr>
              <w:t>35,7</w:t>
            </w:r>
          </w:p>
        </w:tc>
        <w:tc>
          <w:tcPr>
            <w:tcW w:w="344" w:type="pct"/>
            <w:noWrap/>
            <w:vAlign w:val="center"/>
          </w:tcPr>
          <w:p w14:paraId="2B8E03A7"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20F75">
              <w:rPr>
                <w:rFonts w:ascii="Mulish" w:hAnsi="Mulish"/>
                <w:sz w:val="16"/>
              </w:rPr>
              <w:t>64,3</w:t>
            </w:r>
          </w:p>
        </w:tc>
      </w:tr>
      <w:tr w:rsidR="00A235F0" w:rsidRPr="00D20F75" w14:paraId="0A6C14F5" w14:textId="77777777" w:rsidTr="00A235F0">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B47F106" w14:textId="77777777" w:rsidR="00A235F0" w:rsidRPr="00D20F75" w:rsidRDefault="00A235F0" w:rsidP="00A235F0">
            <w:pPr>
              <w:spacing w:before="120" w:after="120" w:line="312" w:lineRule="auto"/>
              <w:jc w:val="both"/>
              <w:rPr>
                <w:rFonts w:ascii="Mulish" w:hAnsi="Mulish" w:cs="Calibri"/>
                <w:sz w:val="16"/>
                <w:szCs w:val="16"/>
              </w:rPr>
            </w:pPr>
            <w:proofErr w:type="gramStart"/>
            <w:r w:rsidRPr="00D20F75">
              <w:rPr>
                <w:rFonts w:ascii="Mulish" w:hAnsi="Mulish" w:cs="Calibri"/>
                <w:sz w:val="16"/>
                <w:szCs w:val="16"/>
              </w:rPr>
              <w:t>Económica ,</w:t>
            </w:r>
            <w:proofErr w:type="gramEnd"/>
            <w:r w:rsidRPr="00D20F75">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71F652B6" w14:textId="77777777" w:rsidR="00A235F0" w:rsidRPr="00D20F75" w:rsidRDefault="00A235F0" w:rsidP="00A235F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20F75">
              <w:rPr>
                <w:rFonts w:ascii="Mulish" w:hAnsi="Mulish"/>
                <w:sz w:val="16"/>
              </w:rPr>
              <w:t>25,0</w:t>
            </w:r>
          </w:p>
        </w:tc>
        <w:tc>
          <w:tcPr>
            <w:tcW w:w="344" w:type="pct"/>
            <w:noWrap/>
            <w:vAlign w:val="center"/>
          </w:tcPr>
          <w:p w14:paraId="11D017AA" w14:textId="77777777" w:rsidR="00A235F0" w:rsidRPr="00D20F75" w:rsidRDefault="00A235F0" w:rsidP="00A235F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20F75">
              <w:rPr>
                <w:rFonts w:ascii="Mulish" w:hAnsi="Mulish"/>
                <w:sz w:val="16"/>
              </w:rPr>
              <w:t>25,0</w:t>
            </w:r>
          </w:p>
        </w:tc>
        <w:tc>
          <w:tcPr>
            <w:tcW w:w="344" w:type="pct"/>
            <w:noWrap/>
            <w:vAlign w:val="center"/>
          </w:tcPr>
          <w:p w14:paraId="77289EDC" w14:textId="77777777" w:rsidR="00A235F0" w:rsidRPr="00D20F75" w:rsidRDefault="00A235F0" w:rsidP="00A235F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20F75">
              <w:rPr>
                <w:rFonts w:ascii="Mulish" w:hAnsi="Mulish"/>
                <w:sz w:val="16"/>
              </w:rPr>
              <w:t>25,0</w:t>
            </w:r>
          </w:p>
        </w:tc>
        <w:tc>
          <w:tcPr>
            <w:tcW w:w="344" w:type="pct"/>
            <w:noWrap/>
            <w:vAlign w:val="center"/>
          </w:tcPr>
          <w:p w14:paraId="6C635069" w14:textId="77777777" w:rsidR="00A235F0" w:rsidRPr="00D20F75" w:rsidRDefault="00A235F0" w:rsidP="00A235F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20F75">
              <w:rPr>
                <w:rFonts w:ascii="Mulish" w:hAnsi="Mulish"/>
                <w:sz w:val="16"/>
              </w:rPr>
              <w:t>25,0</w:t>
            </w:r>
          </w:p>
        </w:tc>
        <w:tc>
          <w:tcPr>
            <w:tcW w:w="344" w:type="pct"/>
            <w:noWrap/>
            <w:vAlign w:val="center"/>
          </w:tcPr>
          <w:p w14:paraId="3910BAF7" w14:textId="77777777" w:rsidR="00A235F0" w:rsidRPr="00D20F75" w:rsidRDefault="00A235F0" w:rsidP="00A235F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20F75">
              <w:rPr>
                <w:rFonts w:ascii="Mulish" w:hAnsi="Mulish"/>
                <w:sz w:val="16"/>
              </w:rPr>
              <w:t>25,0</w:t>
            </w:r>
          </w:p>
        </w:tc>
        <w:tc>
          <w:tcPr>
            <w:tcW w:w="344" w:type="pct"/>
            <w:noWrap/>
            <w:vAlign w:val="center"/>
          </w:tcPr>
          <w:p w14:paraId="51E16215" w14:textId="77777777" w:rsidR="00A235F0" w:rsidRPr="00D20F75" w:rsidRDefault="00A235F0" w:rsidP="00A235F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20F75">
              <w:rPr>
                <w:rFonts w:ascii="Mulish" w:hAnsi="Mulish"/>
                <w:sz w:val="16"/>
              </w:rPr>
              <w:t>25,0</w:t>
            </w:r>
          </w:p>
        </w:tc>
        <w:tc>
          <w:tcPr>
            <w:tcW w:w="344" w:type="pct"/>
            <w:noWrap/>
            <w:vAlign w:val="center"/>
          </w:tcPr>
          <w:p w14:paraId="4E7C9CFD" w14:textId="77777777" w:rsidR="00A235F0" w:rsidRPr="00D20F75" w:rsidRDefault="00A235F0" w:rsidP="00A235F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20F75">
              <w:rPr>
                <w:rFonts w:ascii="Mulish" w:hAnsi="Mulish"/>
                <w:sz w:val="16"/>
              </w:rPr>
              <w:t>25,0</w:t>
            </w:r>
          </w:p>
        </w:tc>
        <w:tc>
          <w:tcPr>
            <w:tcW w:w="344" w:type="pct"/>
            <w:noWrap/>
            <w:vAlign w:val="center"/>
          </w:tcPr>
          <w:p w14:paraId="1D9F7C31" w14:textId="77777777" w:rsidR="00A235F0" w:rsidRPr="00D20F75" w:rsidRDefault="00A235F0" w:rsidP="00A235F0">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20F75">
              <w:rPr>
                <w:rFonts w:ascii="Mulish" w:hAnsi="Mulish"/>
                <w:sz w:val="16"/>
              </w:rPr>
              <w:t>25,0</w:t>
            </w:r>
          </w:p>
        </w:tc>
      </w:tr>
      <w:tr w:rsidR="00A235F0" w:rsidRPr="00D20F75" w14:paraId="2720CEB1" w14:textId="77777777" w:rsidTr="00A235F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F6CB479" w14:textId="77777777" w:rsidR="00A235F0" w:rsidRPr="00D20F75" w:rsidRDefault="00A235F0" w:rsidP="00A235F0">
            <w:pPr>
              <w:spacing w:before="120" w:after="120" w:line="312" w:lineRule="auto"/>
              <w:jc w:val="both"/>
              <w:rPr>
                <w:rFonts w:ascii="Mulish" w:hAnsi="Mulish" w:cs="Calibri"/>
                <w:i/>
                <w:sz w:val="16"/>
                <w:szCs w:val="16"/>
              </w:rPr>
            </w:pPr>
            <w:bookmarkStart w:id="0" w:name="_Hlk155347498"/>
            <w:r w:rsidRPr="00D20F75">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38546C03"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b/>
                <w:i/>
                <w:color w:val="FF0000"/>
                <w:sz w:val="16"/>
              </w:rPr>
            </w:pPr>
            <w:r w:rsidRPr="00D20F75">
              <w:rPr>
                <w:rFonts w:ascii="Mulish" w:hAnsi="Mulish"/>
                <w:b/>
                <w:i/>
                <w:color w:val="FF0000"/>
                <w:sz w:val="16"/>
              </w:rPr>
              <w:t>54,5</w:t>
            </w:r>
          </w:p>
        </w:tc>
        <w:tc>
          <w:tcPr>
            <w:tcW w:w="344" w:type="pct"/>
            <w:noWrap/>
            <w:vAlign w:val="center"/>
          </w:tcPr>
          <w:p w14:paraId="19C071DB"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20F75">
              <w:rPr>
                <w:rFonts w:ascii="Mulish" w:hAnsi="Mulish"/>
                <w:b/>
                <w:i/>
                <w:sz w:val="16"/>
              </w:rPr>
              <w:t>54,5</w:t>
            </w:r>
          </w:p>
        </w:tc>
        <w:tc>
          <w:tcPr>
            <w:tcW w:w="344" w:type="pct"/>
            <w:noWrap/>
            <w:vAlign w:val="center"/>
          </w:tcPr>
          <w:p w14:paraId="06DC8BF8"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20F75">
              <w:rPr>
                <w:rFonts w:ascii="Mulish" w:hAnsi="Mulish"/>
                <w:b/>
                <w:i/>
                <w:sz w:val="16"/>
              </w:rPr>
              <w:t>54,5</w:t>
            </w:r>
          </w:p>
        </w:tc>
        <w:tc>
          <w:tcPr>
            <w:tcW w:w="344" w:type="pct"/>
            <w:noWrap/>
            <w:vAlign w:val="center"/>
          </w:tcPr>
          <w:p w14:paraId="55F25F6A"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20F75">
              <w:rPr>
                <w:rFonts w:ascii="Mulish" w:hAnsi="Mulish"/>
                <w:b/>
                <w:i/>
                <w:sz w:val="16"/>
              </w:rPr>
              <w:t>54,5</w:t>
            </w:r>
          </w:p>
        </w:tc>
        <w:tc>
          <w:tcPr>
            <w:tcW w:w="344" w:type="pct"/>
            <w:noWrap/>
            <w:vAlign w:val="center"/>
          </w:tcPr>
          <w:p w14:paraId="4E4359CC"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20F75">
              <w:rPr>
                <w:rFonts w:ascii="Mulish" w:hAnsi="Mulish"/>
                <w:b/>
                <w:i/>
                <w:sz w:val="16"/>
              </w:rPr>
              <w:t>54,5</w:t>
            </w:r>
          </w:p>
        </w:tc>
        <w:tc>
          <w:tcPr>
            <w:tcW w:w="344" w:type="pct"/>
            <w:noWrap/>
            <w:vAlign w:val="center"/>
          </w:tcPr>
          <w:p w14:paraId="08D8BD5B"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20F75">
              <w:rPr>
                <w:rFonts w:ascii="Mulish" w:hAnsi="Mulish"/>
                <w:b/>
                <w:i/>
                <w:sz w:val="16"/>
              </w:rPr>
              <w:t>45,5</w:t>
            </w:r>
          </w:p>
        </w:tc>
        <w:tc>
          <w:tcPr>
            <w:tcW w:w="344" w:type="pct"/>
            <w:noWrap/>
            <w:vAlign w:val="center"/>
          </w:tcPr>
          <w:p w14:paraId="7DE50227"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20F75">
              <w:rPr>
                <w:rFonts w:ascii="Mulish" w:hAnsi="Mulish"/>
                <w:b/>
                <w:i/>
                <w:sz w:val="16"/>
              </w:rPr>
              <w:t>31,8</w:t>
            </w:r>
          </w:p>
        </w:tc>
        <w:tc>
          <w:tcPr>
            <w:tcW w:w="344" w:type="pct"/>
            <w:noWrap/>
            <w:vAlign w:val="center"/>
          </w:tcPr>
          <w:p w14:paraId="559097EA" w14:textId="77777777" w:rsidR="00A235F0" w:rsidRPr="00D20F75" w:rsidRDefault="00A235F0" w:rsidP="00A235F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20F75">
              <w:rPr>
                <w:rFonts w:ascii="Mulish" w:hAnsi="Mulish"/>
                <w:b/>
                <w:i/>
                <w:sz w:val="16"/>
              </w:rPr>
              <w:t>50,0</w:t>
            </w:r>
          </w:p>
        </w:tc>
      </w:tr>
      <w:bookmarkEnd w:id="0"/>
    </w:tbl>
    <w:p w14:paraId="51FFE0D0" w14:textId="77777777" w:rsidR="008345C3" w:rsidRPr="00D20F75" w:rsidRDefault="008345C3" w:rsidP="00A235F0">
      <w:pPr>
        <w:pStyle w:val="Prrafodelista"/>
        <w:tabs>
          <w:tab w:val="left" w:pos="284"/>
        </w:tabs>
        <w:spacing w:before="120" w:after="120" w:line="312" w:lineRule="auto"/>
        <w:jc w:val="both"/>
        <w:rPr>
          <w:rFonts w:ascii="Mulish" w:hAnsi="Mulish" w:cstheme="minorHAnsi"/>
          <w:sz w:val="24"/>
          <w:szCs w:val="28"/>
        </w:rPr>
      </w:pPr>
    </w:p>
    <w:p w14:paraId="4C1B59A8" w14:textId="142906AC" w:rsidR="00A235F0" w:rsidRPr="00D20F75" w:rsidRDefault="00A235F0" w:rsidP="00A235F0">
      <w:pPr>
        <w:pStyle w:val="Prrafodelista"/>
        <w:tabs>
          <w:tab w:val="left" w:pos="284"/>
        </w:tabs>
        <w:spacing w:before="120" w:after="120" w:line="312" w:lineRule="auto"/>
        <w:jc w:val="both"/>
        <w:rPr>
          <w:rFonts w:ascii="Mulish" w:hAnsi="Mulish" w:cstheme="minorHAnsi"/>
          <w:sz w:val="24"/>
          <w:szCs w:val="28"/>
        </w:rPr>
      </w:pPr>
      <w:r w:rsidRPr="00D20F75">
        <w:rPr>
          <w:rFonts w:ascii="Mulish" w:hAnsi="Mulish" w:cstheme="minorHAnsi"/>
          <w:sz w:val="24"/>
          <w:szCs w:val="28"/>
        </w:rPr>
        <w:t xml:space="preserve">Por otra parte, y en relación con la incidencia del cumplimiento de las recomendaciones sobre el valor del Índice de Cumplimiento de la Información Obligatoria, de las 8 recomendaciones aplicadas, una – la creación de un especio específico para la publicación de la información obligatoria – supone un incremento de 10 puntos sobre el máximo obtenible que alcanza 770 puntos, otra – la estructuración de la información conforme a la Ley de Transparencia – no tiene reflejo en el Índice de Cumplimiento, y finalmente, en relación con las obligaciones contratos y contratos menores, tal y como se indica en el informe de evaluación, aunque se ha considerado cumplida la recomendación – se publica un contrato con  el Instituto </w:t>
      </w:r>
      <w:r w:rsidR="00356C4F" w:rsidRPr="00D20F75">
        <w:rPr>
          <w:rFonts w:ascii="Mulish" w:hAnsi="Mulish" w:cstheme="minorHAnsi"/>
          <w:sz w:val="24"/>
          <w:szCs w:val="28"/>
        </w:rPr>
        <w:t>de Contabilidad y Auditoría de Cuentas</w:t>
      </w:r>
      <w:r w:rsidRPr="00D20F75">
        <w:rPr>
          <w:rFonts w:ascii="Mulish" w:hAnsi="Mulish" w:cstheme="minorHAnsi"/>
          <w:sz w:val="24"/>
          <w:szCs w:val="28"/>
        </w:rPr>
        <w:t xml:space="preserve">  correspondiente a 2021</w:t>
      </w:r>
      <w:r w:rsidR="008345C3" w:rsidRPr="00D20F75">
        <w:rPr>
          <w:rFonts w:ascii="Mulish" w:hAnsi="Mulish" w:cstheme="minorHAnsi"/>
          <w:sz w:val="24"/>
          <w:szCs w:val="28"/>
        </w:rPr>
        <w:t>, que en este mismo año no se publicaba</w:t>
      </w:r>
      <w:r w:rsidRPr="00D20F75">
        <w:rPr>
          <w:rFonts w:ascii="Mulish" w:hAnsi="Mulish" w:cstheme="minorHAnsi"/>
          <w:sz w:val="24"/>
          <w:szCs w:val="28"/>
        </w:rPr>
        <w:t>-</w:t>
      </w:r>
      <w:r w:rsidR="00356C4F" w:rsidRPr="00D20F75">
        <w:rPr>
          <w:rFonts w:ascii="Mulish" w:hAnsi="Mulish" w:cstheme="minorHAnsi"/>
          <w:sz w:val="24"/>
          <w:szCs w:val="28"/>
        </w:rPr>
        <w:t>, no se ha podido tener en cuenta, dado que no se publica la práctica totalidad de los ítems obligatorios que serían aplicables al CGE, que se contemplan en el artículo 8.1.a de la LTAIBG.</w:t>
      </w:r>
      <w:r w:rsidR="008345C3" w:rsidRPr="00D20F75">
        <w:rPr>
          <w:rFonts w:ascii="Mulish" w:hAnsi="Mulish" w:cstheme="minorHAnsi"/>
          <w:sz w:val="24"/>
          <w:szCs w:val="28"/>
        </w:rPr>
        <w:t xml:space="preserve"> </w:t>
      </w:r>
      <w:r w:rsidR="00356C4F" w:rsidRPr="00D20F75">
        <w:rPr>
          <w:rFonts w:ascii="Mulish" w:hAnsi="Mulish" w:cstheme="minorHAnsi"/>
          <w:sz w:val="24"/>
          <w:szCs w:val="28"/>
        </w:rPr>
        <w:t>No se publica el objeto, la duración, el importe de licitación, el importe de adjudicación y el procedimiento de adjudicación. Por lo tanto, las recomendaciones que han tenido impacto en la mejora del Índice de Cumplimiento son la publicación del Registro de Actividades de Tratamiento, de los Convenios y de las Encomiendas de gestión.</w:t>
      </w:r>
    </w:p>
    <w:p w14:paraId="46D5EC7E" w14:textId="0F3CE54C" w:rsidR="00A235F0" w:rsidRPr="00D20F75" w:rsidRDefault="008345C3" w:rsidP="00B454CE">
      <w:pPr>
        <w:pStyle w:val="Prrafodelista"/>
        <w:numPr>
          <w:ilvl w:val="0"/>
          <w:numId w:val="13"/>
        </w:numPr>
        <w:tabs>
          <w:tab w:val="left" w:pos="284"/>
        </w:tabs>
        <w:spacing w:before="120" w:after="120" w:line="312" w:lineRule="auto"/>
        <w:jc w:val="both"/>
        <w:rPr>
          <w:rFonts w:ascii="Mulish" w:hAnsi="Mulish" w:cstheme="minorHAnsi"/>
          <w:sz w:val="24"/>
          <w:szCs w:val="28"/>
        </w:rPr>
      </w:pPr>
      <w:r w:rsidRPr="00D20F75">
        <w:rPr>
          <w:rFonts w:ascii="Mulish" w:hAnsi="Mulish" w:cstheme="minorHAnsi"/>
          <w:sz w:val="24"/>
          <w:szCs w:val="28"/>
        </w:rPr>
        <w:t xml:space="preserve">En relación con la publicación de información sobre subvenciones y ayudas públicas recibidas en el supuesto de que no exista actividad, la única manera de distinguir - por los ciudadanos y también por los evaluadores -, si la falta de publicación de una información sujeta a obligaciones de publicidad activa se debe a un incumplimiento de la obligación de publicar o a que no hay </w:t>
      </w:r>
      <w:r w:rsidRPr="00D20F75">
        <w:rPr>
          <w:rFonts w:ascii="Mulish" w:hAnsi="Mulish" w:cstheme="minorHAnsi"/>
          <w:sz w:val="24"/>
          <w:szCs w:val="28"/>
        </w:rPr>
        <w:lastRenderedPageBreak/>
        <w:t xml:space="preserve">información que publicar porque no ha habido actividad en ese ámbito concreto o porque algún tipo de regulación no permite su publicación, es que se indique expresamente tal circunstancia. Por esta razón, este Consejo, recomienda que en el apartado correspondiente a la obligación de publicidad activa para la que no ha existido actividad, se haga constar que la falta de publicación se debe a la falta de actividad en ese ámbito. Este supuesto aplicaría tanto a las subvenciones y ayudas públicas como a las encomiendas de gestión. </w:t>
      </w:r>
    </w:p>
    <w:p w14:paraId="2E3549A9" w14:textId="77777777" w:rsidR="0023341E" w:rsidRPr="00D20F75" w:rsidRDefault="0023341E" w:rsidP="0023341E">
      <w:pPr>
        <w:pStyle w:val="Prrafodelista"/>
        <w:tabs>
          <w:tab w:val="left" w:pos="284"/>
        </w:tabs>
        <w:spacing w:before="120" w:after="120" w:line="312" w:lineRule="auto"/>
        <w:jc w:val="both"/>
        <w:rPr>
          <w:rFonts w:ascii="Mulish" w:hAnsi="Mulish" w:cstheme="minorHAnsi"/>
          <w:sz w:val="24"/>
          <w:szCs w:val="28"/>
        </w:rPr>
      </w:pPr>
    </w:p>
    <w:p w14:paraId="6C961EB6" w14:textId="3987B072" w:rsidR="00267F0B" w:rsidRPr="00D20F75" w:rsidRDefault="00E2210B" w:rsidP="009E16B5">
      <w:pPr>
        <w:tabs>
          <w:tab w:val="left" w:pos="284"/>
        </w:tabs>
        <w:spacing w:before="120" w:after="120" w:line="312" w:lineRule="auto"/>
        <w:contextualSpacing/>
        <w:jc w:val="both"/>
        <w:rPr>
          <w:rFonts w:ascii="Mulish" w:hAnsi="Mulish" w:cstheme="minorHAnsi"/>
          <w:szCs w:val="24"/>
        </w:rPr>
      </w:pPr>
      <w:r w:rsidRPr="00D20F75">
        <w:rPr>
          <w:rFonts w:ascii="Mulish" w:hAnsi="Mulish" w:cstheme="minorHAnsi"/>
          <w:szCs w:val="24"/>
        </w:rPr>
        <w:t xml:space="preserve">Este Consejo, valora muy positivamente la disposición del </w:t>
      </w:r>
      <w:r w:rsidR="008345C3" w:rsidRPr="00D20F75">
        <w:rPr>
          <w:rFonts w:ascii="Mulish" w:hAnsi="Mulish" w:cstheme="minorHAnsi"/>
          <w:szCs w:val="24"/>
        </w:rPr>
        <w:t>CGE</w:t>
      </w:r>
      <w:r w:rsidRPr="00D20F75">
        <w:rPr>
          <w:rFonts w:ascii="Mulish" w:hAnsi="Mulish" w:cstheme="minorHAnsi"/>
          <w:szCs w:val="24"/>
        </w:rPr>
        <w:t xml:space="preserve"> a aplicar las mejoras señaladas en el informe provisional de evaluación y</w:t>
      </w:r>
      <w:r w:rsidR="002B635D" w:rsidRPr="00D20F75">
        <w:rPr>
          <w:rFonts w:ascii="Mulish" w:hAnsi="Mulish" w:cstheme="minorHAnsi"/>
          <w:szCs w:val="24"/>
        </w:rPr>
        <w:t xml:space="preserve"> queda a disposición de</w:t>
      </w:r>
      <w:r w:rsidR="004326E1" w:rsidRPr="00D20F75">
        <w:rPr>
          <w:rFonts w:ascii="Mulish" w:hAnsi="Mulish" w:cstheme="minorHAnsi"/>
          <w:szCs w:val="24"/>
        </w:rPr>
        <w:t>l</w:t>
      </w:r>
      <w:r w:rsidR="002B635D" w:rsidRPr="00D20F75">
        <w:rPr>
          <w:rFonts w:ascii="Mulish" w:hAnsi="Mulish" w:cstheme="minorHAnsi"/>
          <w:szCs w:val="24"/>
        </w:rPr>
        <w:t xml:space="preserve"> </w:t>
      </w:r>
      <w:r w:rsidR="008345C3" w:rsidRPr="00D20F75">
        <w:rPr>
          <w:rFonts w:ascii="Mulish" w:hAnsi="Mulish" w:cstheme="minorHAnsi"/>
          <w:szCs w:val="24"/>
        </w:rPr>
        <w:t>CGE</w:t>
      </w:r>
      <w:r w:rsidR="002B635D" w:rsidRPr="00D20F75">
        <w:rPr>
          <w:rFonts w:ascii="Mulish" w:hAnsi="Mulish" w:cstheme="minorHAnsi"/>
          <w:szCs w:val="24"/>
        </w:rPr>
        <w:t xml:space="preserve"> para cualquier aclaración que pueda surgir en el proceso de aplicación de las recomendaciones.</w:t>
      </w:r>
    </w:p>
    <w:p w14:paraId="56250D99" w14:textId="77777777" w:rsidR="0045134F" w:rsidRPr="00D20F75" w:rsidRDefault="0045134F" w:rsidP="00D44E9D">
      <w:pPr>
        <w:pStyle w:val="Prrafodelista"/>
        <w:tabs>
          <w:tab w:val="left" w:pos="284"/>
        </w:tabs>
        <w:spacing w:before="120" w:after="120" w:line="312" w:lineRule="auto"/>
        <w:jc w:val="both"/>
        <w:rPr>
          <w:rFonts w:ascii="Mulish" w:hAnsi="Mulish" w:cstheme="minorHAnsi"/>
          <w:szCs w:val="24"/>
        </w:rPr>
      </w:pPr>
    </w:p>
    <w:p w14:paraId="66878C8F" w14:textId="2E236621" w:rsidR="006F17B5" w:rsidRPr="00D20F75" w:rsidRDefault="0006533A" w:rsidP="0006533A">
      <w:pPr>
        <w:tabs>
          <w:tab w:val="left" w:pos="284"/>
        </w:tabs>
        <w:autoSpaceDE w:val="0"/>
        <w:autoSpaceDN w:val="0"/>
        <w:adjustRightInd w:val="0"/>
        <w:spacing w:before="120" w:after="120" w:line="312" w:lineRule="auto"/>
        <w:jc w:val="right"/>
        <w:rPr>
          <w:rFonts w:ascii="Mulish" w:hAnsi="Mulish"/>
          <w:szCs w:val="24"/>
        </w:rPr>
      </w:pPr>
      <w:r w:rsidRPr="00D20F75">
        <w:rPr>
          <w:rFonts w:ascii="Mulish" w:hAnsi="Mulish" w:cstheme="minorHAnsi"/>
          <w:szCs w:val="24"/>
        </w:rPr>
        <w:t xml:space="preserve">Madrid, </w:t>
      </w:r>
      <w:r w:rsidR="00EB7645" w:rsidRPr="00D20F75">
        <w:rPr>
          <w:rFonts w:ascii="Mulish" w:hAnsi="Mulish" w:cstheme="minorHAnsi"/>
          <w:szCs w:val="24"/>
        </w:rPr>
        <w:t>enero</w:t>
      </w:r>
      <w:r w:rsidRPr="00D20F75">
        <w:rPr>
          <w:rFonts w:ascii="Mulish" w:hAnsi="Mulish" w:cstheme="minorHAnsi"/>
          <w:szCs w:val="24"/>
        </w:rPr>
        <w:t xml:space="preserve"> de 202</w:t>
      </w:r>
      <w:r w:rsidR="00EB7645" w:rsidRPr="00D20F75">
        <w:rPr>
          <w:rFonts w:ascii="Mulish" w:hAnsi="Mulish" w:cstheme="minorHAnsi"/>
          <w:szCs w:val="24"/>
        </w:rPr>
        <w:t>4</w:t>
      </w:r>
    </w:p>
    <w:sectPr w:rsidR="006F17B5" w:rsidRPr="00D20F75" w:rsidSect="009E16B5">
      <w:headerReference w:type="default" r:id="rId7"/>
      <w:footerReference w:type="default" r:id="rId8"/>
      <w:headerReference w:type="first" r:id="rId9"/>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E9B9" w14:textId="77777777" w:rsidR="004326E1" w:rsidRDefault="004326E1" w:rsidP="00344FE7">
      <w:pPr>
        <w:spacing w:after="0" w:line="240" w:lineRule="auto"/>
      </w:pPr>
      <w:r>
        <w:separator/>
      </w:r>
    </w:p>
  </w:endnote>
  <w:endnote w:type="continuationSeparator" w:id="0">
    <w:p w14:paraId="1C3E2F0D" w14:textId="77777777" w:rsidR="004326E1" w:rsidRDefault="004326E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13920B37" w14:textId="77777777" w:rsidR="004326E1" w:rsidRPr="00C23F36" w:rsidRDefault="004326E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7703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2BF4" w14:textId="77777777" w:rsidR="004326E1" w:rsidRDefault="004326E1" w:rsidP="00344FE7">
      <w:pPr>
        <w:spacing w:after="0" w:line="240" w:lineRule="auto"/>
      </w:pPr>
      <w:r>
        <w:separator/>
      </w:r>
    </w:p>
  </w:footnote>
  <w:footnote w:type="continuationSeparator" w:id="0">
    <w:p w14:paraId="3275DEA2" w14:textId="77777777" w:rsidR="004326E1" w:rsidRDefault="004326E1"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EC9" w14:textId="77777777" w:rsidR="004326E1" w:rsidRDefault="004326E1">
    <w:pPr>
      <w:pStyle w:val="Encabezado"/>
    </w:pPr>
    <w:r>
      <w:rPr>
        <w:noProof/>
        <w:lang w:eastAsia="es-ES"/>
      </w:rPr>
      <w:drawing>
        <wp:anchor distT="0" distB="0" distL="0" distR="0" simplePos="0" relativeHeight="251670528" behindDoc="0" locked="0" layoutInCell="1" allowOverlap="0" wp14:anchorId="4A178C54" wp14:editId="046F51E7">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D6C526C" w14:textId="77777777" w:rsidR="004326E1" w:rsidRDefault="004326E1">
    <w:pPr>
      <w:pStyle w:val="Encabezado"/>
    </w:pPr>
  </w:p>
  <w:p w14:paraId="5FA2C50F" w14:textId="77777777" w:rsidR="004326E1" w:rsidRDefault="004326E1" w:rsidP="00344FE7">
    <w:pPr>
      <w:pStyle w:val="Encabezado"/>
    </w:pPr>
  </w:p>
  <w:p w14:paraId="026EC9C3" w14:textId="77777777" w:rsidR="004326E1" w:rsidRDefault="004326E1" w:rsidP="00344FE7">
    <w:pPr>
      <w:pStyle w:val="Encabezado"/>
    </w:pPr>
  </w:p>
  <w:p w14:paraId="6F3EF43C" w14:textId="77777777" w:rsidR="004326E1" w:rsidRDefault="004326E1"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B4A6" w14:textId="77777777" w:rsidR="004326E1" w:rsidRDefault="004326E1" w:rsidP="006F5890">
    <w:pPr>
      <w:jc w:val="right"/>
      <w:rPr>
        <w:noProof/>
        <w:lang w:eastAsia="es-ES"/>
      </w:rPr>
    </w:pPr>
    <w:r>
      <w:rPr>
        <w:noProof/>
        <w:lang w:eastAsia="es-ES"/>
      </w:rPr>
      <w:drawing>
        <wp:anchor distT="0" distB="0" distL="0" distR="0" simplePos="0" relativeHeight="251668480" behindDoc="0" locked="0" layoutInCell="1" allowOverlap="0" wp14:anchorId="3DA5C729" wp14:editId="1BD64B3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07110063" wp14:editId="3248834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11.5pt;height:11.5pt" o:bullet="t">
        <v:imagedata r:id="rId1" o:title="BD14529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8957FB"/>
    <w:multiLevelType w:val="hybridMultilevel"/>
    <w:tmpl w:val="63A2B488"/>
    <w:lvl w:ilvl="0" w:tplc="EEF83A2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2381F"/>
    <w:multiLevelType w:val="hybridMultilevel"/>
    <w:tmpl w:val="657811A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980738"/>
    <w:multiLevelType w:val="hybridMultilevel"/>
    <w:tmpl w:val="3D123A6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4" w15:restartNumberingAfterBreak="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 w:numId="11">
    <w:abstractNumId w:val="14"/>
  </w:num>
  <w:num w:numId="12">
    <w:abstractNumId w:val="9"/>
  </w:num>
  <w:num w:numId="13">
    <w:abstractNumId w:val="11"/>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4FFC"/>
    <w:rsid w:val="000234B9"/>
    <w:rsid w:val="00033E75"/>
    <w:rsid w:val="00036A5D"/>
    <w:rsid w:val="00054405"/>
    <w:rsid w:val="0006533A"/>
    <w:rsid w:val="00074030"/>
    <w:rsid w:val="000B79D0"/>
    <w:rsid w:val="000C18DE"/>
    <w:rsid w:val="001257F9"/>
    <w:rsid w:val="0014196C"/>
    <w:rsid w:val="001620F0"/>
    <w:rsid w:val="00167553"/>
    <w:rsid w:val="001750A8"/>
    <w:rsid w:val="00175D6C"/>
    <w:rsid w:val="0018324C"/>
    <w:rsid w:val="00194E05"/>
    <w:rsid w:val="001B16D9"/>
    <w:rsid w:val="001E44BC"/>
    <w:rsid w:val="00212970"/>
    <w:rsid w:val="0023341E"/>
    <w:rsid w:val="00235A40"/>
    <w:rsid w:val="00242952"/>
    <w:rsid w:val="00251194"/>
    <w:rsid w:val="00267F0B"/>
    <w:rsid w:val="00292806"/>
    <w:rsid w:val="0029598F"/>
    <w:rsid w:val="002A4771"/>
    <w:rsid w:val="002B635D"/>
    <w:rsid w:val="002C000A"/>
    <w:rsid w:val="002F5D0B"/>
    <w:rsid w:val="0031255D"/>
    <w:rsid w:val="003259B9"/>
    <w:rsid w:val="00344FE7"/>
    <w:rsid w:val="00351475"/>
    <w:rsid w:val="00356C4F"/>
    <w:rsid w:val="003656B1"/>
    <w:rsid w:val="003B5DE7"/>
    <w:rsid w:val="003D0DAF"/>
    <w:rsid w:val="003F0972"/>
    <w:rsid w:val="003F38BD"/>
    <w:rsid w:val="004108BB"/>
    <w:rsid w:val="004255C8"/>
    <w:rsid w:val="00432263"/>
    <w:rsid w:val="004326E1"/>
    <w:rsid w:val="00444012"/>
    <w:rsid w:val="0045134F"/>
    <w:rsid w:val="00452188"/>
    <w:rsid w:val="00474140"/>
    <w:rsid w:val="004B15B8"/>
    <w:rsid w:val="004D4EF1"/>
    <w:rsid w:val="004F6BA5"/>
    <w:rsid w:val="00552514"/>
    <w:rsid w:val="00553C70"/>
    <w:rsid w:val="005700FC"/>
    <w:rsid w:val="005B1C12"/>
    <w:rsid w:val="005E3D42"/>
    <w:rsid w:val="00614890"/>
    <w:rsid w:val="006A3E54"/>
    <w:rsid w:val="006C0214"/>
    <w:rsid w:val="006F17B5"/>
    <w:rsid w:val="006F35CD"/>
    <w:rsid w:val="006F5890"/>
    <w:rsid w:val="006F685D"/>
    <w:rsid w:val="0070550B"/>
    <w:rsid w:val="0071472F"/>
    <w:rsid w:val="00733B3C"/>
    <w:rsid w:val="007342F2"/>
    <w:rsid w:val="00780DF9"/>
    <w:rsid w:val="007A662D"/>
    <w:rsid w:val="007C00E5"/>
    <w:rsid w:val="007C0642"/>
    <w:rsid w:val="007C1C6F"/>
    <w:rsid w:val="007D24E2"/>
    <w:rsid w:val="00815DA2"/>
    <w:rsid w:val="00816D4F"/>
    <w:rsid w:val="008245B4"/>
    <w:rsid w:val="008345C3"/>
    <w:rsid w:val="008516E4"/>
    <w:rsid w:val="00855ECA"/>
    <w:rsid w:val="00856637"/>
    <w:rsid w:val="00865A09"/>
    <w:rsid w:val="0089717A"/>
    <w:rsid w:val="008B79BD"/>
    <w:rsid w:val="008E6A8A"/>
    <w:rsid w:val="00901F1F"/>
    <w:rsid w:val="009029E0"/>
    <w:rsid w:val="009557B1"/>
    <w:rsid w:val="00983AD6"/>
    <w:rsid w:val="009B5E4A"/>
    <w:rsid w:val="009B7ADA"/>
    <w:rsid w:val="009D2560"/>
    <w:rsid w:val="009D6677"/>
    <w:rsid w:val="009E16B5"/>
    <w:rsid w:val="009E30AA"/>
    <w:rsid w:val="009F3E4B"/>
    <w:rsid w:val="00A235F0"/>
    <w:rsid w:val="00A24192"/>
    <w:rsid w:val="00A26523"/>
    <w:rsid w:val="00A603C7"/>
    <w:rsid w:val="00A62936"/>
    <w:rsid w:val="00AA1AC4"/>
    <w:rsid w:val="00AB4661"/>
    <w:rsid w:val="00AC42BC"/>
    <w:rsid w:val="00AE5BF4"/>
    <w:rsid w:val="00B1398D"/>
    <w:rsid w:val="00B17BE1"/>
    <w:rsid w:val="00B20ABA"/>
    <w:rsid w:val="00B20F3A"/>
    <w:rsid w:val="00B21C2F"/>
    <w:rsid w:val="00B2797F"/>
    <w:rsid w:val="00B31F84"/>
    <w:rsid w:val="00B35A53"/>
    <w:rsid w:val="00B75881"/>
    <w:rsid w:val="00B81EE6"/>
    <w:rsid w:val="00BA7103"/>
    <w:rsid w:val="00BC6382"/>
    <w:rsid w:val="00BC7A82"/>
    <w:rsid w:val="00BD4827"/>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0F75"/>
    <w:rsid w:val="00D23111"/>
    <w:rsid w:val="00D30E88"/>
    <w:rsid w:val="00D445A4"/>
    <w:rsid w:val="00D44E9D"/>
    <w:rsid w:val="00D72EF9"/>
    <w:rsid w:val="00DB21EC"/>
    <w:rsid w:val="00DB2CB4"/>
    <w:rsid w:val="00DB2CCC"/>
    <w:rsid w:val="00DD07B5"/>
    <w:rsid w:val="00DF5982"/>
    <w:rsid w:val="00E03C82"/>
    <w:rsid w:val="00E2210B"/>
    <w:rsid w:val="00E27657"/>
    <w:rsid w:val="00E35741"/>
    <w:rsid w:val="00E4386D"/>
    <w:rsid w:val="00E43F9F"/>
    <w:rsid w:val="00E5135F"/>
    <w:rsid w:val="00E64F85"/>
    <w:rsid w:val="00E77037"/>
    <w:rsid w:val="00E90B21"/>
    <w:rsid w:val="00EB7058"/>
    <w:rsid w:val="00EB7645"/>
    <w:rsid w:val="00EC3AAE"/>
    <w:rsid w:val="00EC696D"/>
    <w:rsid w:val="00ED6FD3"/>
    <w:rsid w:val="00EF0D47"/>
    <w:rsid w:val="00EF5F68"/>
    <w:rsid w:val="00EF7316"/>
    <w:rsid w:val="00F14500"/>
    <w:rsid w:val="00F17B00"/>
    <w:rsid w:val="00F20969"/>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4C01F890"/>
  <w15:docId w15:val="{1B7213EC-8906-4D2C-BEC2-A131A22E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Mencinsinresolver">
    <w:name w:val="Unresolved Mention"/>
    <w:basedOn w:val="Fuentedeprrafopredeter"/>
    <w:uiPriority w:val="99"/>
    <w:semiHidden/>
    <w:unhideWhenUsed/>
    <w:rsid w:val="00004FFC"/>
    <w:rPr>
      <w:color w:val="605E5C"/>
      <w:shd w:val="clear" w:color="auto" w:fill="E1DFDD"/>
    </w:rPr>
  </w:style>
  <w:style w:type="table" w:styleId="Sombreadomedio2-nfasis3">
    <w:name w:val="Medium Shading 2 Accent 3"/>
    <w:basedOn w:val="Tablanormal"/>
    <w:uiPriority w:val="64"/>
    <w:rsid w:val="00A235F0"/>
    <w:pPr>
      <w:spacing w:after="0" w:line="240" w:lineRule="auto"/>
    </w:pPr>
    <w:rPr>
      <w:rFonts w:asciiTheme="minorHAnsi" w:hAnsiTheme="minorHAns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2024-01-05T10:32:00Z</dcterms:created>
  <dcterms:modified xsi:type="dcterms:W3CDTF">2025-01-17T12:51:00Z</dcterms:modified>
</cp:coreProperties>
</file>