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AB30" w14:textId="3387C65C" w:rsidR="00BA4068" w:rsidRPr="00B80115" w:rsidRDefault="00597D3E" w:rsidP="00CD436E">
      <w:pPr>
        <w:pStyle w:val="Textoindependiente"/>
        <w:spacing w:before="88" w:line="276" w:lineRule="auto"/>
        <w:ind w:right="21"/>
        <w:jc w:val="center"/>
        <w:rPr>
          <w:color w:val="0C0C0C" w:themeColor="text1"/>
          <w:sz w:val="22"/>
          <w:szCs w:val="22"/>
          <w:u w:val="single"/>
        </w:rPr>
      </w:pPr>
      <w:r>
        <w:rPr>
          <w:color w:val="0C0C0C" w:themeColor="text1"/>
          <w:sz w:val="22"/>
          <w:szCs w:val="22"/>
          <w:u w:val="single"/>
        </w:rPr>
        <w:t xml:space="preserve">El Consejo de Transparencia publica </w:t>
      </w:r>
      <w:r w:rsidR="00B97C6D">
        <w:rPr>
          <w:color w:val="0C0C0C" w:themeColor="text1"/>
          <w:sz w:val="22"/>
          <w:szCs w:val="22"/>
          <w:u w:val="single"/>
        </w:rPr>
        <w:t>el informe de evaluación</w:t>
      </w:r>
      <w:r w:rsidR="00011715">
        <w:rPr>
          <w:color w:val="0C0C0C" w:themeColor="text1"/>
          <w:sz w:val="22"/>
          <w:szCs w:val="22"/>
          <w:u w:val="single"/>
        </w:rPr>
        <w:t xml:space="preserve"> 2024 </w:t>
      </w:r>
      <w:r w:rsidR="00B97C6D">
        <w:rPr>
          <w:color w:val="0C0C0C" w:themeColor="text1"/>
          <w:sz w:val="22"/>
          <w:szCs w:val="22"/>
          <w:u w:val="single"/>
        </w:rPr>
        <w:t xml:space="preserve">del </w:t>
      </w:r>
      <w:r w:rsidR="00011715">
        <w:rPr>
          <w:color w:val="0C0C0C" w:themeColor="text1"/>
          <w:sz w:val="22"/>
          <w:szCs w:val="22"/>
          <w:u w:val="single"/>
        </w:rPr>
        <w:t>Portal de</w:t>
      </w:r>
      <w:r w:rsidR="00C76E55">
        <w:rPr>
          <w:color w:val="0C0C0C" w:themeColor="text1"/>
          <w:sz w:val="22"/>
          <w:szCs w:val="22"/>
          <w:u w:val="single"/>
        </w:rPr>
        <w:t xml:space="preserve"> la</w:t>
      </w:r>
      <w:r w:rsidR="00011715">
        <w:rPr>
          <w:color w:val="0C0C0C" w:themeColor="text1"/>
          <w:sz w:val="22"/>
          <w:szCs w:val="22"/>
          <w:u w:val="single"/>
        </w:rPr>
        <w:t xml:space="preserve"> Transparencia de la Administración General del Estado </w:t>
      </w:r>
    </w:p>
    <w:p w14:paraId="5B11E2F9" w14:textId="77777777" w:rsidR="00BA4068" w:rsidRPr="00B80115" w:rsidRDefault="00BA4068" w:rsidP="00A666AD">
      <w:pPr>
        <w:pStyle w:val="Textoindependiente"/>
        <w:spacing w:before="88" w:line="276" w:lineRule="auto"/>
        <w:ind w:right="21"/>
        <w:rPr>
          <w:color w:val="0C0C0C" w:themeColor="text1"/>
          <w:sz w:val="22"/>
          <w:szCs w:val="22"/>
        </w:rPr>
      </w:pPr>
    </w:p>
    <w:p w14:paraId="22CAA2E0" w14:textId="2CB43158" w:rsidR="00A666AD" w:rsidRDefault="00597D3E" w:rsidP="00CD436E">
      <w:pPr>
        <w:tabs>
          <w:tab w:val="left" w:pos="2535"/>
        </w:tabs>
        <w:jc w:val="center"/>
        <w:rPr>
          <w:rFonts w:ascii="Mulish" w:eastAsia="Mulish" w:hAnsi="Mulish" w:cs="Mulish"/>
          <w:b/>
          <w:bCs/>
          <w:color w:val="0C0C0C" w:themeColor="text1"/>
          <w:lang w:eastAsia="es-ES" w:bidi="es-ES"/>
        </w:rPr>
      </w:pPr>
      <w:r w:rsidRPr="00597D3E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EL </w:t>
      </w:r>
      <w:r w:rsidR="00011715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PORTAL DE</w:t>
      </w:r>
      <w:r w:rsidR="004A356B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 </w:t>
      </w:r>
      <w:r w:rsidR="00C76E55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LA </w:t>
      </w:r>
      <w:r w:rsidR="004A356B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TRANSPARENCIA DE</w:t>
      </w:r>
      <w:r w:rsidR="00011715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 LA AGE </w:t>
      </w:r>
      <w:r w:rsidR="004A356B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ALCANZA UN GRADO DE CUMPLIMIENTO DE LAS OBLIGACIONES DE TRANSPARENCIA ACTIVA DEL 85,6%</w:t>
      </w:r>
    </w:p>
    <w:p w14:paraId="6B5902FB" w14:textId="77777777" w:rsidR="009C1C4B" w:rsidRDefault="009C1C4B" w:rsidP="007101D5">
      <w:pPr>
        <w:tabs>
          <w:tab w:val="left" w:pos="2535"/>
        </w:tabs>
        <w:spacing w:after="120"/>
        <w:rPr>
          <w:rFonts w:ascii="Mulish" w:eastAsia="Mulish" w:hAnsi="Mulish" w:cs="Mulish"/>
          <w:b/>
          <w:bCs/>
          <w:color w:val="0C0C0C" w:themeColor="text1"/>
          <w:lang w:eastAsia="es-ES" w:bidi="es-ES"/>
        </w:rPr>
      </w:pPr>
    </w:p>
    <w:p w14:paraId="6F548B6A" w14:textId="5A1B476D" w:rsidR="004A356B" w:rsidRPr="004A356B" w:rsidRDefault="002D3A62" w:rsidP="00FC7309">
      <w:pPr>
        <w:pStyle w:val="Prrafodelista"/>
        <w:numPr>
          <w:ilvl w:val="0"/>
          <w:numId w:val="1"/>
        </w:numPr>
        <w:tabs>
          <w:tab w:val="left" w:pos="2535"/>
        </w:tabs>
        <w:ind w:left="714" w:hanging="357"/>
        <w:contextualSpacing w:val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>
        <w:rPr>
          <w:rFonts w:ascii="Mulish" w:eastAsia="Mulish" w:hAnsi="Mulish" w:cs="Mulish"/>
          <w:color w:val="0C0C0C" w:themeColor="text1"/>
          <w:lang w:eastAsia="es-ES" w:bidi="es-ES"/>
        </w:rPr>
        <w:t>H</w:t>
      </w:r>
      <w:r w:rsidR="004A356B" w:rsidRPr="004A356B">
        <w:rPr>
          <w:rFonts w:ascii="Mulish" w:eastAsia="Mulish" w:hAnsi="Mulish" w:cs="Mulish"/>
          <w:color w:val="0C0C0C" w:themeColor="text1"/>
          <w:lang w:eastAsia="es-ES" w:bidi="es-ES"/>
        </w:rPr>
        <w:t>a mejorado su</w:t>
      </w:r>
      <w:r w:rsidR="00285BCA" w:rsidRPr="004A356B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4A356B" w:rsidRPr="004A356B">
        <w:rPr>
          <w:rFonts w:ascii="Mulish" w:eastAsia="Mulish" w:hAnsi="Mulish" w:cs="Mulish"/>
          <w:color w:val="0C0C0C" w:themeColor="text1"/>
          <w:lang w:eastAsia="es-ES" w:bidi="es-ES"/>
        </w:rPr>
        <w:t>Índice de Cumplimiento</w:t>
      </w:r>
      <w:r w:rsidR="004B3E4B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7C2E7A">
        <w:rPr>
          <w:rFonts w:ascii="Mulish" w:eastAsia="Mulish" w:hAnsi="Mulish" w:cs="Mulish"/>
          <w:color w:val="0C0C0C" w:themeColor="text1"/>
          <w:lang w:eastAsia="es-ES" w:bidi="es-ES"/>
        </w:rPr>
        <w:t>en 4,6 puntos</w:t>
      </w:r>
      <w:r w:rsidR="004A356B" w:rsidRPr="004A356B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C9616E">
        <w:rPr>
          <w:rFonts w:ascii="Mulish" w:eastAsia="Mulish" w:hAnsi="Mulish" w:cs="Mulish"/>
          <w:color w:val="0C0C0C" w:themeColor="text1"/>
          <w:lang w:eastAsia="es-ES" w:bidi="es-ES"/>
        </w:rPr>
        <w:t xml:space="preserve">porcentuales </w:t>
      </w:r>
      <w:r w:rsidR="004A356B" w:rsidRPr="004A356B">
        <w:rPr>
          <w:rFonts w:ascii="Mulish" w:eastAsia="Mulish" w:hAnsi="Mulish" w:cs="Mulish"/>
          <w:color w:val="0C0C0C" w:themeColor="text1"/>
          <w:lang w:eastAsia="es-ES" w:bidi="es-ES"/>
        </w:rPr>
        <w:t xml:space="preserve">respecto a 2023, tras aplicar la mitad de las recomendaciones que realizó el Consejo de Transparencia en su evaluación del ejercicio anterior. </w:t>
      </w:r>
    </w:p>
    <w:p w14:paraId="3A7D525D" w14:textId="6DF4933A" w:rsidR="00B965B4" w:rsidRDefault="003C3727" w:rsidP="00B965B4">
      <w:pPr>
        <w:pStyle w:val="Prrafodelista"/>
        <w:numPr>
          <w:ilvl w:val="0"/>
          <w:numId w:val="1"/>
        </w:numPr>
        <w:tabs>
          <w:tab w:val="left" w:pos="2535"/>
        </w:tabs>
        <w:ind w:left="714" w:hanging="357"/>
        <w:contextualSpacing w:val="0"/>
        <w:jc w:val="both"/>
        <w:rPr>
          <w:rFonts w:ascii="Mulish" w:eastAsia="Mulish" w:hAnsi="Mulish" w:cs="Mulish"/>
          <w:lang w:eastAsia="es-ES" w:bidi="es-ES"/>
        </w:rPr>
      </w:pPr>
      <w:r w:rsidRPr="00AA4A9B">
        <w:rPr>
          <w:rFonts w:ascii="Mulish" w:eastAsia="Mulish" w:hAnsi="Mulish" w:cs="Mulish"/>
          <w:lang w:eastAsia="es-ES" w:bidi="es-ES"/>
        </w:rPr>
        <w:t xml:space="preserve">El </w:t>
      </w:r>
      <w:r w:rsidR="00AA4A9B" w:rsidRPr="00AA4A9B">
        <w:rPr>
          <w:rFonts w:ascii="Mulish" w:eastAsia="Mulish" w:hAnsi="Mulish" w:cs="Mulish"/>
          <w:lang w:eastAsia="es-ES" w:bidi="es-ES"/>
        </w:rPr>
        <w:t>Consejo reconoce el esfuerzo que están realizando los responsables del Portal</w:t>
      </w:r>
      <w:r w:rsidR="002D3A62">
        <w:rPr>
          <w:rFonts w:ascii="Mulish" w:eastAsia="Mulish" w:hAnsi="Mulish" w:cs="Mulish"/>
          <w:lang w:eastAsia="es-ES" w:bidi="es-ES"/>
        </w:rPr>
        <w:t xml:space="preserve"> de </w:t>
      </w:r>
      <w:r w:rsidR="00C76E55">
        <w:rPr>
          <w:rFonts w:ascii="Mulish" w:eastAsia="Mulish" w:hAnsi="Mulish" w:cs="Mulish"/>
          <w:lang w:eastAsia="es-ES" w:bidi="es-ES"/>
        </w:rPr>
        <w:t xml:space="preserve">la </w:t>
      </w:r>
      <w:r w:rsidR="002D3A62">
        <w:rPr>
          <w:rFonts w:ascii="Mulish" w:eastAsia="Mulish" w:hAnsi="Mulish" w:cs="Mulish"/>
          <w:lang w:eastAsia="es-ES" w:bidi="es-ES"/>
        </w:rPr>
        <w:t>Transparencia</w:t>
      </w:r>
      <w:r w:rsidR="00AA4A9B" w:rsidRPr="00AA4A9B">
        <w:rPr>
          <w:rFonts w:ascii="Mulish" w:eastAsia="Mulish" w:hAnsi="Mulish" w:cs="Mulish"/>
          <w:lang w:eastAsia="es-ES" w:bidi="es-ES"/>
        </w:rPr>
        <w:t xml:space="preserve">, aunque reitera la necesidad de continuar implantando las medidas necesarias para alcanzar el nivel exigido por la Ley de Transparencia. </w:t>
      </w:r>
    </w:p>
    <w:p w14:paraId="2F8A4391" w14:textId="35FDA6D5" w:rsidR="00C451D3" w:rsidRPr="00C451D3" w:rsidRDefault="00C451D3" w:rsidP="00B965B4">
      <w:pPr>
        <w:pStyle w:val="Prrafodelista"/>
        <w:numPr>
          <w:ilvl w:val="0"/>
          <w:numId w:val="1"/>
        </w:numPr>
        <w:tabs>
          <w:tab w:val="left" w:pos="2535"/>
        </w:tabs>
        <w:ind w:left="714" w:hanging="357"/>
        <w:contextualSpacing w:val="0"/>
        <w:jc w:val="both"/>
        <w:rPr>
          <w:rFonts w:ascii="Mulish" w:eastAsia="Mulish" w:hAnsi="Mulish" w:cs="Mulish"/>
          <w:lang w:eastAsia="es-ES" w:bidi="es-ES"/>
        </w:rPr>
      </w:pPr>
      <w:r w:rsidRPr="00C451D3">
        <w:rPr>
          <w:rFonts w:ascii="Mulish" w:eastAsia="Mulish" w:hAnsi="Mulish" w:cs="Mulish"/>
          <w:color w:val="0C0C0C" w:themeColor="text1"/>
          <w:lang w:eastAsia="es-ES" w:bidi="es-ES"/>
        </w:rPr>
        <w:t xml:space="preserve">El nivel de cumplimiento de las obligaciones en el Portal difiere si se analiza la información de cada uno de los 22 departamentos ministeriales, oscilando entre el 72% de cumplimiento que obtienen </w:t>
      </w:r>
      <w:r>
        <w:rPr>
          <w:rFonts w:ascii="Mulish" w:eastAsia="Mulish" w:hAnsi="Mulish" w:cs="Mulish"/>
          <w:color w:val="0C0C0C" w:themeColor="text1"/>
          <w:lang w:eastAsia="es-ES" w:bidi="es-ES"/>
        </w:rPr>
        <w:t>los</w:t>
      </w:r>
      <w:r w:rsidRPr="00C451D3">
        <w:rPr>
          <w:rFonts w:ascii="Mulish" w:eastAsia="Mulish" w:hAnsi="Mulish" w:cs="Mulish"/>
          <w:color w:val="0C0C0C" w:themeColor="text1"/>
          <w:lang w:eastAsia="es-ES" w:bidi="es-ES"/>
        </w:rPr>
        <w:t xml:space="preserve"> de Vivienda y Asuntos Exteriores, y el 83,6% alcanzado por el de Trasformación Digital. </w:t>
      </w:r>
    </w:p>
    <w:p w14:paraId="1FE6B89C" w14:textId="77777777" w:rsidR="00AA4A9B" w:rsidRDefault="00AA4A9B" w:rsidP="00A251FA">
      <w:pPr>
        <w:spacing w:after="0"/>
        <w:jc w:val="both"/>
        <w:rPr>
          <w:rFonts w:ascii="Mulish" w:eastAsia="Mulish" w:hAnsi="Mulish" w:cs="Mulish"/>
          <w:color w:val="0C0C0C" w:themeColor="text1"/>
          <w:u w:val="single"/>
          <w:lang w:eastAsia="es-ES" w:bidi="es-ES"/>
        </w:rPr>
      </w:pPr>
    </w:p>
    <w:p w14:paraId="1903D784" w14:textId="52B466DE" w:rsidR="00011715" w:rsidRDefault="00BA4068" w:rsidP="00A251FA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 w:rsidRPr="00380BE5">
        <w:rPr>
          <w:rFonts w:ascii="Mulish" w:eastAsia="Mulish" w:hAnsi="Mulish" w:cs="Mulish"/>
          <w:color w:val="0C0C0C" w:themeColor="text1"/>
          <w:u w:val="single"/>
          <w:lang w:eastAsia="es-ES" w:bidi="es-ES"/>
        </w:rPr>
        <w:t>Madrid</w:t>
      </w:r>
      <w:r w:rsidR="00C23867" w:rsidRPr="00380BE5">
        <w:rPr>
          <w:rFonts w:ascii="Mulish" w:eastAsia="Mulish" w:hAnsi="Mulish" w:cs="Mulish"/>
          <w:color w:val="0C0C0C" w:themeColor="text1"/>
          <w:u w:val="single"/>
          <w:lang w:eastAsia="es-ES" w:bidi="es-ES"/>
        </w:rPr>
        <w:t xml:space="preserve">, </w:t>
      </w:r>
      <w:r w:rsidR="00C76E55" w:rsidRPr="00C76E55">
        <w:rPr>
          <w:rFonts w:ascii="Mulish" w:eastAsia="Mulish" w:hAnsi="Mulish" w:cs="Mulish"/>
          <w:color w:val="0C0C0C" w:themeColor="text1"/>
          <w:u w:val="single"/>
          <w:lang w:eastAsia="es-ES" w:bidi="es-ES"/>
        </w:rPr>
        <w:t>02</w:t>
      </w:r>
      <w:r w:rsidRPr="00380BE5">
        <w:rPr>
          <w:rFonts w:ascii="Mulish" w:eastAsia="Mulish" w:hAnsi="Mulish" w:cs="Mulish"/>
          <w:color w:val="0C0C0C" w:themeColor="text1"/>
          <w:u w:val="single"/>
          <w:lang w:eastAsia="es-ES" w:bidi="es-ES"/>
        </w:rPr>
        <w:t xml:space="preserve"> de </w:t>
      </w:r>
      <w:r w:rsidR="00C9616E">
        <w:rPr>
          <w:rFonts w:ascii="Mulish" w:eastAsia="Mulish" w:hAnsi="Mulish" w:cs="Mulish"/>
          <w:color w:val="0C0C0C" w:themeColor="text1"/>
          <w:u w:val="single"/>
          <w:lang w:eastAsia="es-ES" w:bidi="es-ES"/>
        </w:rPr>
        <w:t>diciembre</w:t>
      </w:r>
      <w:r w:rsidRPr="00380BE5">
        <w:rPr>
          <w:rFonts w:ascii="Mulish" w:eastAsia="Mulish" w:hAnsi="Mulish" w:cs="Mulish"/>
          <w:color w:val="0C0C0C" w:themeColor="text1"/>
          <w:u w:val="single"/>
          <w:lang w:eastAsia="es-ES" w:bidi="es-ES"/>
        </w:rPr>
        <w:t xml:space="preserve"> de 202</w:t>
      </w:r>
      <w:r w:rsidR="00A666AD" w:rsidRPr="00380BE5">
        <w:rPr>
          <w:rFonts w:ascii="Mulish" w:eastAsia="Mulish" w:hAnsi="Mulish" w:cs="Mulish"/>
          <w:color w:val="0C0C0C" w:themeColor="text1"/>
          <w:u w:val="single"/>
          <w:lang w:eastAsia="es-ES" w:bidi="es-ES"/>
        </w:rPr>
        <w:t>4</w:t>
      </w:r>
      <w:r w:rsidRPr="00380BE5">
        <w:rPr>
          <w:rFonts w:ascii="Mulish" w:eastAsia="Mulish" w:hAnsi="Mulish" w:cs="Mulish"/>
          <w:color w:val="0C0C0C" w:themeColor="text1"/>
          <w:lang w:eastAsia="es-ES" w:bidi="es-ES"/>
        </w:rPr>
        <w:t xml:space="preserve">.- </w:t>
      </w:r>
      <w:r w:rsidR="00A251FA" w:rsidRPr="00380BE5">
        <w:rPr>
          <w:rFonts w:ascii="Mulish" w:eastAsia="Mulish" w:hAnsi="Mulish" w:cs="Mulish"/>
          <w:color w:val="0C0C0C" w:themeColor="text1"/>
          <w:lang w:eastAsia="es-ES" w:bidi="es-ES"/>
        </w:rPr>
        <w:t xml:space="preserve">El Consejo de Transparencia y Buen Gobierno (CTBG) acaba de publicar el informe </w:t>
      </w:r>
      <w:r w:rsidR="00011715" w:rsidRPr="00380BE5">
        <w:rPr>
          <w:rFonts w:ascii="Mulish" w:eastAsia="Mulish" w:hAnsi="Mulish" w:cs="Mulish"/>
          <w:color w:val="0C0C0C" w:themeColor="text1"/>
          <w:lang w:eastAsia="es-ES" w:bidi="es-ES"/>
        </w:rPr>
        <w:t>de revisi</w:t>
      </w:r>
      <w:r w:rsidR="00DC0E41">
        <w:rPr>
          <w:rFonts w:ascii="Mulish" w:eastAsia="Mulish" w:hAnsi="Mulish" w:cs="Mulish"/>
          <w:color w:val="0C0C0C" w:themeColor="text1"/>
          <w:lang w:eastAsia="es-ES" w:bidi="es-ES"/>
        </w:rPr>
        <w:t>ón</w:t>
      </w:r>
      <w:r w:rsidR="00011715" w:rsidRPr="00380BE5">
        <w:rPr>
          <w:rFonts w:ascii="Mulish" w:eastAsia="Mulish" w:hAnsi="Mulish" w:cs="Mulish"/>
          <w:color w:val="0C0C0C" w:themeColor="text1"/>
          <w:lang w:eastAsia="es-ES" w:bidi="es-ES"/>
        </w:rPr>
        <w:t xml:space="preserve"> del cumplimiento de las obligaciones de publicidad activa </w:t>
      </w:r>
      <w:r w:rsidR="004A356B" w:rsidRPr="00380BE5">
        <w:rPr>
          <w:rFonts w:ascii="Mulish" w:eastAsia="Mulish" w:hAnsi="Mulish" w:cs="Mulish"/>
          <w:color w:val="0C0C0C" w:themeColor="text1"/>
          <w:lang w:eastAsia="es-ES" w:bidi="es-ES"/>
        </w:rPr>
        <w:t>de la Administración General del Estado (AGE</w:t>
      </w:r>
      <w:r w:rsidR="00B97C6D">
        <w:rPr>
          <w:rFonts w:ascii="Mulish" w:eastAsia="Mulish" w:hAnsi="Mulish" w:cs="Mulish"/>
          <w:color w:val="0C0C0C" w:themeColor="text1"/>
          <w:lang w:eastAsia="es-ES" w:bidi="es-ES"/>
        </w:rPr>
        <w:t>)</w:t>
      </w:r>
      <w:r w:rsidR="004A356B" w:rsidRPr="00380BE5">
        <w:rPr>
          <w:rFonts w:ascii="Mulish" w:eastAsia="Mulish" w:hAnsi="Mulish" w:cs="Mulish"/>
          <w:color w:val="0C0C0C" w:themeColor="text1"/>
          <w:lang w:eastAsia="es-ES" w:bidi="es-ES"/>
        </w:rPr>
        <w:t xml:space="preserve"> a través de su</w:t>
      </w:r>
      <w:r w:rsidR="00011715" w:rsidRPr="00380BE5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hyperlink r:id="rId8" w:history="1">
        <w:r w:rsidR="00011715" w:rsidRPr="00380BE5">
          <w:rPr>
            <w:rFonts w:ascii="Mulish" w:hAnsi="Mulish"/>
            <w:color w:val="0C0C0C" w:themeColor="text1"/>
            <w:lang w:eastAsia="es-ES" w:bidi="es-ES"/>
          </w:rPr>
          <w:t>Portal de</w:t>
        </w:r>
        <w:r w:rsidR="00C76E55">
          <w:rPr>
            <w:rFonts w:ascii="Mulish" w:hAnsi="Mulish"/>
            <w:color w:val="0C0C0C" w:themeColor="text1"/>
            <w:lang w:eastAsia="es-ES" w:bidi="es-ES"/>
          </w:rPr>
          <w:t xml:space="preserve"> la</w:t>
        </w:r>
        <w:r w:rsidR="00011715" w:rsidRPr="00380BE5">
          <w:rPr>
            <w:rFonts w:ascii="Mulish" w:hAnsi="Mulish"/>
            <w:color w:val="0C0C0C" w:themeColor="text1"/>
            <w:lang w:eastAsia="es-ES" w:bidi="es-ES"/>
          </w:rPr>
          <w:t xml:space="preserve"> Transparencia</w:t>
        </w:r>
      </w:hyperlink>
      <w:r w:rsidR="004A356B" w:rsidRPr="00380BE5">
        <w:rPr>
          <w:rFonts w:ascii="Mulish" w:eastAsia="Mulish" w:hAnsi="Mulish" w:cs="Mulish"/>
          <w:color w:val="0C0C0C" w:themeColor="text1"/>
          <w:lang w:eastAsia="es-ES" w:bidi="es-ES"/>
        </w:rPr>
        <w:t xml:space="preserve">. El informe evidencia que </w:t>
      </w:r>
      <w:r w:rsidR="00AA4A9B" w:rsidRPr="00380BE5">
        <w:rPr>
          <w:rFonts w:ascii="Mulish" w:eastAsia="Mulish" w:hAnsi="Mulish" w:cs="Mulish"/>
          <w:color w:val="0C0C0C" w:themeColor="text1"/>
          <w:lang w:eastAsia="es-ES" w:bidi="es-ES"/>
        </w:rPr>
        <w:t xml:space="preserve">en 2024 </w:t>
      </w:r>
      <w:r w:rsidR="004A356B" w:rsidRPr="00380BE5">
        <w:rPr>
          <w:rFonts w:ascii="Mulish" w:eastAsia="Mulish" w:hAnsi="Mulish" w:cs="Mulish"/>
          <w:color w:val="0C0C0C" w:themeColor="text1"/>
          <w:lang w:eastAsia="es-ES" w:bidi="es-ES"/>
        </w:rPr>
        <w:t xml:space="preserve">el </w:t>
      </w:r>
      <w:r w:rsidR="00AA4A9B" w:rsidRPr="00380BE5">
        <w:rPr>
          <w:rFonts w:ascii="Mulish" w:eastAsia="Mulish" w:hAnsi="Mulish" w:cs="Mulish"/>
          <w:color w:val="0C0C0C" w:themeColor="text1"/>
          <w:lang w:eastAsia="es-ES" w:bidi="es-ES"/>
        </w:rPr>
        <w:t xml:space="preserve">índice de cumplimiento </w:t>
      </w:r>
      <w:r w:rsidR="00380BE5">
        <w:rPr>
          <w:rFonts w:ascii="Mulish" w:eastAsia="Mulish" w:hAnsi="Mulish" w:cs="Mulish"/>
          <w:color w:val="0C0C0C" w:themeColor="text1"/>
          <w:lang w:eastAsia="es-ES" w:bidi="es-ES"/>
        </w:rPr>
        <w:t xml:space="preserve">de la transparencia activa </w:t>
      </w:r>
      <w:r w:rsidR="009733DB" w:rsidRPr="00380BE5">
        <w:rPr>
          <w:rFonts w:ascii="Mulish" w:eastAsia="Mulish" w:hAnsi="Mulish" w:cs="Mulish"/>
          <w:color w:val="0C0C0C" w:themeColor="text1"/>
          <w:lang w:eastAsia="es-ES" w:bidi="es-ES"/>
        </w:rPr>
        <w:t xml:space="preserve">del Portal </w:t>
      </w:r>
      <w:r w:rsidR="00AA4A9B" w:rsidRPr="00380BE5">
        <w:rPr>
          <w:rFonts w:ascii="Mulish" w:eastAsia="Mulish" w:hAnsi="Mulish" w:cs="Mulish"/>
          <w:color w:val="0C0C0C" w:themeColor="text1"/>
          <w:lang w:eastAsia="es-ES" w:bidi="es-ES"/>
        </w:rPr>
        <w:t>se sitúa en el 85,6%, lo que supone una mejora de 4,6</w:t>
      </w:r>
      <w:r w:rsidR="007C2E7A">
        <w:rPr>
          <w:rFonts w:ascii="Mulish" w:eastAsia="Mulish" w:hAnsi="Mulish" w:cs="Mulish"/>
          <w:color w:val="0C0C0C" w:themeColor="text1"/>
          <w:lang w:eastAsia="es-ES" w:bidi="es-ES"/>
        </w:rPr>
        <w:t xml:space="preserve"> puntos porcentuales</w:t>
      </w:r>
      <w:r w:rsidR="00AA4A9B" w:rsidRPr="00380BE5">
        <w:rPr>
          <w:rFonts w:ascii="Mulish" w:eastAsia="Mulish" w:hAnsi="Mulish" w:cs="Mulish"/>
          <w:color w:val="0C0C0C" w:themeColor="text1"/>
          <w:lang w:eastAsia="es-ES" w:bidi="es-ES"/>
        </w:rPr>
        <w:t xml:space="preserve"> respecto a la evaluación realizada el año pasado</w:t>
      </w:r>
      <w:r w:rsidR="00EB6CDC">
        <w:rPr>
          <w:rFonts w:ascii="Mulish" w:eastAsia="Mulish" w:hAnsi="Mulish" w:cs="Mulish"/>
          <w:color w:val="0C0C0C" w:themeColor="text1"/>
          <w:lang w:eastAsia="es-ES" w:bidi="es-ES"/>
        </w:rPr>
        <w:t xml:space="preserve">. </w:t>
      </w:r>
      <w:r w:rsidR="00AA4A9B" w:rsidRPr="00380BE5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</w:p>
    <w:p w14:paraId="1EBD07A1" w14:textId="54DA725F" w:rsidR="00144F49" w:rsidRDefault="00144F49" w:rsidP="00A251FA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6BEB997D" w14:textId="6756FE8E" w:rsidR="00144F49" w:rsidRDefault="00144F49" w:rsidP="00144F49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 w:rsidRPr="00380BE5">
        <w:rPr>
          <w:rFonts w:ascii="Mulish" w:eastAsia="Mulish" w:hAnsi="Mulish" w:cs="Mulish"/>
          <w:color w:val="0C0C0C" w:themeColor="text1"/>
          <w:lang w:eastAsia="es-ES" w:bidi="es-ES"/>
        </w:rPr>
        <w:t xml:space="preserve">Esta mejoría 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en el Índice de Cumplimiento de la Información Obligatoria </w:t>
      </w:r>
      <w:r w:rsidRPr="00380BE5">
        <w:rPr>
          <w:rFonts w:ascii="Mulish" w:eastAsia="Mulish" w:hAnsi="Mulish" w:cs="Mulish"/>
          <w:color w:val="0C0C0C" w:themeColor="text1"/>
          <w:lang w:eastAsia="es-ES" w:bidi="es-ES"/>
        </w:rPr>
        <w:t xml:space="preserve">se produce después de que el Portal de </w:t>
      </w:r>
      <w:r w:rsidR="00C76E55">
        <w:rPr>
          <w:rFonts w:ascii="Mulish" w:eastAsia="Mulish" w:hAnsi="Mulish" w:cs="Mulish"/>
          <w:color w:val="0C0C0C" w:themeColor="text1"/>
          <w:lang w:eastAsia="es-ES" w:bidi="es-ES"/>
        </w:rPr>
        <w:t xml:space="preserve">la </w:t>
      </w:r>
      <w:r w:rsidRPr="00380BE5">
        <w:rPr>
          <w:rFonts w:ascii="Mulish" w:eastAsia="Mulish" w:hAnsi="Mulish" w:cs="Mulish"/>
          <w:color w:val="0C0C0C" w:themeColor="text1"/>
          <w:lang w:eastAsia="es-ES" w:bidi="es-ES"/>
        </w:rPr>
        <w:t>Transparencia, que depende del Ministerio para la Transformación Digital y de la Función Pública a través de la Dirección General de Gobernanza Pública</w:t>
      </w:r>
      <w:r w:rsidR="00576D32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576D32" w:rsidRPr="00576D32">
        <w:rPr>
          <w:rFonts w:ascii="Mulish" w:eastAsia="Mulish" w:hAnsi="Mulish" w:cs="Mulish"/>
          <w:color w:val="0C0C0C" w:themeColor="text1"/>
          <w:lang w:eastAsia="es-ES" w:bidi="es-ES"/>
        </w:rPr>
        <w:t>(Secretaría de Estado de Función Pública)</w:t>
      </w:r>
      <w:r w:rsidRPr="00380BE5">
        <w:rPr>
          <w:rFonts w:ascii="Mulish" w:eastAsia="Mulish" w:hAnsi="Mulish" w:cs="Mulish"/>
          <w:color w:val="0C0C0C" w:themeColor="text1"/>
          <w:lang w:eastAsia="es-ES" w:bidi="es-ES"/>
        </w:rPr>
        <w:t xml:space="preserve">, haya aplicado la mitad de las recomendaciones que le hizo el Consejo de Transparencia en su evaluación de 2023. 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</w:p>
    <w:p w14:paraId="61FA2AA1" w14:textId="554251E8" w:rsidR="009733DB" w:rsidRPr="00380BE5" w:rsidRDefault="009733DB" w:rsidP="00A251FA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359E5AFD" w14:textId="4D84E7B6" w:rsidR="009733DB" w:rsidRPr="00380BE5" w:rsidRDefault="00380BE5" w:rsidP="009733DB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 w:rsidRPr="00B97C6D">
        <w:rPr>
          <w:rFonts w:ascii="Mulish" w:eastAsia="Mulish" w:hAnsi="Mulish" w:cs="Mulish"/>
          <w:color w:val="0C0C0C" w:themeColor="text1"/>
          <w:lang w:eastAsia="es-ES" w:bidi="es-ES"/>
        </w:rPr>
        <w:t>E</w:t>
      </w:r>
      <w:r w:rsidR="00144F49" w:rsidRPr="00B97C6D">
        <w:rPr>
          <w:rFonts w:ascii="Mulish" w:eastAsia="Mulish" w:hAnsi="Mulish" w:cs="Mulish"/>
          <w:color w:val="0C0C0C" w:themeColor="text1"/>
          <w:lang w:eastAsia="es-ES" w:bidi="es-ES"/>
        </w:rPr>
        <w:t>n su labor de evaluación</w:t>
      </w:r>
      <w:r w:rsidR="00B97C6D">
        <w:rPr>
          <w:rFonts w:ascii="Mulish" w:eastAsia="Mulish" w:hAnsi="Mulish" w:cs="Mulish"/>
          <w:color w:val="0C0C0C" w:themeColor="text1"/>
          <w:lang w:eastAsia="es-ES" w:bidi="es-ES"/>
        </w:rPr>
        <w:t>,</w:t>
      </w:r>
      <w:r w:rsidR="00144F49" w:rsidRPr="00B97C6D">
        <w:rPr>
          <w:rFonts w:ascii="Mulish" w:eastAsia="Mulish" w:hAnsi="Mulish" w:cs="Mulish"/>
          <w:color w:val="0C0C0C" w:themeColor="text1"/>
          <w:lang w:eastAsia="es-ES" w:bidi="es-ES"/>
        </w:rPr>
        <w:t xml:space="preserve"> e</w:t>
      </w:r>
      <w:r w:rsidRPr="00B97C6D">
        <w:rPr>
          <w:rFonts w:ascii="Mulish" w:eastAsia="Mulish" w:hAnsi="Mulish" w:cs="Mulish"/>
          <w:color w:val="0C0C0C" w:themeColor="text1"/>
          <w:lang w:eastAsia="es-ES" w:bidi="es-ES"/>
        </w:rPr>
        <w:t>l Consejo</w:t>
      </w:r>
      <w:r w:rsidR="003250CD">
        <w:rPr>
          <w:rFonts w:ascii="Mulish" w:eastAsia="Mulish" w:hAnsi="Mulish" w:cs="Mulish"/>
          <w:color w:val="0C0C0C" w:themeColor="text1"/>
          <w:lang w:eastAsia="es-ES" w:bidi="es-ES"/>
        </w:rPr>
        <w:t>, autoridad administrativa independiente encargada de velar por la transparencia y el acceso a la información pública en España,</w:t>
      </w:r>
      <w:r w:rsidRPr="00B97C6D">
        <w:rPr>
          <w:rFonts w:ascii="Mulish" w:eastAsia="Mulish" w:hAnsi="Mulish" w:cs="Mulish"/>
          <w:color w:val="0C0C0C" w:themeColor="text1"/>
          <w:lang w:eastAsia="es-ES" w:bidi="es-ES"/>
        </w:rPr>
        <w:t xml:space="preserve"> realiza una exhaustiva revisión de los contenidos publicados en el Portal de </w:t>
      </w:r>
      <w:r w:rsidR="00C76E55">
        <w:rPr>
          <w:rFonts w:ascii="Mulish" w:eastAsia="Mulish" w:hAnsi="Mulish" w:cs="Mulish"/>
          <w:color w:val="0C0C0C" w:themeColor="text1"/>
          <w:lang w:eastAsia="es-ES" w:bidi="es-ES"/>
        </w:rPr>
        <w:t xml:space="preserve">la </w:t>
      </w:r>
      <w:r w:rsidRPr="00B97C6D">
        <w:rPr>
          <w:rFonts w:ascii="Mulish" w:eastAsia="Mulish" w:hAnsi="Mulish" w:cs="Mulish"/>
          <w:color w:val="0C0C0C" w:themeColor="text1"/>
          <w:lang w:eastAsia="es-ES" w:bidi="es-ES"/>
        </w:rPr>
        <w:t xml:space="preserve">Transparencia </w:t>
      </w:r>
      <w:r w:rsidR="003250CD">
        <w:rPr>
          <w:rFonts w:ascii="Mulish" w:eastAsia="Mulish" w:hAnsi="Mulish" w:cs="Mulish"/>
          <w:color w:val="0C0C0C" w:themeColor="text1"/>
          <w:lang w:eastAsia="es-ES" w:bidi="es-ES"/>
        </w:rPr>
        <w:t xml:space="preserve">al objeto de </w:t>
      </w:r>
      <w:r w:rsidRPr="00B97C6D">
        <w:rPr>
          <w:rFonts w:ascii="Mulish" w:eastAsia="Mulish" w:hAnsi="Mulish" w:cs="Mulish"/>
          <w:color w:val="0C0C0C" w:themeColor="text1"/>
          <w:lang w:eastAsia="es-ES" w:bidi="es-ES"/>
        </w:rPr>
        <w:t xml:space="preserve">verificar que todos los ministerios </w:t>
      </w:r>
      <w:r w:rsidR="00DC0E41">
        <w:rPr>
          <w:rFonts w:ascii="Mulish" w:eastAsia="Mulish" w:hAnsi="Mulish" w:cs="Mulish"/>
          <w:color w:val="0C0C0C" w:themeColor="text1"/>
          <w:lang w:eastAsia="es-ES" w:bidi="es-ES"/>
        </w:rPr>
        <w:t xml:space="preserve">cumplen con sus obligaciones de publicidad activa, es decir, que </w:t>
      </w:r>
      <w:r w:rsidRPr="00B97C6D">
        <w:rPr>
          <w:rFonts w:ascii="Mulish" w:eastAsia="Mulish" w:hAnsi="Mulish" w:cs="Mulish"/>
          <w:color w:val="0C0C0C" w:themeColor="text1"/>
          <w:lang w:eastAsia="es-ES" w:bidi="es-ES"/>
        </w:rPr>
        <w:t xml:space="preserve">publican la información relevante para fiscalizar su gestión a la que están obligados por la Ley </w:t>
      </w:r>
      <w:r w:rsidR="009733DB" w:rsidRPr="00380BE5">
        <w:rPr>
          <w:rFonts w:ascii="Mulish" w:eastAsia="Mulish" w:hAnsi="Mulish" w:cs="Mulish"/>
          <w:color w:val="0C0C0C" w:themeColor="text1"/>
          <w:lang w:eastAsia="es-ES" w:bidi="es-ES"/>
        </w:rPr>
        <w:t>19/2013, de 9 de diciembre, de transparencia, acceso a la información pública y buen gobierno (LTAIBG)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. </w:t>
      </w:r>
    </w:p>
    <w:p w14:paraId="69532054" w14:textId="77777777" w:rsidR="00DC0E41" w:rsidRDefault="00DC0E41" w:rsidP="00380BE5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4B0AFB3E" w14:textId="74C76581" w:rsidR="00380BE5" w:rsidRDefault="00380BE5" w:rsidP="00380BE5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 w:rsidRPr="00A251FA">
        <w:rPr>
          <w:rFonts w:ascii="Mulish" w:eastAsia="Mulish" w:hAnsi="Mulish" w:cs="Mulish"/>
          <w:color w:val="0C0C0C" w:themeColor="text1"/>
          <w:lang w:eastAsia="es-ES" w:bidi="es-ES"/>
        </w:rPr>
        <w:lastRenderedPageBreak/>
        <w:t xml:space="preserve">Para </w:t>
      </w:r>
      <w:r>
        <w:rPr>
          <w:rFonts w:ascii="Mulish" w:eastAsia="Mulish" w:hAnsi="Mulish" w:cs="Mulish"/>
          <w:color w:val="0C0C0C" w:themeColor="text1"/>
          <w:lang w:eastAsia="es-ES" w:bidi="es-ES"/>
        </w:rPr>
        <w:t>obtener</w:t>
      </w:r>
      <w:r w:rsidRPr="00A251FA">
        <w:rPr>
          <w:rFonts w:ascii="Mulish" w:eastAsia="Mulish" w:hAnsi="Mulish" w:cs="Mulish"/>
          <w:color w:val="0C0C0C" w:themeColor="text1"/>
          <w:lang w:eastAsia="es-ES" w:bidi="es-ES"/>
        </w:rPr>
        <w:t xml:space="preserve"> e</w:t>
      </w:r>
      <w:r>
        <w:rPr>
          <w:rFonts w:ascii="Mulish" w:eastAsia="Mulish" w:hAnsi="Mulish" w:cs="Mulish"/>
          <w:color w:val="0C0C0C" w:themeColor="text1"/>
          <w:lang w:eastAsia="es-ES" w:bidi="es-ES"/>
        </w:rPr>
        <w:t>l</w:t>
      </w:r>
      <w:r w:rsidRPr="00A251FA">
        <w:rPr>
          <w:rFonts w:ascii="Mulish" w:eastAsia="Mulish" w:hAnsi="Mulish" w:cs="Mulish"/>
          <w:color w:val="0C0C0C" w:themeColor="text1"/>
          <w:lang w:eastAsia="es-ES" w:bidi="es-ES"/>
        </w:rPr>
        <w:t xml:space="preserve"> dato 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del </w:t>
      </w:r>
      <w:r w:rsidR="00DC0E41">
        <w:rPr>
          <w:rFonts w:ascii="Mulish" w:eastAsia="Mulish" w:hAnsi="Mulish" w:cs="Mulish"/>
          <w:color w:val="0C0C0C" w:themeColor="text1"/>
          <w:lang w:eastAsia="es-ES" w:bidi="es-ES"/>
        </w:rPr>
        <w:t>Índice de Cumplimiento de la Información Obligatoria (ICIO)</w:t>
      </w:r>
      <w:r w:rsidRPr="00A251FA">
        <w:rPr>
          <w:rFonts w:ascii="Mulish" w:eastAsia="Mulish" w:hAnsi="Mulish" w:cs="Mulish"/>
          <w:color w:val="0C0C0C" w:themeColor="text1"/>
          <w:lang w:eastAsia="es-ES" w:bidi="es-ES"/>
        </w:rPr>
        <w:t xml:space="preserve">, el Consejo </w:t>
      </w:r>
      <w:r w:rsidR="00170A27">
        <w:rPr>
          <w:rFonts w:ascii="Mulish" w:eastAsia="Mulish" w:hAnsi="Mulish" w:cs="Mulish"/>
          <w:color w:val="0C0C0C" w:themeColor="text1"/>
          <w:lang w:eastAsia="es-ES" w:bidi="es-ES"/>
        </w:rPr>
        <w:t>revisa</w:t>
      </w:r>
      <w:r w:rsidRPr="00A251FA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952890">
        <w:rPr>
          <w:rFonts w:ascii="Mulish" w:eastAsia="Mulish" w:hAnsi="Mulish" w:cs="Mulish"/>
          <w:color w:val="0C0C0C" w:themeColor="text1"/>
          <w:lang w:eastAsia="es-ES" w:bidi="es-ES"/>
        </w:rPr>
        <w:t xml:space="preserve">no sólo </w:t>
      </w:r>
      <w:r w:rsidRPr="00A251FA">
        <w:rPr>
          <w:rFonts w:ascii="Mulish" w:eastAsia="Mulish" w:hAnsi="Mulish" w:cs="Mulish"/>
          <w:color w:val="0C0C0C" w:themeColor="text1"/>
          <w:lang w:eastAsia="es-ES" w:bidi="es-ES"/>
        </w:rPr>
        <w:t xml:space="preserve">si 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el Portal de </w:t>
      </w:r>
      <w:r w:rsidR="00C76E55">
        <w:rPr>
          <w:rFonts w:ascii="Mulish" w:eastAsia="Mulish" w:hAnsi="Mulish" w:cs="Mulish"/>
          <w:color w:val="0C0C0C" w:themeColor="text1"/>
          <w:lang w:eastAsia="es-ES" w:bidi="es-ES"/>
        </w:rPr>
        <w:t xml:space="preserve">la 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Transparencia </w:t>
      </w:r>
      <w:r w:rsidRPr="00A251FA">
        <w:rPr>
          <w:rFonts w:ascii="Mulish" w:eastAsia="Mulish" w:hAnsi="Mulish" w:cs="Mulish"/>
          <w:color w:val="0C0C0C" w:themeColor="text1"/>
          <w:lang w:eastAsia="es-ES" w:bidi="es-ES"/>
        </w:rPr>
        <w:t>publica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Pr="00A251FA">
        <w:rPr>
          <w:rFonts w:ascii="Mulish" w:eastAsia="Mulish" w:hAnsi="Mulish" w:cs="Mulish"/>
          <w:color w:val="0C0C0C" w:themeColor="text1"/>
          <w:lang w:eastAsia="es-ES" w:bidi="es-ES"/>
        </w:rPr>
        <w:t>o no</w:t>
      </w:r>
      <w:r w:rsidR="00EB6CDC">
        <w:rPr>
          <w:rFonts w:ascii="Mulish" w:eastAsia="Mulish" w:hAnsi="Mulish" w:cs="Mulish"/>
          <w:color w:val="0C0C0C" w:themeColor="text1"/>
          <w:lang w:eastAsia="es-ES" w:bidi="es-ES"/>
        </w:rPr>
        <w:t xml:space="preserve"> la información obligatoria</w:t>
      </w:r>
      <w:r w:rsidR="00952890">
        <w:rPr>
          <w:rFonts w:ascii="Mulish" w:eastAsia="Mulish" w:hAnsi="Mulish" w:cs="Mulish"/>
          <w:color w:val="0C0C0C" w:themeColor="text1"/>
          <w:lang w:eastAsia="es-ES" w:bidi="es-ES"/>
        </w:rPr>
        <w:t xml:space="preserve">, sino también </w:t>
      </w:r>
      <w:r w:rsidRPr="00A251FA">
        <w:rPr>
          <w:rFonts w:ascii="Mulish" w:eastAsia="Mulish" w:hAnsi="Mulish" w:cs="Mulish"/>
          <w:color w:val="0C0C0C" w:themeColor="text1"/>
          <w:lang w:eastAsia="es-ES" w:bidi="es-ES"/>
        </w:rPr>
        <w:t xml:space="preserve">si lo hace </w:t>
      </w:r>
      <w:r>
        <w:rPr>
          <w:rFonts w:ascii="Mulish" w:eastAsia="Mulish" w:hAnsi="Mulish" w:cs="Mulish"/>
          <w:color w:val="0C0C0C" w:themeColor="text1"/>
          <w:lang w:eastAsia="es-ES" w:bidi="es-ES"/>
        </w:rPr>
        <w:t>adecuadamente</w:t>
      </w:r>
      <w:r w:rsidRPr="00A251FA">
        <w:rPr>
          <w:rFonts w:ascii="Mulish" w:eastAsia="Mulish" w:hAnsi="Mulish" w:cs="Mulish"/>
          <w:color w:val="0C0C0C" w:themeColor="text1"/>
          <w:lang w:eastAsia="es-ES" w:bidi="es-ES"/>
        </w:rPr>
        <w:t xml:space="preserve"> (con suficiente grado de actualización, 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accesibilidad, </w:t>
      </w:r>
      <w:r w:rsidRPr="00A251FA">
        <w:rPr>
          <w:rFonts w:ascii="Mulish" w:eastAsia="Mulish" w:hAnsi="Mulish" w:cs="Mulish"/>
          <w:color w:val="0C0C0C" w:themeColor="text1"/>
          <w:lang w:eastAsia="es-ES" w:bidi="es-ES"/>
        </w:rPr>
        <w:t>en formatos reutilizables, etc.).</w:t>
      </w:r>
    </w:p>
    <w:p w14:paraId="587D82C2" w14:textId="77777777" w:rsidR="00D5417D" w:rsidRDefault="00D5417D" w:rsidP="006778A7">
      <w:pPr>
        <w:spacing w:after="0"/>
        <w:jc w:val="both"/>
        <w:rPr>
          <w:rFonts w:ascii="Mulish" w:eastAsia="Mulish" w:hAnsi="Mulish" w:cs="Mulish"/>
          <w:b/>
          <w:bCs/>
          <w:color w:val="00806F" w:themeColor="text2"/>
          <w:lang w:eastAsia="es-ES" w:bidi="es-ES"/>
        </w:rPr>
      </w:pPr>
    </w:p>
    <w:p w14:paraId="5833714E" w14:textId="77777777" w:rsidR="00D5417D" w:rsidRDefault="00D5417D" w:rsidP="006778A7">
      <w:pPr>
        <w:spacing w:after="0"/>
        <w:jc w:val="both"/>
        <w:rPr>
          <w:rFonts w:ascii="Mulish" w:eastAsia="Mulish" w:hAnsi="Mulish" w:cs="Mulish"/>
          <w:b/>
          <w:bCs/>
          <w:color w:val="00806F" w:themeColor="text2"/>
          <w:lang w:eastAsia="es-ES" w:bidi="es-ES"/>
        </w:rPr>
      </w:pPr>
    </w:p>
    <w:p w14:paraId="1E6019A4" w14:textId="0DD90933" w:rsidR="006778A7" w:rsidRPr="00B97C6D" w:rsidRDefault="006778A7" w:rsidP="006778A7">
      <w:pPr>
        <w:spacing w:after="0"/>
        <w:jc w:val="both"/>
        <w:rPr>
          <w:rFonts w:ascii="Mulish" w:eastAsia="Mulish" w:hAnsi="Mulish" w:cs="Mulish"/>
          <w:b/>
          <w:bCs/>
          <w:color w:val="00806F" w:themeColor="text2"/>
          <w:lang w:eastAsia="es-ES" w:bidi="es-ES"/>
        </w:rPr>
      </w:pPr>
      <w:r w:rsidRPr="00B97C6D">
        <w:rPr>
          <w:rFonts w:ascii="Mulish" w:eastAsia="Mulish" w:hAnsi="Mulish" w:cs="Mulish"/>
          <w:b/>
          <w:bCs/>
          <w:color w:val="00806F" w:themeColor="text2"/>
          <w:lang w:eastAsia="es-ES" w:bidi="es-ES"/>
        </w:rPr>
        <w:t>Grado de cumplimiento de las obligaciones de publicidad activa (en porcentaje)</w:t>
      </w:r>
      <w:r>
        <w:rPr>
          <w:rFonts w:ascii="Mulish" w:eastAsia="Mulish" w:hAnsi="Mulish" w:cs="Mulish"/>
          <w:b/>
          <w:bCs/>
          <w:color w:val="00806F" w:themeColor="text2"/>
          <w:lang w:eastAsia="es-ES" w:bidi="es-ES"/>
        </w:rPr>
        <w:t xml:space="preserve"> del Portal de </w:t>
      </w:r>
      <w:r w:rsidR="00C76E55">
        <w:rPr>
          <w:rFonts w:ascii="Mulish" w:eastAsia="Mulish" w:hAnsi="Mulish" w:cs="Mulish"/>
          <w:b/>
          <w:bCs/>
          <w:color w:val="00806F" w:themeColor="text2"/>
          <w:lang w:eastAsia="es-ES" w:bidi="es-ES"/>
        </w:rPr>
        <w:t xml:space="preserve">la </w:t>
      </w:r>
      <w:r>
        <w:rPr>
          <w:rFonts w:ascii="Mulish" w:eastAsia="Mulish" w:hAnsi="Mulish" w:cs="Mulish"/>
          <w:b/>
          <w:bCs/>
          <w:color w:val="00806F" w:themeColor="text2"/>
          <w:lang w:eastAsia="es-ES" w:bidi="es-ES"/>
        </w:rPr>
        <w:t xml:space="preserve">Transparencia de la AGE </w:t>
      </w:r>
    </w:p>
    <w:p w14:paraId="67C45C80" w14:textId="77777777" w:rsidR="006778A7" w:rsidRDefault="006778A7" w:rsidP="006778A7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604"/>
        <w:gridCol w:w="604"/>
        <w:gridCol w:w="605"/>
        <w:gridCol w:w="605"/>
        <w:gridCol w:w="605"/>
        <w:gridCol w:w="605"/>
        <w:gridCol w:w="605"/>
        <w:gridCol w:w="599"/>
      </w:tblGrid>
      <w:tr w:rsidR="006778A7" w:rsidRPr="00794850" w14:paraId="3022199D" w14:textId="77777777" w:rsidTr="00C2370D">
        <w:trPr>
          <w:trHeight w:val="1245"/>
        </w:trPr>
        <w:tc>
          <w:tcPr>
            <w:tcW w:w="173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C8378"/>
            <w:noWrap/>
            <w:vAlign w:val="center"/>
            <w:hideMark/>
          </w:tcPr>
          <w:p w14:paraId="731D95FB" w14:textId="77777777" w:rsidR="006778A7" w:rsidRPr="00B86292" w:rsidRDefault="006778A7" w:rsidP="00C2370D">
            <w:pPr>
              <w:rPr>
                <w:rFonts w:ascii="Mulish" w:eastAsia="Times New Roman" w:hAnsi="Mulish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BLOQUE DE INFORMACIÓN 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C8378"/>
            <w:noWrap/>
            <w:textDirection w:val="btLr"/>
            <w:vAlign w:val="center"/>
            <w:hideMark/>
          </w:tcPr>
          <w:p w14:paraId="510FA536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C8378"/>
            <w:noWrap/>
            <w:textDirection w:val="btLr"/>
            <w:vAlign w:val="center"/>
            <w:hideMark/>
          </w:tcPr>
          <w:p w14:paraId="6041D92A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C8378"/>
            <w:noWrap/>
            <w:textDirection w:val="btLr"/>
            <w:vAlign w:val="center"/>
            <w:hideMark/>
          </w:tcPr>
          <w:p w14:paraId="59350436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C8378"/>
            <w:noWrap/>
            <w:textDirection w:val="btLr"/>
            <w:vAlign w:val="center"/>
            <w:hideMark/>
          </w:tcPr>
          <w:p w14:paraId="61EF714B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C8378"/>
            <w:noWrap/>
            <w:textDirection w:val="btLr"/>
            <w:vAlign w:val="center"/>
            <w:hideMark/>
          </w:tcPr>
          <w:p w14:paraId="39DA36BE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C8378"/>
            <w:noWrap/>
            <w:textDirection w:val="btLr"/>
            <w:vAlign w:val="center"/>
            <w:hideMark/>
          </w:tcPr>
          <w:p w14:paraId="0372F177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C8378"/>
            <w:noWrap/>
            <w:textDirection w:val="btLr"/>
            <w:vAlign w:val="center"/>
            <w:hideMark/>
          </w:tcPr>
          <w:p w14:paraId="6BA61EEC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3C8378"/>
            <w:noWrap/>
            <w:textDirection w:val="btLr"/>
            <w:vAlign w:val="center"/>
            <w:hideMark/>
          </w:tcPr>
          <w:p w14:paraId="5EFD2284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6778A7" w:rsidRPr="00794850" w14:paraId="583BDA4F" w14:textId="77777777" w:rsidTr="00C2370D">
        <w:trPr>
          <w:trHeight w:val="330"/>
        </w:trPr>
        <w:tc>
          <w:tcPr>
            <w:tcW w:w="1739" w:type="pct"/>
            <w:tcBorders>
              <w:top w:val="single" w:sz="12" w:space="0" w:color="FFFFFF" w:themeColor="background1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3C8378"/>
            <w:noWrap/>
            <w:vAlign w:val="center"/>
            <w:hideMark/>
          </w:tcPr>
          <w:p w14:paraId="273D78F3" w14:textId="77777777" w:rsidR="006778A7" w:rsidRPr="00B86292" w:rsidRDefault="006778A7" w:rsidP="00C2370D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7C55BEBE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87,7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00836F45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94,2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4D506170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94,2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1FB6E872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94,2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47002BCA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94,2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6C9CBE12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94,2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5434A2A3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94,2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025028DA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93,3</w:t>
            </w:r>
          </w:p>
        </w:tc>
      </w:tr>
      <w:tr w:rsidR="006778A7" w:rsidRPr="00794850" w14:paraId="7D460E19" w14:textId="77777777" w:rsidTr="00C2370D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3C8378"/>
            <w:noWrap/>
            <w:vAlign w:val="center"/>
            <w:hideMark/>
          </w:tcPr>
          <w:p w14:paraId="0B32DB80" w14:textId="77777777" w:rsidR="006778A7" w:rsidRPr="00B86292" w:rsidRDefault="006778A7" w:rsidP="00C2370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391B7CF7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34,1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6E95E3CC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31,3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075101AC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31,3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49B9E100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31,3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7AF99BB5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31,3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54D75F5F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31,3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657299A6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31,3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787D62D9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31,7</w:t>
            </w:r>
          </w:p>
        </w:tc>
      </w:tr>
      <w:tr w:rsidR="006778A7" w:rsidRPr="00794850" w14:paraId="58595E26" w14:textId="77777777" w:rsidTr="00C2370D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3C8378"/>
            <w:noWrap/>
            <w:vAlign w:val="center"/>
            <w:hideMark/>
          </w:tcPr>
          <w:p w14:paraId="0397CB3F" w14:textId="77777777" w:rsidR="006778A7" w:rsidRPr="00B86292" w:rsidRDefault="006778A7" w:rsidP="00C2370D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715CF498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96,1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16205AB7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86,6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7244DCBE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96,1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56D5630D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86,6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5345D7A4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96,1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396E9A53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96,1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632343A2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96,1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5AE683C1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93,4</w:t>
            </w:r>
          </w:p>
        </w:tc>
      </w:tr>
      <w:tr w:rsidR="006778A7" w:rsidRPr="00794850" w14:paraId="47AB43F0" w14:textId="77777777" w:rsidTr="00C2370D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3C8378"/>
            <w:noWrap/>
            <w:vAlign w:val="center"/>
            <w:hideMark/>
          </w:tcPr>
          <w:p w14:paraId="777DCC3D" w14:textId="77777777" w:rsidR="006778A7" w:rsidRPr="00B86292" w:rsidRDefault="006778A7" w:rsidP="00C2370D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30114AB4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226BAFB0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183FB3AE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5EDCCB4A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576FAEBF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728FBF8F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0FB4B98D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233F1F94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6778A7" w:rsidRPr="00794850" w14:paraId="4CF8D405" w14:textId="77777777" w:rsidTr="00C2370D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3C8378"/>
            <w:noWrap/>
            <w:vAlign w:val="center"/>
            <w:hideMark/>
          </w:tcPr>
          <w:p w14:paraId="105A197E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6B90BF4D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b/>
                <w:bCs/>
                <w:color w:val="000000"/>
                <w:sz w:val="16"/>
                <w:szCs w:val="16"/>
                <w:lang w:eastAsia="es-ES"/>
              </w:rPr>
              <w:t>85,6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2B07E695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b/>
                <w:bCs/>
                <w:color w:val="000000"/>
                <w:sz w:val="16"/>
                <w:szCs w:val="16"/>
                <w:lang w:eastAsia="es-ES"/>
              </w:rPr>
              <w:t>81,5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6925B479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b/>
                <w:bCs/>
                <w:color w:val="000000"/>
                <w:sz w:val="16"/>
                <w:szCs w:val="16"/>
                <w:lang w:eastAsia="es-ES"/>
              </w:rPr>
              <w:t>86,9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668977B2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b/>
                <w:bCs/>
                <w:color w:val="000000"/>
                <w:sz w:val="16"/>
                <w:szCs w:val="16"/>
                <w:lang w:eastAsia="es-ES"/>
              </w:rPr>
              <w:t>81,5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42C1DD87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b/>
                <w:bCs/>
                <w:color w:val="000000"/>
                <w:sz w:val="16"/>
                <w:szCs w:val="16"/>
                <w:lang w:eastAsia="es-ES"/>
              </w:rPr>
              <w:t>86,9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225C532B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b/>
                <w:bCs/>
                <w:color w:val="000000"/>
                <w:sz w:val="16"/>
                <w:szCs w:val="16"/>
                <w:lang w:eastAsia="es-ES"/>
              </w:rPr>
              <w:t>86,9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4AEF6B44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b/>
                <w:bCs/>
                <w:color w:val="000000"/>
                <w:sz w:val="16"/>
                <w:szCs w:val="16"/>
                <w:lang w:eastAsia="es-ES"/>
              </w:rPr>
              <w:t>86,9</w:t>
            </w:r>
          </w:p>
        </w:tc>
        <w:tc>
          <w:tcPr>
            <w:tcW w:w="40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8D8D8"/>
            <w:noWrap/>
            <w:vAlign w:val="center"/>
            <w:hideMark/>
          </w:tcPr>
          <w:p w14:paraId="5DF2F6F4" w14:textId="77777777" w:rsidR="006778A7" w:rsidRPr="00B86292" w:rsidRDefault="006778A7" w:rsidP="00C2370D">
            <w:pPr>
              <w:jc w:val="center"/>
              <w:rPr>
                <w:rFonts w:ascii="Mulish" w:eastAsia="Times New Roman" w:hAnsi="Mulish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86292">
              <w:rPr>
                <w:rFonts w:ascii="Mulish" w:eastAsia="Times New Roman" w:hAnsi="Mulish" w:cs="Calibri"/>
                <w:b/>
                <w:bCs/>
                <w:color w:val="000000"/>
                <w:sz w:val="16"/>
                <w:szCs w:val="16"/>
                <w:lang w:eastAsia="es-ES"/>
              </w:rPr>
              <w:t>85,6</w:t>
            </w:r>
          </w:p>
        </w:tc>
      </w:tr>
    </w:tbl>
    <w:p w14:paraId="6BB874A7" w14:textId="77777777" w:rsidR="006778A7" w:rsidRDefault="006778A7" w:rsidP="00380BE5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70B9AFE3" w14:textId="1E45E63B" w:rsidR="00EB6CDC" w:rsidRDefault="00380BE5" w:rsidP="00380BE5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Los factores que explican que el ICIO obtenido </w:t>
      </w:r>
      <w:r w:rsidR="00B97C6D">
        <w:rPr>
          <w:rFonts w:ascii="Mulish" w:eastAsia="Mulish" w:hAnsi="Mulish" w:cs="Mulish"/>
          <w:color w:val="0C0C0C" w:themeColor="text1"/>
          <w:lang w:eastAsia="es-ES" w:bidi="es-ES"/>
        </w:rPr>
        <w:t xml:space="preserve">por el Portal </w:t>
      </w:r>
      <w:r>
        <w:rPr>
          <w:rFonts w:ascii="Mulish" w:eastAsia="Mulish" w:hAnsi="Mulish" w:cs="Mulish"/>
          <w:color w:val="0C0C0C" w:themeColor="text1"/>
          <w:lang w:eastAsia="es-ES" w:bidi="es-ES"/>
        </w:rPr>
        <w:t>no alcance el 100% son</w:t>
      </w:r>
      <w:r w:rsidR="00E82BF6">
        <w:rPr>
          <w:rFonts w:ascii="Mulish" w:eastAsia="Mulish" w:hAnsi="Mulish" w:cs="Mulish"/>
          <w:color w:val="0C0C0C" w:themeColor="text1"/>
          <w:lang w:eastAsia="es-ES" w:bidi="es-ES"/>
        </w:rPr>
        <w:t>, por una parte,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la </w:t>
      </w:r>
      <w:r w:rsidRPr="000A4F42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falta de publicación de informaciones obligatoria</w:t>
      </w:r>
      <w:r w:rsidR="00E82BF6" w:rsidRPr="000A4F42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s</w:t>
      </w:r>
      <w:r w:rsidR="00E82BF6">
        <w:rPr>
          <w:rFonts w:ascii="Mulish" w:eastAsia="Mulish" w:hAnsi="Mulish" w:cs="Mulish"/>
          <w:color w:val="0C0C0C" w:themeColor="text1"/>
          <w:lang w:eastAsia="es-ES" w:bidi="es-ES"/>
        </w:rPr>
        <w:t xml:space="preserve">: 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no se publica información o los contenidos publicados no se corresponden con la obligación </w:t>
      </w:r>
      <w:r w:rsidR="00E82BF6">
        <w:rPr>
          <w:rFonts w:ascii="Mulish" w:eastAsia="Mulish" w:hAnsi="Mulish" w:cs="Mulish"/>
          <w:color w:val="0C0C0C" w:themeColor="text1"/>
          <w:lang w:eastAsia="es-ES" w:bidi="es-ES"/>
        </w:rPr>
        <w:t xml:space="preserve">legal </w:t>
      </w:r>
      <w:r w:rsidRPr="000A4F42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en un 14,4% de los casos</w:t>
      </w:r>
      <w:r w:rsidR="00E82BF6">
        <w:rPr>
          <w:rFonts w:ascii="Mulish" w:eastAsia="Mulish" w:hAnsi="Mulish" w:cs="Mulish"/>
          <w:color w:val="0C0C0C" w:themeColor="text1"/>
          <w:lang w:eastAsia="es-ES" w:bidi="es-ES"/>
        </w:rPr>
        <w:t xml:space="preserve"> (si bien hay que destacar que esta proporción </w:t>
      </w:r>
      <w:r w:rsidR="002D3A62">
        <w:rPr>
          <w:rFonts w:ascii="Mulish" w:eastAsia="Mulish" w:hAnsi="Mulish" w:cs="Mulish"/>
          <w:color w:val="0C0C0C" w:themeColor="text1"/>
          <w:lang w:eastAsia="es-ES" w:bidi="es-ES"/>
        </w:rPr>
        <w:t xml:space="preserve">de contenidos no publicados </w:t>
      </w:r>
      <w:r w:rsidR="00E82BF6">
        <w:rPr>
          <w:rFonts w:ascii="Mulish" w:eastAsia="Mulish" w:hAnsi="Mulish" w:cs="Mulish"/>
          <w:color w:val="0C0C0C" w:themeColor="text1"/>
          <w:lang w:eastAsia="es-ES" w:bidi="es-ES"/>
        </w:rPr>
        <w:t xml:space="preserve">ha disminuido el 28,7% respecto a 2023). Por otra parte, </w:t>
      </w:r>
      <w:r w:rsidR="002D3A62">
        <w:rPr>
          <w:rFonts w:ascii="Mulish" w:eastAsia="Mulish" w:hAnsi="Mulish" w:cs="Mulish"/>
          <w:color w:val="0C0C0C" w:themeColor="text1"/>
          <w:lang w:eastAsia="es-ES" w:bidi="es-ES"/>
        </w:rPr>
        <w:t xml:space="preserve">es frecuente </w:t>
      </w:r>
      <w:r w:rsidR="00170A27">
        <w:rPr>
          <w:rFonts w:ascii="Mulish" w:eastAsia="Mulish" w:hAnsi="Mulish" w:cs="Mulish"/>
          <w:color w:val="0C0C0C" w:themeColor="text1"/>
          <w:lang w:eastAsia="es-ES" w:bidi="es-ES"/>
        </w:rPr>
        <w:t>que se recurra en el Portal</w:t>
      </w:r>
      <w:r w:rsidR="002D3A62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E82BF6">
        <w:rPr>
          <w:rFonts w:ascii="Mulish" w:eastAsia="Mulish" w:hAnsi="Mulish" w:cs="Mulish"/>
          <w:color w:val="0C0C0C" w:themeColor="text1"/>
          <w:lang w:eastAsia="es-ES" w:bidi="es-ES"/>
        </w:rPr>
        <w:t xml:space="preserve">a </w:t>
      </w:r>
      <w:r w:rsidR="00E82BF6" w:rsidRPr="000A4F42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fuentes centralizadas</w:t>
      </w:r>
      <w:r w:rsidR="00E82BF6">
        <w:rPr>
          <w:rFonts w:ascii="Mulish" w:eastAsia="Mulish" w:hAnsi="Mulish" w:cs="Mulish"/>
          <w:color w:val="0C0C0C" w:themeColor="text1"/>
          <w:lang w:eastAsia="es-ES" w:bidi="es-ES"/>
        </w:rPr>
        <w:t xml:space="preserve"> para la publicación</w:t>
      </w:r>
      <w:r w:rsidR="002D3A62">
        <w:rPr>
          <w:rFonts w:ascii="Mulish" w:eastAsia="Mulish" w:hAnsi="Mulish" w:cs="Mulish"/>
          <w:color w:val="0C0C0C" w:themeColor="text1"/>
          <w:lang w:eastAsia="es-ES" w:bidi="es-ES"/>
        </w:rPr>
        <w:t xml:space="preserve"> de determinada </w:t>
      </w:r>
      <w:r w:rsidR="00170A27">
        <w:rPr>
          <w:rFonts w:ascii="Mulish" w:eastAsia="Mulish" w:hAnsi="Mulish" w:cs="Mulish"/>
          <w:color w:val="0C0C0C" w:themeColor="text1"/>
          <w:lang w:eastAsia="es-ES" w:bidi="es-ES"/>
        </w:rPr>
        <w:t>documentación</w:t>
      </w:r>
      <w:r w:rsidR="00E82BF6">
        <w:rPr>
          <w:rFonts w:ascii="Mulish" w:eastAsia="Mulish" w:hAnsi="Mulish" w:cs="Mulish"/>
          <w:color w:val="0C0C0C" w:themeColor="text1"/>
          <w:lang w:eastAsia="es-ES" w:bidi="es-ES"/>
        </w:rPr>
        <w:t xml:space="preserve">, como </w:t>
      </w:r>
      <w:r w:rsidR="00E82BF6" w:rsidRPr="00AA0900">
        <w:rPr>
          <w:rFonts w:ascii="Mulish" w:eastAsia="Mulish" w:hAnsi="Mulish" w:cs="Mulish"/>
          <w:color w:val="0C0C0C" w:themeColor="text1"/>
          <w:lang w:eastAsia="es-ES" w:bidi="es-ES"/>
        </w:rPr>
        <w:t xml:space="preserve">la Plataforma de Contratación del Sector Público o la Base de Datos Nacional de Subvenciones, </w:t>
      </w:r>
      <w:r w:rsidR="00E82BF6" w:rsidRPr="00EB6CDC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lo que limita la accesibilidad a la</w:t>
      </w:r>
      <w:r w:rsidR="002D3A62" w:rsidRPr="00EB6CDC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 xml:space="preserve"> </w:t>
      </w:r>
      <w:r w:rsidR="00170A27" w:rsidRPr="00EB6CDC">
        <w:rPr>
          <w:rFonts w:ascii="Mulish" w:eastAsia="Mulish" w:hAnsi="Mulish" w:cs="Mulish"/>
          <w:b/>
          <w:bCs/>
          <w:color w:val="0C0C0C" w:themeColor="text1"/>
          <w:lang w:eastAsia="es-ES" w:bidi="es-ES"/>
        </w:rPr>
        <w:t>información</w:t>
      </w:r>
      <w:r w:rsidR="002D3A62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E82BF6" w:rsidRPr="00AA0900">
        <w:rPr>
          <w:rFonts w:ascii="Mulish" w:eastAsia="Mulish" w:hAnsi="Mulish" w:cs="Mulish"/>
          <w:color w:val="0C0C0C" w:themeColor="text1"/>
          <w:lang w:eastAsia="es-ES" w:bidi="es-ES"/>
        </w:rPr>
        <w:t>a las personas no familiarizadas con estas complejas herramientas de búsqueda.</w:t>
      </w:r>
      <w:r w:rsidR="00EB6CDC">
        <w:rPr>
          <w:rFonts w:ascii="Mulish" w:eastAsia="Mulish" w:hAnsi="Mulish" w:cs="Mulish"/>
          <w:color w:val="0C0C0C" w:themeColor="text1"/>
          <w:lang w:eastAsia="es-ES" w:bidi="es-ES"/>
        </w:rPr>
        <w:t xml:space="preserve"> También hay que tener en cuenta que el índice de cumplimiento de la publicación del bloque de información de relevancia jurídica ha sido peor que en </w:t>
      </w:r>
      <w:r w:rsidR="00BD1A28">
        <w:rPr>
          <w:rFonts w:ascii="Mulish" w:eastAsia="Mulish" w:hAnsi="Mulish" w:cs="Mulish"/>
          <w:color w:val="0C0C0C" w:themeColor="text1"/>
          <w:lang w:eastAsia="es-ES" w:bidi="es-ES"/>
        </w:rPr>
        <w:t xml:space="preserve">la evaluación de </w:t>
      </w:r>
      <w:r w:rsidR="00EB6CDC">
        <w:rPr>
          <w:rFonts w:ascii="Mulish" w:eastAsia="Mulish" w:hAnsi="Mulish" w:cs="Mulish"/>
          <w:color w:val="0C0C0C" w:themeColor="text1"/>
          <w:lang w:eastAsia="es-ES" w:bidi="es-ES"/>
        </w:rPr>
        <w:t>2023</w:t>
      </w:r>
      <w:r w:rsidR="004B3E4B">
        <w:rPr>
          <w:rFonts w:ascii="Mulish" w:eastAsia="Mulish" w:hAnsi="Mulish" w:cs="Mulish"/>
          <w:color w:val="0C0C0C" w:themeColor="text1"/>
          <w:lang w:eastAsia="es-ES" w:bidi="es-ES"/>
        </w:rPr>
        <w:t>.</w:t>
      </w:r>
    </w:p>
    <w:p w14:paraId="2BFF573E" w14:textId="7DC2B7DE" w:rsidR="00DC0E41" w:rsidRDefault="00DC0E41" w:rsidP="00380BE5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36BF3304" w14:textId="5704A2D9" w:rsidR="006778A7" w:rsidRDefault="00DC0E41" w:rsidP="006778A7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 w:rsidRPr="00C76E55">
        <w:rPr>
          <w:rFonts w:ascii="Mulish" w:eastAsia="Mulish" w:hAnsi="Mulish" w:cs="Mulish"/>
          <w:color w:val="0C0C0C" w:themeColor="text1"/>
          <w:lang w:eastAsia="es-ES" w:bidi="es-ES"/>
        </w:rPr>
        <w:t xml:space="preserve">El nivel de cumplimiento de las obligaciones en el Portal difiere </w:t>
      </w:r>
      <w:r w:rsidR="00BD1A28" w:rsidRPr="00C76E55">
        <w:rPr>
          <w:rFonts w:ascii="Mulish" w:eastAsia="Mulish" w:hAnsi="Mulish" w:cs="Mulish"/>
          <w:color w:val="0C0C0C" w:themeColor="text1"/>
          <w:lang w:eastAsia="es-ES" w:bidi="es-ES"/>
        </w:rPr>
        <w:t>si se analiza la información de cada uno de</w:t>
      </w:r>
      <w:r w:rsidR="00046F96" w:rsidRPr="00C76E55">
        <w:rPr>
          <w:rFonts w:ascii="Mulish" w:eastAsia="Mulish" w:hAnsi="Mulish" w:cs="Mulish"/>
          <w:color w:val="0C0C0C" w:themeColor="text1"/>
          <w:lang w:eastAsia="es-ES" w:bidi="es-ES"/>
        </w:rPr>
        <w:t xml:space="preserve"> los 22</w:t>
      </w:r>
      <w:r w:rsidRPr="00C76E55">
        <w:rPr>
          <w:rFonts w:ascii="Mulish" w:eastAsia="Mulish" w:hAnsi="Mulish" w:cs="Mulish"/>
          <w:color w:val="0C0C0C" w:themeColor="text1"/>
          <w:lang w:eastAsia="es-ES" w:bidi="es-ES"/>
        </w:rPr>
        <w:t xml:space="preserve"> departamentos ministeriales, oscilando entre el </w:t>
      </w:r>
      <w:r w:rsidR="007C2E7A" w:rsidRPr="00C76E55">
        <w:rPr>
          <w:rFonts w:ascii="Mulish" w:eastAsia="Mulish" w:hAnsi="Mulish" w:cs="Mulish"/>
          <w:color w:val="0C0C0C" w:themeColor="text1"/>
          <w:lang w:eastAsia="es-ES" w:bidi="es-ES"/>
        </w:rPr>
        <w:t>72%</w:t>
      </w:r>
      <w:r w:rsidRPr="00C76E55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BD1A28" w:rsidRPr="00C76E55">
        <w:rPr>
          <w:rFonts w:ascii="Mulish" w:eastAsia="Mulish" w:hAnsi="Mulish" w:cs="Mulish"/>
          <w:color w:val="0C0C0C" w:themeColor="text1"/>
          <w:lang w:eastAsia="es-ES" w:bidi="es-ES"/>
        </w:rPr>
        <w:t xml:space="preserve">de cumplimiento </w:t>
      </w:r>
      <w:r w:rsidRPr="00C76E55">
        <w:rPr>
          <w:rFonts w:ascii="Mulish" w:eastAsia="Mulish" w:hAnsi="Mulish" w:cs="Mulish"/>
          <w:color w:val="0C0C0C" w:themeColor="text1"/>
          <w:lang w:eastAsia="es-ES" w:bidi="es-ES"/>
        </w:rPr>
        <w:t xml:space="preserve">que </w:t>
      </w:r>
      <w:r w:rsidR="00BD1A28" w:rsidRPr="00C76E55">
        <w:rPr>
          <w:rFonts w:ascii="Mulish" w:eastAsia="Mulish" w:hAnsi="Mulish" w:cs="Mulish"/>
          <w:color w:val="0C0C0C" w:themeColor="text1"/>
          <w:lang w:eastAsia="es-ES" w:bidi="es-ES"/>
        </w:rPr>
        <w:t>obtienen</w:t>
      </w:r>
      <w:r w:rsidRPr="00C76E55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BD1A28" w:rsidRPr="00C76E55">
        <w:rPr>
          <w:rFonts w:ascii="Mulish" w:eastAsia="Mulish" w:hAnsi="Mulish" w:cs="Mulish"/>
          <w:color w:val="0C0C0C" w:themeColor="text1"/>
          <w:lang w:eastAsia="es-ES" w:bidi="es-ES"/>
        </w:rPr>
        <w:t>el</w:t>
      </w:r>
      <w:r w:rsidRPr="00C76E55">
        <w:rPr>
          <w:rFonts w:ascii="Mulish" w:eastAsia="Mulish" w:hAnsi="Mulish" w:cs="Mulish"/>
          <w:color w:val="0C0C0C" w:themeColor="text1"/>
          <w:lang w:eastAsia="es-ES" w:bidi="es-ES"/>
        </w:rPr>
        <w:t xml:space="preserve"> Ministerio</w:t>
      </w:r>
      <w:r w:rsidR="007C2E7A" w:rsidRPr="00C76E55">
        <w:rPr>
          <w:rFonts w:ascii="Mulish" w:eastAsia="Mulish" w:hAnsi="Mulish" w:cs="Mulish"/>
          <w:color w:val="0C0C0C" w:themeColor="text1"/>
          <w:lang w:eastAsia="es-ES" w:bidi="es-ES"/>
        </w:rPr>
        <w:t xml:space="preserve"> de Vivienda y Agenda Urbana y </w:t>
      </w:r>
      <w:r w:rsidR="00BD1A28" w:rsidRPr="00C76E55">
        <w:rPr>
          <w:rFonts w:ascii="Mulish" w:eastAsia="Mulish" w:hAnsi="Mulish" w:cs="Mulish"/>
          <w:color w:val="0C0C0C" w:themeColor="text1"/>
          <w:lang w:eastAsia="es-ES" w:bidi="es-ES"/>
        </w:rPr>
        <w:t xml:space="preserve">el </w:t>
      </w:r>
      <w:r w:rsidR="007C2E7A" w:rsidRPr="00C76E55">
        <w:rPr>
          <w:rFonts w:ascii="Mulish" w:eastAsia="Mulish" w:hAnsi="Mulish" w:cs="Mulish"/>
          <w:color w:val="0C0C0C" w:themeColor="text1"/>
          <w:lang w:eastAsia="es-ES" w:bidi="es-ES"/>
        </w:rPr>
        <w:t xml:space="preserve">de Asuntos Exteriores, Unión Europea y Cooperación </w:t>
      </w:r>
      <w:r w:rsidRPr="00C76E55">
        <w:rPr>
          <w:rFonts w:ascii="Mulish" w:eastAsia="Mulish" w:hAnsi="Mulish" w:cs="Mulish"/>
          <w:color w:val="0C0C0C" w:themeColor="text1"/>
          <w:lang w:eastAsia="es-ES" w:bidi="es-ES"/>
        </w:rPr>
        <w:t xml:space="preserve">y el </w:t>
      </w:r>
      <w:r w:rsidR="007C2E7A" w:rsidRPr="00C76E55">
        <w:rPr>
          <w:rFonts w:ascii="Mulish" w:eastAsia="Mulish" w:hAnsi="Mulish" w:cs="Mulish"/>
          <w:color w:val="0C0C0C" w:themeColor="text1"/>
          <w:lang w:eastAsia="es-ES" w:bidi="es-ES"/>
        </w:rPr>
        <w:t>83,</w:t>
      </w:r>
      <w:r w:rsidR="00C9616E" w:rsidRPr="00C76E55">
        <w:rPr>
          <w:rFonts w:ascii="Mulish" w:eastAsia="Mulish" w:hAnsi="Mulish" w:cs="Mulish"/>
          <w:color w:val="0C0C0C" w:themeColor="text1"/>
          <w:lang w:eastAsia="es-ES" w:bidi="es-ES"/>
        </w:rPr>
        <w:t>6</w:t>
      </w:r>
      <w:r w:rsidR="007C2E7A" w:rsidRPr="00C76E55">
        <w:rPr>
          <w:rFonts w:ascii="Mulish" w:eastAsia="Mulish" w:hAnsi="Mulish" w:cs="Mulish"/>
          <w:color w:val="0C0C0C" w:themeColor="text1"/>
          <w:lang w:eastAsia="es-ES" w:bidi="es-ES"/>
        </w:rPr>
        <w:t>%</w:t>
      </w:r>
      <w:r w:rsidRPr="00C76E55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="00BD1A28" w:rsidRPr="00C76E55">
        <w:rPr>
          <w:rFonts w:ascii="Mulish" w:eastAsia="Mulish" w:hAnsi="Mulish" w:cs="Mulish"/>
          <w:color w:val="0C0C0C" w:themeColor="text1"/>
          <w:lang w:eastAsia="es-ES" w:bidi="es-ES"/>
        </w:rPr>
        <w:t xml:space="preserve">alcanzado por </w:t>
      </w:r>
      <w:r w:rsidRPr="00C76E55">
        <w:rPr>
          <w:rFonts w:ascii="Mulish" w:eastAsia="Mulish" w:hAnsi="Mulish" w:cs="Mulish"/>
          <w:color w:val="0C0C0C" w:themeColor="text1"/>
          <w:lang w:eastAsia="es-ES" w:bidi="es-ES"/>
        </w:rPr>
        <w:t xml:space="preserve">el Ministerio </w:t>
      </w:r>
      <w:r w:rsidR="007C2E7A" w:rsidRPr="00C76E55">
        <w:rPr>
          <w:rFonts w:ascii="Mulish" w:eastAsia="Mulish" w:hAnsi="Mulish" w:cs="Mulish"/>
          <w:color w:val="0C0C0C" w:themeColor="text1"/>
          <w:lang w:eastAsia="es-ES" w:bidi="es-ES"/>
        </w:rPr>
        <w:t>de Trasformación Digital y de la Función Pública</w:t>
      </w:r>
      <w:r w:rsidR="00BD1A28" w:rsidRPr="00C76E55">
        <w:rPr>
          <w:rFonts w:ascii="Mulish" w:eastAsia="Mulish" w:hAnsi="Mulish" w:cs="Mulish"/>
          <w:color w:val="0C0C0C" w:themeColor="text1"/>
          <w:lang w:eastAsia="es-ES" w:bidi="es-ES"/>
        </w:rPr>
        <w:t>,</w:t>
      </w:r>
      <w:r w:rsidRPr="00C76E55">
        <w:rPr>
          <w:rFonts w:ascii="Mulish" w:eastAsia="Mulish" w:hAnsi="Mulish" w:cs="Mulish"/>
          <w:color w:val="0C0C0C" w:themeColor="text1"/>
          <w:lang w:eastAsia="es-ES" w:bidi="es-ES"/>
        </w:rPr>
        <w:t xml:space="preserve"> que es el que obtiene en 2024 mejor evaluación</w:t>
      </w:r>
      <w:r w:rsidR="007C2E7A" w:rsidRPr="00C76E55">
        <w:rPr>
          <w:rFonts w:ascii="Mulish" w:eastAsia="Mulish" w:hAnsi="Mulish" w:cs="Mulish"/>
          <w:color w:val="0C0C0C" w:themeColor="text1"/>
          <w:lang w:eastAsia="es-ES" w:bidi="es-ES"/>
        </w:rPr>
        <w:t>, seguido del Ministerio de Cultura (con un ICIO del 83,1%).</w:t>
      </w:r>
      <w:r w:rsidR="007C2E7A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</w:p>
    <w:p w14:paraId="1E54921F" w14:textId="77777777" w:rsidR="006778A7" w:rsidRDefault="006778A7" w:rsidP="006778A7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11320269" w14:textId="2FC9501D" w:rsidR="006778A7" w:rsidRDefault="006778A7" w:rsidP="006778A7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 w:rsidRPr="006778A7">
        <w:rPr>
          <w:rFonts w:ascii="Mulish" w:eastAsia="Mulish" w:hAnsi="Mulish" w:cs="Mulish"/>
          <w:color w:val="0C0C0C" w:themeColor="text1"/>
          <w:lang w:eastAsia="es-ES" w:bidi="es-ES"/>
        </w:rPr>
        <w:lastRenderedPageBreak/>
        <w:t>Los Índices de Cumplimiento de la Información Obligatoria</w:t>
      </w:r>
      <w:r w:rsidR="00D5417D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Pr="006778A7">
        <w:rPr>
          <w:rFonts w:ascii="Mulish" w:eastAsia="Mulish" w:hAnsi="Mulish" w:cs="Mulish"/>
          <w:color w:val="0C0C0C" w:themeColor="text1"/>
          <w:lang w:eastAsia="es-ES" w:bidi="es-ES"/>
        </w:rPr>
        <w:t xml:space="preserve">correspondientes a los distintos Ministerios a partir de los contenidos que publican en el Portal de </w:t>
      </w:r>
      <w:r w:rsidR="00C76E55">
        <w:rPr>
          <w:rFonts w:ascii="Mulish" w:eastAsia="Mulish" w:hAnsi="Mulish" w:cs="Mulish"/>
          <w:color w:val="0C0C0C" w:themeColor="text1"/>
          <w:lang w:eastAsia="es-ES" w:bidi="es-ES"/>
        </w:rPr>
        <w:t xml:space="preserve">la </w:t>
      </w:r>
      <w:r w:rsidRPr="006778A7">
        <w:rPr>
          <w:rFonts w:ascii="Mulish" w:eastAsia="Mulish" w:hAnsi="Mulish" w:cs="Mulish"/>
          <w:color w:val="0C0C0C" w:themeColor="text1"/>
          <w:lang w:eastAsia="es-ES" w:bidi="es-ES"/>
        </w:rPr>
        <w:t>Transparencia de la AGE se muestran en la siguiente tabla.</w:t>
      </w:r>
    </w:p>
    <w:p w14:paraId="24EAE140" w14:textId="61D012E3" w:rsidR="00D5417D" w:rsidRDefault="00D5417D" w:rsidP="006778A7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1FEB35C8" w14:textId="03B662C5" w:rsidR="00D5417D" w:rsidRDefault="00D5417D" w:rsidP="006778A7">
      <w:pPr>
        <w:spacing w:after="0"/>
        <w:jc w:val="both"/>
        <w:rPr>
          <w:rFonts w:ascii="Mulish" w:eastAsia="Mulish" w:hAnsi="Mulish" w:cs="Mulish"/>
          <w:b/>
          <w:bCs/>
          <w:color w:val="00806F" w:themeColor="text2"/>
          <w:lang w:eastAsia="es-ES" w:bidi="es-ES"/>
        </w:rPr>
      </w:pPr>
      <w:r>
        <w:rPr>
          <w:rFonts w:ascii="Mulish" w:eastAsia="Mulish" w:hAnsi="Mulish" w:cs="Mulish"/>
          <w:b/>
          <w:bCs/>
          <w:color w:val="00806F" w:themeColor="text2"/>
          <w:lang w:eastAsia="es-ES" w:bidi="es-ES"/>
        </w:rPr>
        <w:t xml:space="preserve">Grado de cumplimiento de las obligaciones de publicidad activa por cada Ministerio dentro del Portal de </w:t>
      </w:r>
      <w:r w:rsidR="00C76E55">
        <w:rPr>
          <w:rFonts w:ascii="Mulish" w:eastAsia="Mulish" w:hAnsi="Mulish" w:cs="Mulish"/>
          <w:b/>
          <w:bCs/>
          <w:color w:val="00806F" w:themeColor="text2"/>
          <w:lang w:eastAsia="es-ES" w:bidi="es-ES"/>
        </w:rPr>
        <w:t xml:space="preserve">la </w:t>
      </w:r>
      <w:r>
        <w:rPr>
          <w:rFonts w:ascii="Mulish" w:eastAsia="Mulish" w:hAnsi="Mulish" w:cs="Mulish"/>
          <w:b/>
          <w:bCs/>
          <w:color w:val="00806F" w:themeColor="text2"/>
          <w:lang w:eastAsia="es-ES" w:bidi="es-ES"/>
        </w:rPr>
        <w:t xml:space="preserve">Transparencia de la AGE </w:t>
      </w:r>
    </w:p>
    <w:p w14:paraId="01DC3255" w14:textId="77777777" w:rsidR="00D5417D" w:rsidRDefault="00D5417D" w:rsidP="006778A7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tbl>
      <w:tblPr>
        <w:tblStyle w:val="Sombreadomedio2-nfasis3"/>
        <w:tblW w:w="7797" w:type="dxa"/>
        <w:jc w:val="center"/>
        <w:tblLook w:val="04A0" w:firstRow="1" w:lastRow="0" w:firstColumn="1" w:lastColumn="0" w:noHBand="0" w:noVBand="1"/>
      </w:tblPr>
      <w:tblGrid>
        <w:gridCol w:w="6379"/>
        <w:gridCol w:w="1418"/>
      </w:tblGrid>
      <w:tr w:rsidR="00D5417D" w:rsidRPr="00B86292" w14:paraId="2BE46CA3" w14:textId="77777777" w:rsidTr="00C23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79" w:type="dxa"/>
            <w:tcBorders>
              <w:bottom w:val="single" w:sz="4" w:space="0" w:color="FFFFFF" w:themeColor="background1"/>
            </w:tcBorders>
            <w:shd w:val="clear" w:color="auto" w:fill="3C8378"/>
            <w:noWrap/>
          </w:tcPr>
          <w:p w14:paraId="367A4488" w14:textId="77777777" w:rsidR="00D5417D" w:rsidRPr="00B86292" w:rsidRDefault="00D5417D" w:rsidP="00C2370D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shd w:val="clear" w:color="auto" w:fill="3C8378"/>
            <w:noWrap/>
          </w:tcPr>
          <w:p w14:paraId="0BA3F46B" w14:textId="77777777" w:rsidR="00D5417D" w:rsidRPr="00B86292" w:rsidRDefault="00D5417D" w:rsidP="00C2370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D5417D" w:rsidRPr="00B86292" w14:paraId="4F2706AB" w14:textId="77777777" w:rsidTr="00C2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noWrap/>
            <w:hideMark/>
          </w:tcPr>
          <w:p w14:paraId="752872CB" w14:textId="77777777" w:rsidR="00D5417D" w:rsidRPr="00B86292" w:rsidRDefault="00D5417D" w:rsidP="00C2370D">
            <w:pPr>
              <w:rPr>
                <w:rFonts w:ascii="Mulish" w:eastAsia="Times New Roman" w:hAnsi="Mulish" w:cs="Calibri"/>
                <w:b w:val="0"/>
                <w:bCs w:val="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Transformación Digital y de la Función Pública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2BC8BDD3" w14:textId="77777777" w:rsidR="00D5417D" w:rsidRPr="00B86292" w:rsidRDefault="00D5417D" w:rsidP="00C237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83,6</w:t>
            </w:r>
          </w:p>
        </w:tc>
      </w:tr>
      <w:tr w:rsidR="00D5417D" w:rsidRPr="00B86292" w14:paraId="5A3D2A78" w14:textId="77777777" w:rsidTr="00C2370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noWrap/>
            <w:hideMark/>
          </w:tcPr>
          <w:p w14:paraId="27379EBF" w14:textId="77777777" w:rsidR="00D5417D" w:rsidRPr="00B86292" w:rsidRDefault="00D5417D" w:rsidP="00C2370D">
            <w:pPr>
              <w:rPr>
                <w:rFonts w:ascii="Mulish" w:eastAsia="Times New Roman" w:hAnsi="Mulish" w:cs="Calibri"/>
                <w:b w:val="0"/>
                <w:bCs w:val="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Cultura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1BD1C9F3" w14:textId="77777777" w:rsidR="00D5417D" w:rsidRPr="00B86292" w:rsidRDefault="00D5417D" w:rsidP="00C237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83,1</w:t>
            </w:r>
          </w:p>
        </w:tc>
      </w:tr>
      <w:tr w:rsidR="00D5417D" w:rsidRPr="00B86292" w14:paraId="614CF641" w14:textId="77777777" w:rsidTr="00C2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noWrap/>
            <w:hideMark/>
          </w:tcPr>
          <w:p w14:paraId="77932A76" w14:textId="77777777" w:rsidR="00D5417D" w:rsidRPr="00B86292" w:rsidRDefault="00D5417D" w:rsidP="00C2370D">
            <w:pPr>
              <w:rPr>
                <w:rFonts w:ascii="Mulish" w:eastAsia="Times New Roman" w:hAnsi="Mulish" w:cs="Calibri"/>
                <w:i/>
                <w:iCs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Transición Ecológica y el Reto Demográfico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63D0EE25" w14:textId="77777777" w:rsidR="00D5417D" w:rsidRPr="00B86292" w:rsidRDefault="00D5417D" w:rsidP="00C237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82,9</w:t>
            </w:r>
          </w:p>
        </w:tc>
      </w:tr>
      <w:tr w:rsidR="00D5417D" w:rsidRPr="00B86292" w14:paraId="07A68D02" w14:textId="77777777" w:rsidTr="00C2370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noWrap/>
            <w:hideMark/>
          </w:tcPr>
          <w:p w14:paraId="608FFC45" w14:textId="77777777" w:rsidR="00D5417D" w:rsidRPr="00B86292" w:rsidRDefault="00D5417D" w:rsidP="00C2370D">
            <w:pPr>
              <w:rPr>
                <w:rFonts w:ascii="Mulish" w:eastAsia="Times New Roman" w:hAnsi="Mulish" w:cs="Calibri"/>
                <w:b w:val="0"/>
                <w:bCs w:val="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Inclusión, Seguridad Social y Migraciones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0ECDC90C" w14:textId="77777777" w:rsidR="00D5417D" w:rsidRPr="00B86292" w:rsidRDefault="00D5417D" w:rsidP="00C237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82,7</w:t>
            </w:r>
          </w:p>
        </w:tc>
      </w:tr>
      <w:tr w:rsidR="00D5417D" w:rsidRPr="00B86292" w14:paraId="001529E3" w14:textId="77777777" w:rsidTr="00C2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noWrap/>
            <w:hideMark/>
          </w:tcPr>
          <w:p w14:paraId="1B7C2952" w14:textId="77777777" w:rsidR="00D5417D" w:rsidRPr="00B86292" w:rsidRDefault="00D5417D" w:rsidP="00C2370D">
            <w:pPr>
              <w:rPr>
                <w:rFonts w:ascii="Mulish" w:eastAsia="Times New Roman" w:hAnsi="Mulish" w:cs="Calibri"/>
                <w:b w:val="0"/>
                <w:bCs w:val="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 xml:space="preserve">Trabajo y Economía Social 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0549ECFC" w14:textId="77777777" w:rsidR="00D5417D" w:rsidRPr="00B86292" w:rsidRDefault="00D5417D" w:rsidP="00C237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82,5</w:t>
            </w:r>
          </w:p>
        </w:tc>
      </w:tr>
      <w:tr w:rsidR="00D5417D" w:rsidRPr="00B86292" w14:paraId="2A07BF9E" w14:textId="77777777" w:rsidTr="00C2370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noWrap/>
            <w:hideMark/>
          </w:tcPr>
          <w:p w14:paraId="46F48EA1" w14:textId="77777777" w:rsidR="00D5417D" w:rsidRPr="00B86292" w:rsidRDefault="00D5417D" w:rsidP="00C2370D">
            <w:pPr>
              <w:rPr>
                <w:rFonts w:ascii="Mulish" w:eastAsia="Times New Roman" w:hAnsi="Mulish" w:cs="Calibri"/>
                <w:b w:val="0"/>
                <w:bCs w:val="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 xml:space="preserve">Transportes y Movilidad Sostenible 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2F1093ED" w14:textId="77777777" w:rsidR="00D5417D" w:rsidRPr="00B86292" w:rsidRDefault="00D5417D" w:rsidP="00C237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80,8</w:t>
            </w:r>
          </w:p>
        </w:tc>
      </w:tr>
      <w:tr w:rsidR="00D5417D" w:rsidRPr="00B86292" w14:paraId="61D555E4" w14:textId="77777777" w:rsidTr="00C2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noWrap/>
            <w:hideMark/>
          </w:tcPr>
          <w:p w14:paraId="064EE60C" w14:textId="77777777" w:rsidR="00D5417D" w:rsidRPr="00B86292" w:rsidRDefault="00D5417D" w:rsidP="00C2370D">
            <w:pPr>
              <w:rPr>
                <w:rFonts w:ascii="Mulish" w:eastAsia="Times New Roman" w:hAnsi="Mulish" w:cs="Calibri"/>
                <w:b w:val="0"/>
                <w:bCs w:val="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Interior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1BDBFF14" w14:textId="77777777" w:rsidR="00D5417D" w:rsidRPr="00B86292" w:rsidRDefault="00D5417D" w:rsidP="00C237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80,8</w:t>
            </w:r>
          </w:p>
        </w:tc>
      </w:tr>
      <w:tr w:rsidR="00D5417D" w:rsidRPr="00B86292" w14:paraId="0486F8B8" w14:textId="77777777" w:rsidTr="00C2370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noWrap/>
            <w:hideMark/>
          </w:tcPr>
          <w:p w14:paraId="504CEB70" w14:textId="77777777" w:rsidR="00D5417D" w:rsidRPr="00B86292" w:rsidRDefault="00D5417D" w:rsidP="00C2370D">
            <w:pPr>
              <w:rPr>
                <w:rFonts w:ascii="Mulish" w:eastAsia="Times New Roman" w:hAnsi="Mulish" w:cs="Calibri"/>
                <w:b w:val="0"/>
                <w:bCs w:val="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Educación, Formación Profesional y Deporte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31F0F8D6" w14:textId="77777777" w:rsidR="00D5417D" w:rsidRPr="00B86292" w:rsidRDefault="00D5417D" w:rsidP="00C237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80,7</w:t>
            </w:r>
          </w:p>
        </w:tc>
      </w:tr>
      <w:tr w:rsidR="00D5417D" w:rsidRPr="00B86292" w14:paraId="7932481B" w14:textId="77777777" w:rsidTr="00C2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noWrap/>
            <w:hideMark/>
          </w:tcPr>
          <w:p w14:paraId="49006F8E" w14:textId="77777777" w:rsidR="00D5417D" w:rsidRPr="00B86292" w:rsidRDefault="00D5417D" w:rsidP="00C2370D">
            <w:pPr>
              <w:rPr>
                <w:rFonts w:ascii="Mulish" w:eastAsia="Times New Roman" w:hAnsi="Mulish" w:cs="Calibri"/>
                <w:b w:val="0"/>
                <w:bCs w:val="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Derechos Sociales, Consumo y Agenda 2030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30C463B8" w14:textId="77777777" w:rsidR="00D5417D" w:rsidRPr="00B86292" w:rsidRDefault="00D5417D" w:rsidP="00C237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80,5</w:t>
            </w:r>
          </w:p>
        </w:tc>
      </w:tr>
      <w:tr w:rsidR="00D5417D" w:rsidRPr="00B86292" w14:paraId="31995B25" w14:textId="77777777" w:rsidTr="00C2370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noWrap/>
            <w:hideMark/>
          </w:tcPr>
          <w:p w14:paraId="190531D7" w14:textId="77777777" w:rsidR="00D5417D" w:rsidRPr="00B86292" w:rsidRDefault="00D5417D" w:rsidP="00C2370D">
            <w:pPr>
              <w:rPr>
                <w:rFonts w:ascii="Mulish" w:eastAsia="Times New Roman" w:hAnsi="Mulish" w:cs="Calibri"/>
                <w:b w:val="0"/>
                <w:bCs w:val="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Agricultura, Pesca y Alimentación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7755CCA9" w14:textId="77777777" w:rsidR="00D5417D" w:rsidRPr="00B86292" w:rsidRDefault="00D5417D" w:rsidP="00C237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80,3</w:t>
            </w:r>
          </w:p>
        </w:tc>
      </w:tr>
      <w:tr w:rsidR="00D5417D" w:rsidRPr="00B86292" w14:paraId="2CA23E04" w14:textId="77777777" w:rsidTr="00C2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noWrap/>
            <w:hideMark/>
          </w:tcPr>
          <w:p w14:paraId="634A55B5" w14:textId="77777777" w:rsidR="00D5417D" w:rsidRPr="00B86292" w:rsidRDefault="00D5417D" w:rsidP="00C2370D">
            <w:pPr>
              <w:rPr>
                <w:rFonts w:ascii="Mulish" w:eastAsia="Times New Roman" w:hAnsi="Mulish" w:cs="Calibri"/>
                <w:b w:val="0"/>
                <w:bCs w:val="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Ciencia, Innovación y Universidades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35C6F498" w14:textId="77777777" w:rsidR="00D5417D" w:rsidRPr="00B86292" w:rsidRDefault="00D5417D" w:rsidP="00C237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80,1</w:t>
            </w:r>
          </w:p>
        </w:tc>
      </w:tr>
      <w:tr w:rsidR="00D5417D" w:rsidRPr="00B86292" w14:paraId="64A3D9D5" w14:textId="77777777" w:rsidTr="00C2370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noWrap/>
            <w:hideMark/>
          </w:tcPr>
          <w:p w14:paraId="6731EE47" w14:textId="77777777" w:rsidR="00D5417D" w:rsidRPr="00B86292" w:rsidRDefault="00D5417D" w:rsidP="00C2370D">
            <w:pPr>
              <w:rPr>
                <w:rFonts w:ascii="Mulish" w:eastAsia="Times New Roman" w:hAnsi="Mulish" w:cs="Calibri"/>
                <w:b w:val="0"/>
                <w:bCs w:val="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Igualdad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018EF6EF" w14:textId="77777777" w:rsidR="00D5417D" w:rsidRPr="00B86292" w:rsidRDefault="00D5417D" w:rsidP="00C237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79,7</w:t>
            </w:r>
          </w:p>
        </w:tc>
      </w:tr>
      <w:tr w:rsidR="00D5417D" w:rsidRPr="00B86292" w14:paraId="04AC347C" w14:textId="77777777" w:rsidTr="00C2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noWrap/>
            <w:hideMark/>
          </w:tcPr>
          <w:p w14:paraId="7CE8A442" w14:textId="77777777" w:rsidR="00D5417D" w:rsidRPr="00B86292" w:rsidRDefault="00D5417D" w:rsidP="00C2370D">
            <w:pPr>
              <w:rPr>
                <w:rFonts w:ascii="Mulish" w:eastAsia="Times New Roman" w:hAnsi="Mulish" w:cs="Calibri"/>
                <w:b w:val="0"/>
                <w:bCs w:val="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 xml:space="preserve">Industria y Turismo 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03F26227" w14:textId="77777777" w:rsidR="00D5417D" w:rsidRPr="00B86292" w:rsidRDefault="00D5417D" w:rsidP="00C237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79,6</w:t>
            </w:r>
          </w:p>
        </w:tc>
      </w:tr>
      <w:tr w:rsidR="00D5417D" w:rsidRPr="00B86292" w14:paraId="3AF7E7F9" w14:textId="77777777" w:rsidTr="00C2370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noWrap/>
            <w:hideMark/>
          </w:tcPr>
          <w:p w14:paraId="5D662301" w14:textId="77777777" w:rsidR="00D5417D" w:rsidRPr="00B86292" w:rsidRDefault="00D5417D" w:rsidP="00C2370D">
            <w:pPr>
              <w:rPr>
                <w:rFonts w:ascii="Mulish" w:eastAsia="Times New Roman" w:hAnsi="Mulish" w:cs="Calibri"/>
                <w:b w:val="0"/>
                <w:bCs w:val="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Política Territorial y Memoria Democrática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3259D2C7" w14:textId="77777777" w:rsidR="00D5417D" w:rsidRPr="00B86292" w:rsidRDefault="00D5417D" w:rsidP="00C237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78,7</w:t>
            </w:r>
          </w:p>
        </w:tc>
      </w:tr>
      <w:tr w:rsidR="00D5417D" w:rsidRPr="00B86292" w14:paraId="3BFE63F1" w14:textId="77777777" w:rsidTr="00C2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noWrap/>
            <w:hideMark/>
          </w:tcPr>
          <w:p w14:paraId="538B0077" w14:textId="77777777" w:rsidR="00D5417D" w:rsidRPr="00B86292" w:rsidRDefault="00D5417D" w:rsidP="00C2370D">
            <w:pPr>
              <w:rPr>
                <w:rFonts w:ascii="Mulish" w:eastAsia="Times New Roman" w:hAnsi="Mulish" w:cs="Calibri"/>
                <w:b w:val="0"/>
                <w:bCs w:val="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Hacienda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169DBA3D" w14:textId="77777777" w:rsidR="00D5417D" w:rsidRPr="00B86292" w:rsidRDefault="00D5417D" w:rsidP="00C237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78,6</w:t>
            </w:r>
          </w:p>
        </w:tc>
      </w:tr>
      <w:tr w:rsidR="00D5417D" w:rsidRPr="00B86292" w14:paraId="7F5DD45F" w14:textId="77777777" w:rsidTr="00C2370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noWrap/>
            <w:hideMark/>
          </w:tcPr>
          <w:p w14:paraId="294CEDB8" w14:textId="77777777" w:rsidR="00D5417D" w:rsidRPr="00B86292" w:rsidRDefault="00D5417D" w:rsidP="00C2370D">
            <w:pPr>
              <w:rPr>
                <w:rFonts w:ascii="Mulish" w:eastAsia="Times New Roman" w:hAnsi="Mulish" w:cs="Calibri"/>
                <w:b w:val="0"/>
                <w:bCs w:val="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Sanidad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0748652B" w14:textId="77777777" w:rsidR="00D5417D" w:rsidRPr="00B86292" w:rsidRDefault="00D5417D" w:rsidP="00C237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78,6</w:t>
            </w:r>
          </w:p>
        </w:tc>
      </w:tr>
      <w:tr w:rsidR="00D5417D" w:rsidRPr="00B86292" w14:paraId="79089D4B" w14:textId="77777777" w:rsidTr="00C2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noWrap/>
            <w:hideMark/>
          </w:tcPr>
          <w:p w14:paraId="4DA931BA" w14:textId="77777777" w:rsidR="00D5417D" w:rsidRPr="00B86292" w:rsidRDefault="00D5417D" w:rsidP="00C2370D">
            <w:pPr>
              <w:rPr>
                <w:rFonts w:ascii="Mulish" w:eastAsia="Times New Roman" w:hAnsi="Mulish" w:cs="Calibri"/>
                <w:b w:val="0"/>
                <w:bCs w:val="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Defensa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6EE59817" w14:textId="77777777" w:rsidR="00D5417D" w:rsidRPr="00B86292" w:rsidRDefault="00D5417D" w:rsidP="00C237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78,5</w:t>
            </w:r>
          </w:p>
        </w:tc>
      </w:tr>
      <w:tr w:rsidR="00D5417D" w:rsidRPr="00B86292" w14:paraId="55418828" w14:textId="77777777" w:rsidTr="00C2370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noWrap/>
            <w:hideMark/>
          </w:tcPr>
          <w:p w14:paraId="5A8738A9" w14:textId="77777777" w:rsidR="00D5417D" w:rsidRPr="00B86292" w:rsidRDefault="00D5417D" w:rsidP="00C2370D">
            <w:pPr>
              <w:rPr>
                <w:rFonts w:ascii="Mulish" w:eastAsia="Times New Roman" w:hAnsi="Mulish" w:cs="Calibri"/>
                <w:b w:val="0"/>
                <w:bCs w:val="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 xml:space="preserve">Presidencia, Justicia y Relaciones con las Cortes 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10959353" w14:textId="77777777" w:rsidR="00D5417D" w:rsidRPr="00B86292" w:rsidRDefault="00D5417D" w:rsidP="00C237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78,0</w:t>
            </w:r>
          </w:p>
        </w:tc>
      </w:tr>
      <w:tr w:rsidR="00D5417D" w:rsidRPr="00B86292" w14:paraId="169F620E" w14:textId="77777777" w:rsidTr="00C2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noWrap/>
            <w:hideMark/>
          </w:tcPr>
          <w:p w14:paraId="4E11386D" w14:textId="77777777" w:rsidR="00D5417D" w:rsidRPr="00B86292" w:rsidRDefault="00D5417D" w:rsidP="00C2370D">
            <w:pPr>
              <w:rPr>
                <w:rFonts w:ascii="Mulish" w:eastAsia="Times New Roman" w:hAnsi="Mulish" w:cs="Calibri"/>
                <w:b w:val="0"/>
                <w:bCs w:val="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Economía, Comercio y Empresa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05AE9BE5" w14:textId="77777777" w:rsidR="00D5417D" w:rsidRPr="00B86292" w:rsidRDefault="00D5417D" w:rsidP="00C237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77,2</w:t>
            </w:r>
          </w:p>
        </w:tc>
      </w:tr>
      <w:tr w:rsidR="00D5417D" w:rsidRPr="00B86292" w14:paraId="33D49CF2" w14:textId="77777777" w:rsidTr="00C2370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noWrap/>
            <w:hideMark/>
          </w:tcPr>
          <w:p w14:paraId="7B817FF6" w14:textId="77777777" w:rsidR="00D5417D" w:rsidRPr="00B86292" w:rsidRDefault="00D5417D" w:rsidP="00C2370D">
            <w:pPr>
              <w:rPr>
                <w:rFonts w:ascii="Mulish" w:eastAsia="Times New Roman" w:hAnsi="Mulish" w:cs="Calibri"/>
                <w:b w:val="0"/>
                <w:bCs w:val="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Juventud e Infancia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3216E825" w14:textId="77777777" w:rsidR="00D5417D" w:rsidRPr="00B86292" w:rsidRDefault="00D5417D" w:rsidP="00C237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75,7</w:t>
            </w:r>
          </w:p>
        </w:tc>
      </w:tr>
      <w:tr w:rsidR="00D5417D" w:rsidRPr="00B86292" w14:paraId="641091E0" w14:textId="77777777" w:rsidTr="00C23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noWrap/>
            <w:hideMark/>
          </w:tcPr>
          <w:p w14:paraId="7E95D105" w14:textId="77777777" w:rsidR="00D5417D" w:rsidRPr="00B86292" w:rsidRDefault="00D5417D" w:rsidP="00C2370D">
            <w:pPr>
              <w:rPr>
                <w:rFonts w:ascii="Mulish" w:eastAsia="Times New Roman" w:hAnsi="Mulish" w:cs="Calibri"/>
                <w:b w:val="0"/>
                <w:bCs w:val="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Vivienda y Agenda Urbana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5480963D" w14:textId="77777777" w:rsidR="00D5417D" w:rsidRPr="00B86292" w:rsidRDefault="00D5417D" w:rsidP="00C237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72,0</w:t>
            </w:r>
          </w:p>
        </w:tc>
      </w:tr>
      <w:tr w:rsidR="00D5417D" w:rsidRPr="00B86292" w14:paraId="226B22CF" w14:textId="77777777" w:rsidTr="00C2370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noWrap/>
            <w:hideMark/>
          </w:tcPr>
          <w:p w14:paraId="6AB937E8" w14:textId="77777777" w:rsidR="00D5417D" w:rsidRPr="00B86292" w:rsidRDefault="00D5417D" w:rsidP="00C2370D">
            <w:pPr>
              <w:rPr>
                <w:rFonts w:ascii="Mulish" w:eastAsia="Times New Roman" w:hAnsi="Mulish" w:cs="Calibri"/>
                <w:b w:val="0"/>
                <w:bCs w:val="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 xml:space="preserve">Asuntos Exteriores, Unión Europea y Cooperación 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5EA2B0F2" w14:textId="77777777" w:rsidR="00D5417D" w:rsidRPr="00B86292" w:rsidRDefault="00D5417D" w:rsidP="00C237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B86292">
              <w:rPr>
                <w:rFonts w:ascii="Mulish" w:hAnsi="Mulish"/>
                <w:sz w:val="20"/>
                <w:szCs w:val="20"/>
              </w:rPr>
              <w:t>72,0</w:t>
            </w:r>
          </w:p>
        </w:tc>
      </w:tr>
    </w:tbl>
    <w:p w14:paraId="508C6E8F" w14:textId="77777777" w:rsidR="00D5417D" w:rsidRPr="006778A7" w:rsidRDefault="00D5417D" w:rsidP="006778A7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0DB45306" w14:textId="77777777" w:rsidR="00D5417D" w:rsidRDefault="00D5417D" w:rsidP="00BB0598">
      <w:pPr>
        <w:spacing w:after="0"/>
        <w:jc w:val="both"/>
        <w:rPr>
          <w:rFonts w:ascii="Mulish" w:eastAsia="Mulish" w:hAnsi="Mulish" w:cs="Mulish"/>
          <w:b/>
          <w:bCs/>
          <w:color w:val="00806F" w:themeColor="text2"/>
          <w:lang w:eastAsia="es-ES" w:bidi="es-ES"/>
        </w:rPr>
      </w:pPr>
    </w:p>
    <w:p w14:paraId="680A1984" w14:textId="7783933C" w:rsidR="00BB0598" w:rsidRPr="00597D3E" w:rsidRDefault="00D5417D" w:rsidP="00BB0598">
      <w:pPr>
        <w:spacing w:after="0"/>
        <w:jc w:val="both"/>
        <w:rPr>
          <w:rFonts w:ascii="Mulish" w:eastAsia="Mulish" w:hAnsi="Mulish" w:cs="Mulish"/>
          <w:b/>
          <w:bCs/>
          <w:color w:val="0C0C0C" w:themeColor="text1"/>
          <w:lang w:eastAsia="es-ES" w:bidi="es-ES"/>
        </w:rPr>
      </w:pPr>
      <w:r>
        <w:rPr>
          <w:rFonts w:ascii="Mulish" w:eastAsia="Mulish" w:hAnsi="Mulish" w:cs="Mulish"/>
          <w:b/>
          <w:bCs/>
          <w:color w:val="00806F" w:themeColor="text2"/>
          <w:lang w:eastAsia="es-ES" w:bidi="es-ES"/>
        </w:rPr>
        <w:t>¿C</w:t>
      </w:r>
      <w:r w:rsidR="00BB0598" w:rsidRPr="005E34BF">
        <w:rPr>
          <w:rFonts w:ascii="Mulish" w:eastAsia="Mulish" w:hAnsi="Mulish" w:cs="Mulish"/>
          <w:b/>
          <w:bCs/>
          <w:color w:val="00806F" w:themeColor="text2"/>
          <w:lang w:eastAsia="es-ES" w:bidi="es-ES"/>
        </w:rPr>
        <w:t xml:space="preserve">ómo realiza la evaluación el Consejo? </w:t>
      </w:r>
    </w:p>
    <w:p w14:paraId="6681C8C6" w14:textId="05CEC0A7" w:rsidR="00BB0598" w:rsidRDefault="00BB0598" w:rsidP="00BB0598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04D3AAFB" w14:textId="00C39D22" w:rsidR="00EB6CDC" w:rsidRPr="00380BE5" w:rsidRDefault="00EB6CDC" w:rsidP="00EB6CDC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El artículo 9 de la Ley de Transparencia </w:t>
      </w:r>
      <w:r w:rsidRPr="00380BE5">
        <w:rPr>
          <w:rFonts w:ascii="Mulish" w:eastAsia="Mulish" w:hAnsi="Mulish" w:cs="Mulish"/>
          <w:color w:val="0C0C0C" w:themeColor="text1"/>
          <w:lang w:eastAsia="es-ES" w:bidi="es-ES"/>
        </w:rPr>
        <w:t>establece que el cumplimiento por parte de la Administración General del Estado de las obligaciones de publicidad activa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  <w:r w:rsidRPr="00380BE5">
        <w:rPr>
          <w:rFonts w:ascii="Mulish" w:eastAsia="Mulish" w:hAnsi="Mulish" w:cs="Mulish"/>
          <w:color w:val="0C0C0C" w:themeColor="text1"/>
          <w:lang w:eastAsia="es-ES" w:bidi="es-ES"/>
        </w:rPr>
        <w:t xml:space="preserve">será objeto de control por parte del Consejo de Transparencia y Buen Gobierno. 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Por ello, el Consejo evalúa cada año el Portal de </w:t>
      </w:r>
      <w:r w:rsidR="00C76E55">
        <w:rPr>
          <w:rFonts w:ascii="Mulish" w:eastAsia="Mulish" w:hAnsi="Mulish" w:cs="Mulish"/>
          <w:color w:val="0C0C0C" w:themeColor="text1"/>
          <w:lang w:eastAsia="es-ES" w:bidi="es-ES"/>
        </w:rPr>
        <w:t xml:space="preserve">la </w:t>
      </w:r>
      <w:r>
        <w:rPr>
          <w:rFonts w:ascii="Mulish" w:eastAsia="Mulish" w:hAnsi="Mulish" w:cs="Mulish"/>
          <w:color w:val="0C0C0C" w:themeColor="text1"/>
          <w:lang w:eastAsia="es-ES" w:bidi="es-ES"/>
        </w:rPr>
        <w:t>Transparencia de la AGE</w:t>
      </w:r>
      <w:r w:rsidR="00D26B49">
        <w:rPr>
          <w:rFonts w:ascii="Mulish" w:eastAsia="Mulish" w:hAnsi="Mulish" w:cs="Mulish"/>
          <w:color w:val="0C0C0C" w:themeColor="text1"/>
          <w:lang w:eastAsia="es-ES" w:bidi="es-ES"/>
        </w:rPr>
        <w:t>,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 realizando recomendaciones específicas de mejora para subsanar las deficiencias encontradas. </w:t>
      </w:r>
    </w:p>
    <w:p w14:paraId="67C17C8A" w14:textId="77777777" w:rsidR="00EB6CDC" w:rsidRPr="00A251FA" w:rsidRDefault="00EB6CDC" w:rsidP="00BB0598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7B902B8B" w14:textId="6AB0959C" w:rsidR="00BD1A28" w:rsidRDefault="00BB0598" w:rsidP="00BD1A28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  <w:r w:rsidRPr="00A251FA">
        <w:rPr>
          <w:rFonts w:ascii="Mulish" w:eastAsia="Mulish" w:hAnsi="Mulish" w:cs="Mulish"/>
          <w:color w:val="0C0C0C" w:themeColor="text1"/>
          <w:lang w:eastAsia="es-ES" w:bidi="es-ES"/>
        </w:rPr>
        <w:t xml:space="preserve">La evaluación se realiza con recursos propios y utilizando la metodología MESTA, desarrollada por el Consejo y por la extinta Agencia de Evaluación de las Políticas Públicas </w:t>
      </w:r>
      <w:r w:rsidRPr="00C27BA6">
        <w:rPr>
          <w:rFonts w:ascii="Mulish" w:eastAsia="Mulish" w:hAnsi="Mulish" w:cs="Mulish"/>
          <w:color w:val="0C0C0C" w:themeColor="text1"/>
          <w:lang w:eastAsia="es-ES" w:bidi="es-ES"/>
        </w:rPr>
        <w:t xml:space="preserve">y de la Calidad de los Servicios </w:t>
      </w:r>
      <w:r w:rsidRPr="00A251FA">
        <w:rPr>
          <w:rFonts w:ascii="Mulish" w:eastAsia="Mulish" w:hAnsi="Mulish" w:cs="Mulish"/>
          <w:color w:val="0C0C0C" w:themeColor="text1"/>
          <w:lang w:eastAsia="es-ES" w:bidi="es-ES"/>
        </w:rPr>
        <w:t>(AEVAL). El Consejo emite un informe individual en el que recoge recomendaciones concretas que permit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e al Portal </w:t>
      </w:r>
      <w:r w:rsidRPr="00A251FA">
        <w:rPr>
          <w:rFonts w:ascii="Mulish" w:eastAsia="Mulish" w:hAnsi="Mulish" w:cs="Mulish"/>
          <w:color w:val="0C0C0C" w:themeColor="text1"/>
          <w:lang w:eastAsia="es-ES" w:bidi="es-ES"/>
        </w:rPr>
        <w:t xml:space="preserve">mejorar su índice de cumplimiento. 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Este informe, junto a </w:t>
      </w:r>
      <w:r w:rsidRPr="00A251FA">
        <w:rPr>
          <w:rFonts w:ascii="Mulish" w:eastAsia="Mulish" w:hAnsi="Mulish" w:cs="Mulish"/>
          <w:color w:val="0C0C0C" w:themeColor="text1"/>
          <w:lang w:eastAsia="es-ES" w:bidi="es-ES"/>
        </w:rPr>
        <w:t xml:space="preserve">las </w:t>
      </w:r>
      <w:r>
        <w:rPr>
          <w:rFonts w:ascii="Mulish" w:eastAsia="Mulish" w:hAnsi="Mulish" w:cs="Mulish"/>
          <w:color w:val="0C0C0C" w:themeColor="text1"/>
          <w:lang w:eastAsia="es-ES" w:bidi="es-ES"/>
        </w:rPr>
        <w:t>alegaciones</w:t>
      </w:r>
      <w:r w:rsidRPr="00A251FA">
        <w:rPr>
          <w:rFonts w:ascii="Mulish" w:eastAsia="Mulish" w:hAnsi="Mulish" w:cs="Mulish"/>
          <w:color w:val="0C0C0C" w:themeColor="text1"/>
          <w:lang w:eastAsia="es-ES" w:bidi="es-ES"/>
        </w:rPr>
        <w:t xml:space="preserve"> efectuadas por 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los responsables del Portal de </w:t>
      </w:r>
      <w:r w:rsidR="00C76E55">
        <w:rPr>
          <w:rFonts w:ascii="Mulish" w:eastAsia="Mulish" w:hAnsi="Mulish" w:cs="Mulish"/>
          <w:color w:val="0C0C0C" w:themeColor="text1"/>
          <w:lang w:eastAsia="es-ES" w:bidi="es-ES"/>
        </w:rPr>
        <w:t xml:space="preserve">la </w:t>
      </w:r>
      <w:r>
        <w:rPr>
          <w:rFonts w:ascii="Mulish" w:eastAsia="Mulish" w:hAnsi="Mulish" w:cs="Mulish"/>
          <w:color w:val="0C0C0C" w:themeColor="text1"/>
          <w:lang w:eastAsia="es-ES" w:bidi="es-ES"/>
        </w:rPr>
        <w:t xml:space="preserve">Transparencia </w:t>
      </w:r>
      <w:r w:rsidRPr="00A251FA">
        <w:rPr>
          <w:rFonts w:ascii="Mulish" w:eastAsia="Mulish" w:hAnsi="Mulish" w:cs="Mulish"/>
          <w:color w:val="0C0C0C" w:themeColor="text1"/>
          <w:lang w:eastAsia="es-ES" w:bidi="es-ES"/>
        </w:rPr>
        <w:t>a los informes provisionales de evaluación</w:t>
      </w:r>
      <w:r w:rsidR="00EB6CDC">
        <w:rPr>
          <w:rFonts w:ascii="Mulish" w:eastAsia="Mulish" w:hAnsi="Mulish" w:cs="Mulish"/>
          <w:color w:val="0C0C0C" w:themeColor="text1"/>
          <w:lang w:eastAsia="es-ES" w:bidi="es-ES"/>
        </w:rPr>
        <w:t xml:space="preserve"> y la </w:t>
      </w:r>
      <w:r w:rsidR="00576D32">
        <w:rPr>
          <w:rFonts w:ascii="Mulish" w:eastAsia="Mulish" w:hAnsi="Mulish" w:cs="Mulish"/>
          <w:color w:val="0C0C0C" w:themeColor="text1"/>
          <w:lang w:eastAsia="es-ES" w:bidi="es-ES"/>
        </w:rPr>
        <w:t>c</w:t>
      </w:r>
      <w:r w:rsidR="00EB6CDC">
        <w:rPr>
          <w:rFonts w:ascii="Mulish" w:eastAsia="Mulish" w:hAnsi="Mulish" w:cs="Mulish"/>
          <w:color w:val="0C0C0C" w:themeColor="text1"/>
          <w:lang w:eastAsia="es-ES" w:bidi="es-ES"/>
        </w:rPr>
        <w:t>ontestación del Consejo a esas alegaciones</w:t>
      </w:r>
      <w:r w:rsidRPr="00A251FA">
        <w:rPr>
          <w:rFonts w:ascii="Mulish" w:eastAsia="Mulish" w:hAnsi="Mulish" w:cs="Mulish"/>
          <w:color w:val="0C0C0C" w:themeColor="text1"/>
          <w:lang w:eastAsia="es-ES" w:bidi="es-ES"/>
        </w:rPr>
        <w:t>, puede</w:t>
      </w:r>
      <w:r w:rsidR="00576D32">
        <w:rPr>
          <w:rFonts w:ascii="Mulish" w:eastAsia="Mulish" w:hAnsi="Mulish" w:cs="Mulish"/>
          <w:color w:val="0C0C0C" w:themeColor="text1"/>
          <w:lang w:eastAsia="es-ES" w:bidi="es-ES"/>
        </w:rPr>
        <w:t>n</w:t>
      </w:r>
      <w:r w:rsidRPr="00A251FA">
        <w:rPr>
          <w:rFonts w:ascii="Mulish" w:eastAsia="Mulish" w:hAnsi="Mulish" w:cs="Mulish"/>
          <w:color w:val="0C0C0C" w:themeColor="text1"/>
          <w:lang w:eastAsia="es-ES" w:bidi="es-ES"/>
        </w:rPr>
        <w:t xml:space="preserve"> consultarse en la </w:t>
      </w:r>
      <w:hyperlink r:id="rId9" w:history="1">
        <w:r w:rsidRPr="006E1DB7">
          <w:rPr>
            <w:rStyle w:val="Hipervnculo"/>
            <w:rFonts w:ascii="Mulish" w:eastAsia="Mulish" w:hAnsi="Mulish" w:cs="Mulish"/>
            <w:lang w:eastAsia="es-ES" w:bidi="es-ES"/>
          </w:rPr>
          <w:t>página web del Consejo</w:t>
        </w:r>
      </w:hyperlink>
      <w:r w:rsidRPr="006E1DB7">
        <w:rPr>
          <w:rFonts w:ascii="Mulish" w:eastAsia="Mulish" w:hAnsi="Mulish" w:cs="Mulish"/>
          <w:color w:val="0C0C0C" w:themeColor="text1"/>
          <w:lang w:eastAsia="es-ES" w:bidi="es-ES"/>
        </w:rPr>
        <w:t>.</w:t>
      </w:r>
      <w:r w:rsidRPr="00A251FA">
        <w:rPr>
          <w:rFonts w:ascii="Mulish" w:eastAsia="Mulish" w:hAnsi="Mulish" w:cs="Mulish"/>
          <w:color w:val="0C0C0C" w:themeColor="text1"/>
          <w:lang w:eastAsia="es-ES" w:bidi="es-ES"/>
        </w:rPr>
        <w:t xml:space="preserve"> </w:t>
      </w:r>
    </w:p>
    <w:p w14:paraId="0239CA0A" w14:textId="77777777" w:rsidR="00BD1A28" w:rsidRDefault="00BD1A28" w:rsidP="00BD1A28">
      <w:pPr>
        <w:spacing w:after="0"/>
        <w:jc w:val="both"/>
        <w:rPr>
          <w:rFonts w:ascii="Mulish" w:eastAsia="Mulish" w:hAnsi="Mulish" w:cs="Mulish"/>
          <w:color w:val="0C0C0C" w:themeColor="text1"/>
          <w:lang w:eastAsia="es-ES" w:bidi="es-ES"/>
        </w:rPr>
      </w:pPr>
    </w:p>
    <w:p w14:paraId="2FDA648E" w14:textId="1FE66BE8" w:rsidR="00BD1A28" w:rsidRPr="00BD1A28" w:rsidRDefault="00B80115" w:rsidP="00BD1A28">
      <w:pPr>
        <w:spacing w:after="0"/>
        <w:jc w:val="both"/>
        <w:rPr>
          <w:rStyle w:val="Hipervnculo"/>
          <w:color w:val="auto"/>
          <w:sz w:val="24"/>
          <w:szCs w:val="24"/>
        </w:rPr>
      </w:pPr>
      <w:r w:rsidRPr="0076793C">
        <w:rPr>
          <w:sz w:val="24"/>
          <w:szCs w:val="24"/>
          <w:u w:val="single"/>
        </w:rPr>
        <w:t>Más información:</w:t>
      </w:r>
      <w:r w:rsidR="00C27BA6">
        <w:rPr>
          <w:sz w:val="24"/>
          <w:szCs w:val="24"/>
          <w:u w:val="single"/>
        </w:rPr>
        <w:t xml:space="preserve"> </w:t>
      </w:r>
    </w:p>
    <w:p w14:paraId="54F46BBF" w14:textId="2DB85BA4" w:rsidR="007C2E7A" w:rsidRDefault="00487512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  <w:hyperlink r:id="rId10" w:history="1">
        <w:r w:rsidR="00BD1A28" w:rsidRPr="00BD1C83">
          <w:rPr>
            <w:rStyle w:val="Hipervnculo"/>
            <w:sz w:val="24"/>
            <w:szCs w:val="24"/>
          </w:rPr>
          <w:t>prensa@consejodetransparencia.es</w:t>
        </w:r>
      </w:hyperlink>
    </w:p>
    <w:p w14:paraId="1D53F720" w14:textId="393C395A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56710A69" w14:textId="49A93A62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7C318C14" w14:textId="13D7CA3D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58763A16" w14:textId="4A9F331C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5878A032" w14:textId="26A69501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5FAEFDFC" w14:textId="57529658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165E9A18" w14:textId="464A4251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29DEEEBA" w14:textId="68790C1E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06D2BDBC" w14:textId="5DC578D0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7BB8A125" w14:textId="750B039F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4296DC47" w14:textId="308D70D4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3D2E311C" w14:textId="301ECC93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289AEF3B" w14:textId="5AD87D61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3E4ECF00" w14:textId="706807E4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6203AE50" w14:textId="42430FE6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21C5C66B" w14:textId="3B59C4DF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7DE27C38" w14:textId="74C46F0B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2EE4FF32" w14:textId="221EE0EE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15A7D40B" w14:textId="627E6BB5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26F6E40F" w14:textId="6897DD1A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250A1D7E" w14:textId="101A2598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5621023F" w14:textId="4B601669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404886B9" w14:textId="3965331C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7A669315" w14:textId="4C258BA2" w:rsidR="007C2E7A" w:rsidRDefault="007C2E7A" w:rsidP="00C05613">
      <w:pPr>
        <w:spacing w:after="0" w:line="240" w:lineRule="auto"/>
        <w:jc w:val="both"/>
        <w:rPr>
          <w:rStyle w:val="Hipervnculo"/>
          <w:sz w:val="24"/>
          <w:szCs w:val="24"/>
        </w:rPr>
      </w:pPr>
    </w:p>
    <w:p w14:paraId="576A9B32" w14:textId="77777777" w:rsidR="007C2E7A" w:rsidRPr="005B0C58" w:rsidRDefault="007C2E7A" w:rsidP="00C05613">
      <w:pPr>
        <w:spacing w:after="0" w:line="240" w:lineRule="auto"/>
        <w:jc w:val="both"/>
        <w:rPr>
          <w:rFonts w:ascii="Arial" w:hAnsi="Arial" w:cs="Arial"/>
        </w:rPr>
      </w:pPr>
    </w:p>
    <w:sectPr w:rsidR="007C2E7A" w:rsidRPr="005B0C58" w:rsidSect="00936CB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9B2E" w14:textId="77777777" w:rsidR="00D775C2" w:rsidRDefault="00D775C2" w:rsidP="00E033DF">
      <w:pPr>
        <w:spacing w:after="0" w:line="240" w:lineRule="auto"/>
      </w:pPr>
      <w:r>
        <w:separator/>
      </w:r>
    </w:p>
  </w:endnote>
  <w:endnote w:type="continuationSeparator" w:id="0">
    <w:p w14:paraId="4AEF9850" w14:textId="77777777" w:rsidR="00D775C2" w:rsidRDefault="00D775C2" w:rsidP="00E0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09197"/>
      <w:docPartObj>
        <w:docPartGallery w:val="Page Numbers (Bottom of Page)"/>
        <w:docPartUnique/>
      </w:docPartObj>
    </w:sdtPr>
    <w:sdtEndPr/>
    <w:sdtContent>
      <w:p w14:paraId="6C40E5E8" w14:textId="388E40E1" w:rsidR="009B3A1E" w:rsidRPr="00A40308" w:rsidRDefault="00A667E2" w:rsidP="00F436DD">
        <w:pPr>
          <w:pStyle w:val="Piedepgina"/>
          <w:tabs>
            <w:tab w:val="clear" w:pos="8504"/>
          </w:tabs>
          <w:ind w:right="-568"/>
          <w:jc w:val="center"/>
          <w:rPr>
            <w:rFonts w:ascii="Mulish" w:hAnsi="Mulish"/>
            <w:sz w:val="16"/>
            <w:szCs w:val="16"/>
          </w:rPr>
        </w:pPr>
        <w:r w:rsidRPr="00F436DD">
          <w:rPr>
            <w:rFonts w:ascii="Mulish" w:hAnsi="Mulish"/>
            <w:noProof/>
            <w:sz w:val="16"/>
            <w:szCs w:val="16"/>
            <w:lang w:eastAsia="es-ES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6C40E5F9" wp14:editId="572EC6D2">
                  <wp:simplePos x="0" y="0"/>
                  <wp:positionH relativeFrom="column">
                    <wp:posOffset>7855585</wp:posOffset>
                  </wp:positionH>
                  <wp:positionV relativeFrom="paragraph">
                    <wp:posOffset>164465</wp:posOffset>
                  </wp:positionV>
                  <wp:extent cx="0" cy="358140"/>
                  <wp:effectExtent l="6985" t="12065" r="12065" b="10795"/>
                  <wp:wrapNone/>
                  <wp:docPr id="980581345" name="AutoShap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3581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shapetype w14:anchorId="335C4C4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26" type="#_x0000_t32" style="position:absolute;margin-left:618.55pt;margin-top:12.95pt;width:0;height:2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"/>
              </w:pict>
            </mc:Fallback>
          </mc:AlternateContent>
        </w:r>
        <w:r w:rsidR="00E94641">
          <w:tab/>
        </w:r>
        <w:r w:rsidRPr="00F436DD">
          <w:rPr>
            <w:rFonts w:ascii="Mulish" w:hAnsi="Mulish"/>
            <w:sz w:val="16"/>
            <w:szCs w:val="16"/>
          </w:rPr>
          <w:fldChar w:fldCharType="begin"/>
        </w:r>
        <w:r w:rsidRPr="00F436DD">
          <w:rPr>
            <w:rFonts w:ascii="Mulish" w:hAnsi="Mulish"/>
            <w:sz w:val="16"/>
            <w:szCs w:val="16"/>
          </w:rPr>
          <w:instrText xml:space="preserve"> PAGE   \* MERGEFORMAT </w:instrText>
        </w:r>
        <w:r w:rsidRPr="00F436DD">
          <w:rPr>
            <w:rFonts w:ascii="Mulish" w:hAnsi="Mulish"/>
            <w:sz w:val="16"/>
            <w:szCs w:val="16"/>
          </w:rPr>
          <w:fldChar w:fldCharType="separate"/>
        </w:r>
        <w:r w:rsidR="000A35BB">
          <w:rPr>
            <w:rFonts w:ascii="Mulish" w:hAnsi="Mulish"/>
            <w:noProof/>
            <w:sz w:val="16"/>
            <w:szCs w:val="16"/>
          </w:rPr>
          <w:t>1</w:t>
        </w:r>
        <w:r w:rsidRPr="00F436DD">
          <w:rPr>
            <w:rFonts w:ascii="Mulish" w:hAnsi="Mulish"/>
            <w:noProof/>
            <w:sz w:val="16"/>
            <w:szCs w:val="16"/>
          </w:rPr>
          <w:fldChar w:fldCharType="end"/>
        </w:r>
        <w:r w:rsidR="009B3A1E" w:rsidRPr="00F436DD">
          <w:rPr>
            <w:rFonts w:ascii="Mulish" w:hAnsi="Mulish"/>
            <w:sz w:val="16"/>
            <w:szCs w:val="16"/>
          </w:rPr>
          <w:t xml:space="preserve">  </w:t>
        </w:r>
        <w:r w:rsidR="009B3A1E" w:rsidRPr="00A40308">
          <w:rPr>
            <w:rFonts w:ascii="Mulish" w:hAnsi="Mulish"/>
          </w:rPr>
          <w:t xml:space="preserve">                                                                                                            </w:t>
        </w:r>
        <w:r w:rsidR="009B3A1E" w:rsidRPr="00A40308">
          <w:rPr>
            <w:rFonts w:ascii="Mulish" w:hAnsi="Mulish"/>
            <w:sz w:val="16"/>
            <w:szCs w:val="16"/>
          </w:rPr>
          <w:t>CONSEJO DE TRANSPARENCIA</w:t>
        </w:r>
        <w:r w:rsidR="00F51DB5" w:rsidRPr="00A40308">
          <w:rPr>
            <w:rFonts w:ascii="Mulish" w:hAnsi="Mulish"/>
            <w:sz w:val="16"/>
            <w:szCs w:val="16"/>
          </w:rPr>
          <w:t xml:space="preserve"> </w:t>
        </w:r>
        <w:r w:rsidR="00DD76CF" w:rsidRPr="00A40308">
          <w:rPr>
            <w:rFonts w:ascii="Mulish" w:hAnsi="Mulish"/>
            <w:sz w:val="16"/>
            <w:szCs w:val="16"/>
          </w:rPr>
          <w:t>AAI</w:t>
        </w:r>
        <w:r w:rsidR="009B3A1E" w:rsidRPr="00A40308">
          <w:rPr>
            <w:rFonts w:ascii="Mulish" w:hAnsi="Mulish"/>
            <w:noProof/>
            <w:sz w:val="24"/>
            <w:szCs w:val="24"/>
            <w:lang w:eastAsia="es-ES"/>
          </w:rPr>
          <w:t xml:space="preserve"> </w:t>
        </w:r>
      </w:p>
      <w:p w14:paraId="6C40E5E9" w14:textId="77777777" w:rsidR="004E6B2E" w:rsidRDefault="00487512" w:rsidP="005B3D95">
        <w:pPr>
          <w:pStyle w:val="Piedepgina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E5F5" w14:textId="413E2187" w:rsidR="009B3A1E" w:rsidRPr="000974DF" w:rsidRDefault="00A667E2" w:rsidP="001021B2">
    <w:pPr>
      <w:pStyle w:val="Piedepgina"/>
      <w:jc w:val="center"/>
      <w:rPr>
        <w:rFonts w:ascii="Mulish" w:hAnsi="Mulish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556DAD95" wp14:editId="4E703215">
              <wp:simplePos x="0" y="0"/>
              <wp:positionH relativeFrom="page">
                <wp:posOffset>876935</wp:posOffset>
              </wp:positionH>
              <wp:positionV relativeFrom="page">
                <wp:posOffset>10072370</wp:posOffset>
              </wp:positionV>
              <wp:extent cx="1299845" cy="365760"/>
              <wp:effectExtent l="0" t="0" r="0" b="0"/>
              <wp:wrapNone/>
              <wp:docPr id="3599534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F72EF" w14:textId="77777777" w:rsidR="00362D91" w:rsidRPr="00A655A2" w:rsidRDefault="00362D91" w:rsidP="00362D91">
                          <w:pPr>
                            <w:spacing w:before="20" w:line="225" w:lineRule="auto"/>
                            <w:ind w:left="20" w:right="-18"/>
                            <w:rPr>
                              <w:rFonts w:ascii="Mulish" w:hAnsi="Mulish"/>
                              <w:sz w:val="14"/>
                            </w:rPr>
                          </w:pPr>
                          <w:r w:rsidRPr="00A655A2">
                            <w:rPr>
                              <w:rFonts w:ascii="Mulish" w:hAnsi="Mulish"/>
                              <w:b/>
                              <w:sz w:val="14"/>
                            </w:rPr>
                            <w:t xml:space="preserve">Consejo de Transparencia AAI </w:t>
                          </w:r>
                          <w:r w:rsidRPr="00A655A2">
                            <w:rPr>
                              <w:rFonts w:ascii="Mulish" w:hAnsi="Mulish"/>
                              <w:sz w:val="14"/>
                            </w:rPr>
                            <w:t>C/ José Abascal, nº 2, 5º-C 28003 MADRID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DAD9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9.05pt;margin-top:793.1pt;width:102.35pt;height:28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" filled="f" stroked="f">
              <v:textbox inset="0,0,0,0">
                <w:txbxContent>
                  <w:p w14:paraId="5DFF72EF" w14:textId="77777777" w:rsidR="00362D91" w:rsidRPr="00A655A2" w:rsidRDefault="00362D91" w:rsidP="00362D91">
                    <w:pPr>
                      <w:spacing w:before="20" w:line="225" w:lineRule="auto"/>
                      <w:ind w:left="20" w:right="-18"/>
                      <w:rPr>
                        <w:rFonts w:ascii="Mulish" w:hAnsi="Mulish"/>
                        <w:sz w:val="14"/>
                      </w:rPr>
                    </w:pPr>
                    <w:r w:rsidRPr="00A655A2">
                      <w:rPr>
                        <w:rFonts w:ascii="Mulish" w:hAnsi="Mulish"/>
                        <w:b/>
                        <w:sz w:val="14"/>
                      </w:rPr>
                      <w:t xml:space="preserve">Consejo de Transparencia AAI </w:t>
                    </w:r>
                    <w:r w:rsidRPr="00A655A2">
                      <w:rPr>
                        <w:rFonts w:ascii="Mulish" w:hAnsi="Mulish"/>
                        <w:sz w:val="14"/>
                      </w:rPr>
                      <w:t>C/ José Abascal, nº 2, 5º-C 28003 MADRID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69F40DE2" wp14:editId="52CD6E8A">
              <wp:simplePos x="0" y="0"/>
              <wp:positionH relativeFrom="page">
                <wp:posOffset>4848860</wp:posOffset>
              </wp:positionH>
              <wp:positionV relativeFrom="page">
                <wp:posOffset>10081260</wp:posOffset>
              </wp:positionV>
              <wp:extent cx="2000250" cy="419100"/>
              <wp:effectExtent l="0" t="0" r="0" b="0"/>
              <wp:wrapNone/>
              <wp:docPr id="44388711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F72C9" w14:textId="77777777" w:rsidR="001C2B35" w:rsidRPr="00C76E55" w:rsidRDefault="00487512" w:rsidP="001C2B35">
                          <w:pPr>
                            <w:tabs>
                              <w:tab w:val="left" w:pos="2798"/>
                            </w:tabs>
                            <w:spacing w:before="20" w:line="225" w:lineRule="auto"/>
                            <w:ind w:left="101" w:right="342" w:hanging="82"/>
                            <w:jc w:val="right"/>
                            <w:rPr>
                              <w:rFonts w:ascii="Mulish" w:hAnsi="Mulish"/>
                              <w:sz w:val="14"/>
                              <w:lang w:val="en-GB"/>
                            </w:rPr>
                          </w:pPr>
                          <w:hyperlink r:id="rId1">
                            <w:r w:rsidR="001C2B35" w:rsidRPr="00C76E55">
                              <w:rPr>
                                <w:rFonts w:ascii="Mulish" w:hAnsi="Mulish"/>
                                <w:sz w:val="14"/>
                                <w:lang w:val="en-GB"/>
                              </w:rPr>
                              <w:t>email: ctbg@consejodetransparencia.es</w:t>
                            </w:r>
                          </w:hyperlink>
                          <w:r w:rsidR="001C2B35" w:rsidRPr="00C76E55">
                            <w:rPr>
                              <w:rFonts w:ascii="Mulish" w:hAnsi="Mulish"/>
                              <w:sz w:val="14"/>
                              <w:lang w:val="en-GB"/>
                            </w:rPr>
                            <w:t xml:space="preserve"> Teléfono: 91 273 33 20 - 91 273 33 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40DE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381.8pt;margin-top:793.8pt;width:157.5pt;height:3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" filled="f" stroked="f">
              <v:textbox inset="0,0,0,0">
                <w:txbxContent>
                  <w:p w14:paraId="59EF72C9" w14:textId="77777777" w:rsidR="001C2B35" w:rsidRPr="00C76E55" w:rsidRDefault="00D775C2" w:rsidP="001C2B35">
                    <w:pPr>
                      <w:tabs>
                        <w:tab w:val="left" w:pos="2798"/>
                      </w:tabs>
                      <w:spacing w:before="20" w:line="225" w:lineRule="auto"/>
                      <w:ind w:left="101" w:right="342" w:hanging="82"/>
                      <w:jc w:val="right"/>
                      <w:rPr>
                        <w:rFonts w:ascii="Mulish" w:hAnsi="Mulish"/>
                        <w:sz w:val="14"/>
                        <w:lang w:val="en-GB"/>
                      </w:rPr>
                    </w:pPr>
                    <w:hyperlink r:id="rId2">
                      <w:r w:rsidR="001C2B35" w:rsidRPr="00C76E55">
                        <w:rPr>
                          <w:rFonts w:ascii="Mulish" w:hAnsi="Mulish"/>
                          <w:sz w:val="14"/>
                          <w:lang w:val="en-GB"/>
                        </w:rPr>
                        <w:t>email: ctbg@consejodetransparencia.es</w:t>
                      </w:r>
                    </w:hyperlink>
                    <w:r w:rsidR="001C2B35" w:rsidRPr="00C76E55">
                      <w:rPr>
                        <w:rFonts w:ascii="Mulish" w:hAnsi="Mulish"/>
                        <w:sz w:val="14"/>
                        <w:lang w:val="en-GB"/>
                      </w:rPr>
                      <w:t xml:space="preserve"> Teléfono: 91 273 33 20 - 91 273 33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1A91">
      <w:tab/>
    </w:r>
    <w:r w:rsidR="00F31A91">
      <w:tab/>
    </w:r>
    <w:r w:rsidR="00F31A91">
      <w:tab/>
    </w:r>
    <w:r w:rsidR="00F31A91">
      <w:tab/>
    </w:r>
    <w:r w:rsidR="001C2B3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3D7B" w14:textId="77777777" w:rsidR="00D775C2" w:rsidRDefault="00D775C2" w:rsidP="00E033DF">
      <w:pPr>
        <w:spacing w:after="0" w:line="240" w:lineRule="auto"/>
      </w:pPr>
      <w:r>
        <w:separator/>
      </w:r>
    </w:p>
  </w:footnote>
  <w:footnote w:type="continuationSeparator" w:id="0">
    <w:p w14:paraId="5A214FA8" w14:textId="77777777" w:rsidR="00D775C2" w:rsidRDefault="00D775C2" w:rsidP="00E0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1301" w14:textId="0A349650" w:rsidR="00A666AD" w:rsidRDefault="00BD1A28" w:rsidP="008D3392">
    <w:pPr>
      <w:pStyle w:val="Encabezado"/>
      <w:ind w:left="-284"/>
      <w:rPr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83840" behindDoc="0" locked="0" layoutInCell="1" allowOverlap="1" wp14:anchorId="009FC8A4" wp14:editId="220E36A6">
          <wp:simplePos x="0" y="0"/>
          <wp:positionH relativeFrom="margin">
            <wp:posOffset>-87842</wp:posOffset>
          </wp:positionH>
          <wp:positionV relativeFrom="margin">
            <wp:posOffset>-742950</wp:posOffset>
          </wp:positionV>
          <wp:extent cx="1798320" cy="419100"/>
          <wp:effectExtent l="0" t="0" r="0" b="0"/>
          <wp:wrapSquare wrapText="bothSides"/>
          <wp:docPr id="2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835127" name="Imagen 1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353F07" w14:textId="11B5E591" w:rsidR="00A666AD" w:rsidRDefault="00A666AD" w:rsidP="008D3392">
    <w:pPr>
      <w:pStyle w:val="Encabezado"/>
      <w:ind w:left="-284"/>
      <w:rPr>
        <w:sz w:val="16"/>
        <w:szCs w:val="16"/>
      </w:rPr>
    </w:pPr>
  </w:p>
  <w:p w14:paraId="4F080CFF" w14:textId="77777777" w:rsidR="00A666AD" w:rsidRDefault="00A666AD" w:rsidP="008D3392">
    <w:pPr>
      <w:pStyle w:val="Encabezado"/>
      <w:ind w:left="-284"/>
      <w:rPr>
        <w:sz w:val="16"/>
        <w:szCs w:val="16"/>
      </w:rPr>
    </w:pPr>
  </w:p>
  <w:p w14:paraId="1BA3DC98" w14:textId="0CCD295B" w:rsidR="00A666AD" w:rsidRDefault="00A666AD" w:rsidP="008D3392">
    <w:pPr>
      <w:pStyle w:val="Encabezado"/>
      <w:ind w:left="-284"/>
      <w:rPr>
        <w:sz w:val="16"/>
        <w:szCs w:val="16"/>
      </w:rPr>
    </w:pPr>
  </w:p>
  <w:p w14:paraId="35B84C8B" w14:textId="77777777" w:rsidR="00BB0598" w:rsidRDefault="00BB0598" w:rsidP="008D3392">
    <w:pPr>
      <w:pStyle w:val="Encabezado"/>
      <w:ind w:left="-284"/>
      <w:rPr>
        <w:sz w:val="16"/>
        <w:szCs w:val="16"/>
      </w:rPr>
    </w:pPr>
  </w:p>
  <w:p w14:paraId="6C40E5E5" w14:textId="081D95D3" w:rsidR="004E6B2E" w:rsidRPr="005951F3" w:rsidRDefault="004E6B2E" w:rsidP="008D3392">
    <w:pPr>
      <w:pStyle w:val="Encabezado"/>
      <w:ind w:left="-284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E5EB" w14:textId="31BCD447" w:rsidR="005D4FB7" w:rsidRDefault="00F3528C" w:rsidP="00407A64">
    <w:pPr>
      <w:pStyle w:val="Sinespaciado"/>
      <w:tabs>
        <w:tab w:val="left" w:pos="6705"/>
      </w:tabs>
      <w:ind w:left="-284"/>
    </w:pPr>
    <w:r>
      <w:tab/>
    </w:r>
  </w:p>
  <w:p w14:paraId="6C40E5EC" w14:textId="568A3200" w:rsidR="004E6B2E" w:rsidRDefault="004E6B2E" w:rsidP="00E873AB">
    <w:pPr>
      <w:pStyle w:val="Encabezado"/>
    </w:pPr>
  </w:p>
  <w:p w14:paraId="6C40E5F1" w14:textId="77777777" w:rsidR="00F31A91" w:rsidRDefault="00F31A91" w:rsidP="00E873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44EF"/>
    <w:multiLevelType w:val="hybridMultilevel"/>
    <w:tmpl w:val="A25624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D5189"/>
    <w:multiLevelType w:val="hybridMultilevel"/>
    <w:tmpl w:val="93604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305A0"/>
    <w:multiLevelType w:val="hybridMultilevel"/>
    <w:tmpl w:val="FF68F5BC"/>
    <w:lvl w:ilvl="0" w:tplc="CA582274">
      <w:start w:val="1"/>
      <w:numFmt w:val="bullet"/>
      <w:lvlText w:val="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3610947"/>
    <w:multiLevelType w:val="hybridMultilevel"/>
    <w:tmpl w:val="7AD0E230"/>
    <w:lvl w:ilvl="0" w:tplc="F22AECF0">
      <w:numFmt w:val="bullet"/>
      <w:lvlText w:val="•"/>
      <w:lvlJc w:val="left"/>
      <w:pPr>
        <w:ind w:left="786" w:hanging="360"/>
      </w:pPr>
      <w:rPr>
        <w:rFonts w:ascii="Mulish" w:eastAsia="Mulish" w:hAnsi="Mulish" w:cs="Mulish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A8"/>
    <w:rsid w:val="00011715"/>
    <w:rsid w:val="00011958"/>
    <w:rsid w:val="00020447"/>
    <w:rsid w:val="000319A0"/>
    <w:rsid w:val="00046F96"/>
    <w:rsid w:val="000566D2"/>
    <w:rsid w:val="00067423"/>
    <w:rsid w:val="000974DF"/>
    <w:rsid w:val="000A35BB"/>
    <w:rsid w:val="000A4F42"/>
    <w:rsid w:val="000B3967"/>
    <w:rsid w:val="00101E4F"/>
    <w:rsid w:val="001021B2"/>
    <w:rsid w:val="00110D03"/>
    <w:rsid w:val="00126747"/>
    <w:rsid w:val="00144F49"/>
    <w:rsid w:val="00153863"/>
    <w:rsid w:val="001543D9"/>
    <w:rsid w:val="001565DF"/>
    <w:rsid w:val="00161CD5"/>
    <w:rsid w:val="00164B7D"/>
    <w:rsid w:val="0016527D"/>
    <w:rsid w:val="00170A27"/>
    <w:rsid w:val="00172B40"/>
    <w:rsid w:val="0018353B"/>
    <w:rsid w:val="001C28B1"/>
    <w:rsid w:val="001C2B35"/>
    <w:rsid w:val="00224350"/>
    <w:rsid w:val="00224C4F"/>
    <w:rsid w:val="002438FA"/>
    <w:rsid w:val="0025152B"/>
    <w:rsid w:val="00285BCA"/>
    <w:rsid w:val="00292E9B"/>
    <w:rsid w:val="002D3A62"/>
    <w:rsid w:val="002D6E52"/>
    <w:rsid w:val="002E3710"/>
    <w:rsid w:val="002E4E66"/>
    <w:rsid w:val="003250CD"/>
    <w:rsid w:val="00335EDE"/>
    <w:rsid w:val="00343319"/>
    <w:rsid w:val="00362D91"/>
    <w:rsid w:val="003712C7"/>
    <w:rsid w:val="00380BE5"/>
    <w:rsid w:val="003B4951"/>
    <w:rsid w:val="003B6659"/>
    <w:rsid w:val="003C3727"/>
    <w:rsid w:val="003C665C"/>
    <w:rsid w:val="003C685A"/>
    <w:rsid w:val="003D41CC"/>
    <w:rsid w:val="003D5AFA"/>
    <w:rsid w:val="003E58C6"/>
    <w:rsid w:val="003F5A90"/>
    <w:rsid w:val="003F6CAC"/>
    <w:rsid w:val="00407A64"/>
    <w:rsid w:val="0045349D"/>
    <w:rsid w:val="00485A86"/>
    <w:rsid w:val="00487512"/>
    <w:rsid w:val="00492494"/>
    <w:rsid w:val="004A356B"/>
    <w:rsid w:val="004A5EA5"/>
    <w:rsid w:val="004B3E4B"/>
    <w:rsid w:val="004B6393"/>
    <w:rsid w:val="004D002C"/>
    <w:rsid w:val="004D3C31"/>
    <w:rsid w:val="004D679E"/>
    <w:rsid w:val="004E3AC4"/>
    <w:rsid w:val="004E6B2E"/>
    <w:rsid w:val="00505712"/>
    <w:rsid w:val="00516FAB"/>
    <w:rsid w:val="00532CA0"/>
    <w:rsid w:val="00533D96"/>
    <w:rsid w:val="005432EE"/>
    <w:rsid w:val="00553F22"/>
    <w:rsid w:val="00576D32"/>
    <w:rsid w:val="00577451"/>
    <w:rsid w:val="005832D7"/>
    <w:rsid w:val="005951F3"/>
    <w:rsid w:val="00596401"/>
    <w:rsid w:val="00597D3E"/>
    <w:rsid w:val="005B0C58"/>
    <w:rsid w:val="005B1E17"/>
    <w:rsid w:val="005B3D95"/>
    <w:rsid w:val="005B7B5A"/>
    <w:rsid w:val="005C2162"/>
    <w:rsid w:val="005D4FB7"/>
    <w:rsid w:val="005E34BF"/>
    <w:rsid w:val="006136F0"/>
    <w:rsid w:val="0064406A"/>
    <w:rsid w:val="00644241"/>
    <w:rsid w:val="0064511D"/>
    <w:rsid w:val="00651D35"/>
    <w:rsid w:val="0066322B"/>
    <w:rsid w:val="006778A7"/>
    <w:rsid w:val="00686DAC"/>
    <w:rsid w:val="0069451C"/>
    <w:rsid w:val="006E1DB7"/>
    <w:rsid w:val="006E2CA6"/>
    <w:rsid w:val="006E6BAE"/>
    <w:rsid w:val="007101D5"/>
    <w:rsid w:val="00721825"/>
    <w:rsid w:val="007526F7"/>
    <w:rsid w:val="0077727F"/>
    <w:rsid w:val="00794850"/>
    <w:rsid w:val="007B410A"/>
    <w:rsid w:val="007C2E7A"/>
    <w:rsid w:val="007D462E"/>
    <w:rsid w:val="007F57CD"/>
    <w:rsid w:val="008217AF"/>
    <w:rsid w:val="008502CE"/>
    <w:rsid w:val="00882413"/>
    <w:rsid w:val="008D3354"/>
    <w:rsid w:val="008D3392"/>
    <w:rsid w:val="008E2617"/>
    <w:rsid w:val="00902756"/>
    <w:rsid w:val="00916A7F"/>
    <w:rsid w:val="00920FC8"/>
    <w:rsid w:val="00922C73"/>
    <w:rsid w:val="0093132C"/>
    <w:rsid w:val="00936CB5"/>
    <w:rsid w:val="00945360"/>
    <w:rsid w:val="00946059"/>
    <w:rsid w:val="00952890"/>
    <w:rsid w:val="00960A8E"/>
    <w:rsid w:val="00964EB4"/>
    <w:rsid w:val="00966AFC"/>
    <w:rsid w:val="00967E04"/>
    <w:rsid w:val="009733DB"/>
    <w:rsid w:val="0099233F"/>
    <w:rsid w:val="00993416"/>
    <w:rsid w:val="009B3A1E"/>
    <w:rsid w:val="009C1C4B"/>
    <w:rsid w:val="00A0030B"/>
    <w:rsid w:val="00A035A9"/>
    <w:rsid w:val="00A251FA"/>
    <w:rsid w:val="00A40308"/>
    <w:rsid w:val="00A666AD"/>
    <w:rsid w:val="00A667E2"/>
    <w:rsid w:val="00A83B8F"/>
    <w:rsid w:val="00A90913"/>
    <w:rsid w:val="00AA0900"/>
    <w:rsid w:val="00AA4A9B"/>
    <w:rsid w:val="00AC124E"/>
    <w:rsid w:val="00AD4EAB"/>
    <w:rsid w:val="00B25D70"/>
    <w:rsid w:val="00B27714"/>
    <w:rsid w:val="00B33859"/>
    <w:rsid w:val="00B33F7D"/>
    <w:rsid w:val="00B3521D"/>
    <w:rsid w:val="00B56E1A"/>
    <w:rsid w:val="00B80115"/>
    <w:rsid w:val="00B86292"/>
    <w:rsid w:val="00B92379"/>
    <w:rsid w:val="00B965B4"/>
    <w:rsid w:val="00B97C6D"/>
    <w:rsid w:val="00BA4068"/>
    <w:rsid w:val="00BA62A5"/>
    <w:rsid w:val="00BB0598"/>
    <w:rsid w:val="00BC1926"/>
    <w:rsid w:val="00BD1A28"/>
    <w:rsid w:val="00BD42E2"/>
    <w:rsid w:val="00BD4D98"/>
    <w:rsid w:val="00C00902"/>
    <w:rsid w:val="00C05613"/>
    <w:rsid w:val="00C23867"/>
    <w:rsid w:val="00C27BA6"/>
    <w:rsid w:val="00C34F68"/>
    <w:rsid w:val="00C40DD4"/>
    <w:rsid w:val="00C451D3"/>
    <w:rsid w:val="00C6302D"/>
    <w:rsid w:val="00C76E55"/>
    <w:rsid w:val="00C94749"/>
    <w:rsid w:val="00C9616E"/>
    <w:rsid w:val="00CA1CA7"/>
    <w:rsid w:val="00CA4A22"/>
    <w:rsid w:val="00CD17C3"/>
    <w:rsid w:val="00CD436E"/>
    <w:rsid w:val="00CD4664"/>
    <w:rsid w:val="00CF04E9"/>
    <w:rsid w:val="00CF7BBC"/>
    <w:rsid w:val="00D04F1E"/>
    <w:rsid w:val="00D13FB4"/>
    <w:rsid w:val="00D154B7"/>
    <w:rsid w:val="00D26B49"/>
    <w:rsid w:val="00D519BA"/>
    <w:rsid w:val="00D5417D"/>
    <w:rsid w:val="00D70DAE"/>
    <w:rsid w:val="00D71C8B"/>
    <w:rsid w:val="00D74DBF"/>
    <w:rsid w:val="00D775C2"/>
    <w:rsid w:val="00DA1AA8"/>
    <w:rsid w:val="00DA2CF7"/>
    <w:rsid w:val="00DC0E41"/>
    <w:rsid w:val="00DC45C2"/>
    <w:rsid w:val="00DD76CF"/>
    <w:rsid w:val="00DF0AA4"/>
    <w:rsid w:val="00DF50CF"/>
    <w:rsid w:val="00DF52D8"/>
    <w:rsid w:val="00DF62C2"/>
    <w:rsid w:val="00E033DF"/>
    <w:rsid w:val="00E1510B"/>
    <w:rsid w:val="00E369D7"/>
    <w:rsid w:val="00E42F8B"/>
    <w:rsid w:val="00E82BF6"/>
    <w:rsid w:val="00E84E80"/>
    <w:rsid w:val="00E873AB"/>
    <w:rsid w:val="00E94641"/>
    <w:rsid w:val="00EB6CDC"/>
    <w:rsid w:val="00EB7AAC"/>
    <w:rsid w:val="00EF73FE"/>
    <w:rsid w:val="00EF7F60"/>
    <w:rsid w:val="00F253DF"/>
    <w:rsid w:val="00F30B12"/>
    <w:rsid w:val="00F31A91"/>
    <w:rsid w:val="00F34666"/>
    <w:rsid w:val="00F3528C"/>
    <w:rsid w:val="00F436DD"/>
    <w:rsid w:val="00F51DB5"/>
    <w:rsid w:val="00F73ACD"/>
    <w:rsid w:val="00F80D55"/>
    <w:rsid w:val="00FC0CAA"/>
    <w:rsid w:val="00FC7309"/>
    <w:rsid w:val="00FD0A75"/>
    <w:rsid w:val="00FD375B"/>
    <w:rsid w:val="00FD7623"/>
    <w:rsid w:val="00FE5C64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40E5B0"/>
  <w15:docId w15:val="{3A54E176-1594-43FE-802E-0F09132E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8E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33DF"/>
  </w:style>
  <w:style w:type="paragraph" w:styleId="Piedepgina">
    <w:name w:val="footer"/>
    <w:basedOn w:val="Normal"/>
    <w:link w:val="PiedepginaCar"/>
    <w:uiPriority w:val="99"/>
    <w:unhideWhenUsed/>
    <w:rsid w:val="00E0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3DF"/>
  </w:style>
  <w:style w:type="paragraph" w:styleId="Sinespaciado">
    <w:name w:val="No Spacing"/>
    <w:uiPriority w:val="1"/>
    <w:qFormat/>
    <w:rsid w:val="0018353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835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35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353B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53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3A1E"/>
    <w:rPr>
      <w:color w:val="034638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407A64"/>
    <w:pPr>
      <w:widowControl w:val="0"/>
      <w:autoSpaceDE w:val="0"/>
      <w:autoSpaceDN w:val="0"/>
      <w:spacing w:after="0" w:line="240" w:lineRule="auto"/>
    </w:pPr>
    <w:rPr>
      <w:rFonts w:ascii="Mulish" w:eastAsia="Mulish" w:hAnsi="Mulish" w:cs="Mulish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7A64"/>
    <w:rPr>
      <w:rFonts w:ascii="Mulish" w:eastAsia="Mulish" w:hAnsi="Mulish" w:cs="Mulish"/>
      <w:sz w:val="20"/>
      <w:szCs w:val="20"/>
      <w:lang w:eastAsia="es-ES" w:bidi="es-ES"/>
    </w:rPr>
  </w:style>
  <w:style w:type="paragraph" w:styleId="Prrafodelista">
    <w:name w:val="List Paragraph"/>
    <w:basedOn w:val="Normal"/>
    <w:uiPriority w:val="34"/>
    <w:qFormat/>
    <w:rsid w:val="00BA4068"/>
    <w:pPr>
      <w:ind w:left="720"/>
      <w:contextualSpacing/>
    </w:pPr>
  </w:style>
  <w:style w:type="table" w:customStyle="1" w:styleId="Sombreadomedio2-nfasis32">
    <w:name w:val="Sombreado medio 2 - Énfasis 32"/>
    <w:basedOn w:val="Tablanormal"/>
    <w:next w:val="Sombreadomedio2-nfasis3"/>
    <w:uiPriority w:val="64"/>
    <w:rsid w:val="00BA4068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unhideWhenUsed/>
    <w:rsid w:val="00BA40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4C5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4C5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4C5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cuadrculaclara">
    <w:name w:val="Grid Table Light"/>
    <w:basedOn w:val="Tablanormal"/>
    <w:uiPriority w:val="40"/>
    <w:rsid w:val="00BA40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2">
    <w:name w:val="List Table 3 Accent 2"/>
    <w:basedOn w:val="Tablanormal"/>
    <w:uiPriority w:val="48"/>
    <w:rsid w:val="00EF73FE"/>
    <w:pPr>
      <w:spacing w:after="0" w:line="240" w:lineRule="auto"/>
    </w:pPr>
    <w:rPr>
      <w:lang w:eastAsia="es-ES"/>
    </w:rPr>
    <w:tblPr>
      <w:tblStyleRowBandSize w:val="1"/>
      <w:tblStyleColBandSize w:val="1"/>
      <w:tblBorders>
        <w:top w:val="single" w:sz="4" w:space="0" w:color="CB9700" w:themeColor="accent2"/>
        <w:left w:val="single" w:sz="4" w:space="0" w:color="CB9700" w:themeColor="accent2"/>
        <w:bottom w:val="single" w:sz="4" w:space="0" w:color="CB9700" w:themeColor="accent2"/>
        <w:right w:val="single" w:sz="4" w:space="0" w:color="CB97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B9700" w:themeFill="accent2"/>
      </w:tcPr>
    </w:tblStylePr>
    <w:tblStylePr w:type="lastRow">
      <w:rPr>
        <w:b/>
        <w:bCs/>
      </w:rPr>
      <w:tblPr/>
      <w:tcPr>
        <w:tcBorders>
          <w:top w:val="double" w:sz="4" w:space="0" w:color="CB97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B9700" w:themeColor="accent2"/>
          <w:right w:val="single" w:sz="4" w:space="0" w:color="CB9700" w:themeColor="accent2"/>
        </w:tcBorders>
      </w:tcPr>
    </w:tblStylePr>
    <w:tblStylePr w:type="band1Horz">
      <w:tblPr/>
      <w:tcPr>
        <w:tcBorders>
          <w:top w:val="single" w:sz="4" w:space="0" w:color="CB9700" w:themeColor="accent2"/>
          <w:bottom w:val="single" w:sz="4" w:space="0" w:color="CB97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B9700" w:themeColor="accent2"/>
          <w:left w:val="nil"/>
        </w:tcBorders>
      </w:tcPr>
    </w:tblStylePr>
    <w:tblStylePr w:type="swCell">
      <w:tblPr/>
      <w:tcPr>
        <w:tcBorders>
          <w:top w:val="double" w:sz="4" w:space="0" w:color="CB9700" w:themeColor="accent2"/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D70DAE"/>
    <w:rPr>
      <w:color w:val="605E5C"/>
      <w:shd w:val="clear" w:color="auto" w:fill="E1DFDD"/>
    </w:rPr>
  </w:style>
  <w:style w:type="table" w:styleId="Tablaconcuadrcula4-nfasis2">
    <w:name w:val="Grid Table 4 Accent 2"/>
    <w:basedOn w:val="Tablanormal"/>
    <w:uiPriority w:val="49"/>
    <w:rsid w:val="005E34BF"/>
    <w:pPr>
      <w:spacing w:after="0" w:line="240" w:lineRule="auto"/>
    </w:pPr>
    <w:rPr>
      <w:lang w:eastAsia="es-ES"/>
    </w:rPr>
    <w:tblPr>
      <w:tblStyleRowBandSize w:val="1"/>
      <w:tblStyleColBandSize w:val="1"/>
      <w:tblBorders>
        <w:top w:val="single" w:sz="4" w:space="0" w:color="FFCF46" w:themeColor="accent2" w:themeTint="99"/>
        <w:left w:val="single" w:sz="4" w:space="0" w:color="FFCF46" w:themeColor="accent2" w:themeTint="99"/>
        <w:bottom w:val="single" w:sz="4" w:space="0" w:color="FFCF46" w:themeColor="accent2" w:themeTint="99"/>
        <w:right w:val="single" w:sz="4" w:space="0" w:color="FFCF46" w:themeColor="accent2" w:themeTint="99"/>
        <w:insideH w:val="single" w:sz="4" w:space="0" w:color="FFCF46" w:themeColor="accent2" w:themeTint="99"/>
        <w:insideV w:val="single" w:sz="4" w:space="0" w:color="FFCF4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B9700" w:themeColor="accent2"/>
          <w:left w:val="single" w:sz="4" w:space="0" w:color="CB9700" w:themeColor="accent2"/>
          <w:bottom w:val="single" w:sz="4" w:space="0" w:color="CB9700" w:themeColor="accent2"/>
          <w:right w:val="single" w:sz="4" w:space="0" w:color="CB9700" w:themeColor="accent2"/>
          <w:insideH w:val="nil"/>
          <w:insideV w:val="nil"/>
        </w:tcBorders>
        <w:shd w:val="clear" w:color="auto" w:fill="CB9700" w:themeFill="accent2"/>
      </w:tcPr>
    </w:tblStylePr>
    <w:tblStylePr w:type="lastRow">
      <w:rPr>
        <w:b/>
        <w:bCs/>
      </w:rPr>
      <w:tblPr/>
      <w:tcPr>
        <w:tcBorders>
          <w:top w:val="double" w:sz="4" w:space="0" w:color="CB97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2" w:themeFillTint="33"/>
      </w:tcPr>
    </w:tblStylePr>
    <w:tblStylePr w:type="band1Horz">
      <w:tblPr/>
      <w:tcPr>
        <w:shd w:val="clear" w:color="auto" w:fill="FFEFC1" w:themeFill="accent2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0E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0E41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E7A"/>
    <w:rPr>
      <w:color w:val="CB97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gob.es/transparencia/transparencia_Home/index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nsa@consejodetransparencia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ejodetransparencia.es/ct_Home/Actividad/Evaluaciones/Evaluacion2024/2024/AGE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tbg@consejodetransparencia.es" TargetMode="External"/><Relationship Id="rId1" Type="http://schemas.openxmlformats.org/officeDocument/2006/relationships/hyperlink" Target="mailto:ctbg@consejodetransparenc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0C0C0C"/>
      </a:dk1>
      <a:lt1>
        <a:sysClr val="window" lastClr="FFFFFF"/>
      </a:lt1>
      <a:dk2>
        <a:srgbClr val="00806F"/>
      </a:dk2>
      <a:lt2>
        <a:srgbClr val="D6D2C4"/>
      </a:lt2>
      <a:accent1>
        <a:srgbClr val="00806F"/>
      </a:accent1>
      <a:accent2>
        <a:srgbClr val="CB9700"/>
      </a:accent2>
      <a:accent3>
        <a:srgbClr val="244C5A"/>
      </a:accent3>
      <a:accent4>
        <a:srgbClr val="034638"/>
      </a:accent4>
      <a:accent5>
        <a:srgbClr val="00806F"/>
      </a:accent5>
      <a:accent6>
        <a:srgbClr val="034638"/>
      </a:accent6>
      <a:hlink>
        <a:srgbClr val="034638"/>
      </a:hlink>
      <a:folHlink>
        <a:srgbClr val="CB97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5FD049-96EB-4473-A8A5-C7F6FF3C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PILAR FERRANDEZ FACI</dc:creator>
  <cp:lastModifiedBy>ROSA BLANCA DÍAZ HERNANDO</cp:lastModifiedBy>
  <cp:revision>3</cp:revision>
  <cp:lastPrinted>2016-01-05T09:13:00Z</cp:lastPrinted>
  <dcterms:created xsi:type="dcterms:W3CDTF">2024-12-02T08:04:00Z</dcterms:created>
  <dcterms:modified xsi:type="dcterms:W3CDTF">2024-12-02T08:53:00Z</dcterms:modified>
</cp:coreProperties>
</file>