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33AE1089" w:rsidR="005E61F8" w:rsidRPr="005E61F8" w:rsidRDefault="00B6264D" w:rsidP="00E9142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Coordinadora de ONG para el desarrollo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114970FB" w14:textId="77777777" w:rsidR="00B6264D" w:rsidRDefault="00B6264D" w:rsidP="00B6264D">
            <w:pPr>
              <w:rPr>
                <w:rFonts w:ascii="Mulish" w:hAnsi="Mulish"/>
                <w:sz w:val="24"/>
              </w:rPr>
            </w:pPr>
            <w:r w:rsidRPr="006A6A1F">
              <w:rPr>
                <w:rFonts w:ascii="Mulish" w:hAnsi="Mulish"/>
                <w:sz w:val="24"/>
              </w:rPr>
              <w:t>29/05/2024</w:t>
            </w:r>
          </w:p>
          <w:p w14:paraId="65799873" w14:textId="497FF87E" w:rsidR="005E61F8" w:rsidRPr="005E61F8" w:rsidRDefault="00B6264D" w:rsidP="00B6264D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18/07/2024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3857F85" w:rsidR="007F29D5" w:rsidRPr="00E9142B" w:rsidRDefault="00EC65C4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B6264D" w:rsidRPr="00E62A7B">
                <w:rPr>
                  <w:rStyle w:val="Hipervnculo"/>
                  <w:rFonts w:ascii="Mulish" w:hAnsi="Mulish"/>
                  <w:sz w:val="24"/>
                </w:rPr>
                <w:t>https://coordinadoraongd.org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6D054552" w:rsidR="007F29D5" w:rsidRDefault="00EC65C4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3447DF8C" w14:textId="77777777" w:rsidR="00B6264D" w:rsidRPr="00517646" w:rsidRDefault="00B6264D" w:rsidP="00B6264D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B6264D" w:rsidRPr="00517646" w14:paraId="1E7081CD" w14:textId="77777777" w:rsidTr="00B6264D">
        <w:tc>
          <w:tcPr>
            <w:tcW w:w="2235" w:type="dxa"/>
            <w:vMerge w:val="restart"/>
            <w:shd w:val="clear" w:color="auto" w:fill="3C8378"/>
            <w:vAlign w:val="center"/>
          </w:tcPr>
          <w:p w14:paraId="4457DCCB" w14:textId="77777777" w:rsidR="00B6264D" w:rsidRPr="00517646" w:rsidRDefault="00B6264D" w:rsidP="00B6264D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79BE36E7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14D2FFC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593697F5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B6264D" w:rsidRPr="00517646" w14:paraId="1C7CFF90" w14:textId="77777777" w:rsidTr="00B6264D">
        <w:tc>
          <w:tcPr>
            <w:tcW w:w="2235" w:type="dxa"/>
            <w:vMerge/>
            <w:shd w:val="clear" w:color="auto" w:fill="3C8378"/>
          </w:tcPr>
          <w:p w14:paraId="5D30493F" w14:textId="77777777" w:rsidR="00B6264D" w:rsidRPr="00517646" w:rsidRDefault="00B6264D" w:rsidP="007D2515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076E36F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BFFE23C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296C128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B6264D" w:rsidRPr="00517646" w14:paraId="6735BCE5" w14:textId="77777777" w:rsidTr="00B6264D">
        <w:tc>
          <w:tcPr>
            <w:tcW w:w="2235" w:type="dxa"/>
            <w:vMerge/>
            <w:shd w:val="clear" w:color="auto" w:fill="3C8378"/>
          </w:tcPr>
          <w:p w14:paraId="0264FDAD" w14:textId="77777777" w:rsidR="00B6264D" w:rsidRPr="00517646" w:rsidRDefault="00B6264D" w:rsidP="007D2515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7647876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46E43EC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530ABA5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39C8306" w14:textId="77777777" w:rsidR="00B6264D" w:rsidRPr="00517646" w:rsidRDefault="00B6264D" w:rsidP="00B6264D">
      <w:pPr>
        <w:rPr>
          <w:rFonts w:ascii="Mulish" w:hAnsi="Mulish"/>
        </w:rPr>
      </w:pPr>
    </w:p>
    <w:p w14:paraId="765B2AE2" w14:textId="77777777" w:rsidR="00B6264D" w:rsidRPr="00517646" w:rsidRDefault="00B6264D" w:rsidP="00B6264D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47"/>
        <w:gridCol w:w="424"/>
        <w:gridCol w:w="3944"/>
      </w:tblGrid>
      <w:tr w:rsidR="00B6264D" w:rsidRPr="00517646" w14:paraId="5E3D9C68" w14:textId="77777777" w:rsidTr="00B6264D">
        <w:tc>
          <w:tcPr>
            <w:tcW w:w="2235" w:type="dxa"/>
            <w:vMerge w:val="restart"/>
            <w:shd w:val="clear" w:color="auto" w:fill="3C8378"/>
            <w:vAlign w:val="center"/>
          </w:tcPr>
          <w:p w14:paraId="228918AA" w14:textId="77777777" w:rsidR="00B6264D" w:rsidRPr="00517646" w:rsidRDefault="00B6264D" w:rsidP="00B6264D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0083EF47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07F2F23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0A404256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B6264D" w:rsidRPr="00517646" w14:paraId="74493EA4" w14:textId="77777777" w:rsidTr="00B6264D">
        <w:tc>
          <w:tcPr>
            <w:tcW w:w="2235" w:type="dxa"/>
            <w:vMerge/>
            <w:shd w:val="clear" w:color="auto" w:fill="3C8378"/>
          </w:tcPr>
          <w:p w14:paraId="7CA62056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338C4A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organizada</w:t>
            </w:r>
            <w:r>
              <w:rPr>
                <w:rFonts w:ascii="Mulish" w:hAnsi="Mulish"/>
                <w:sz w:val="20"/>
                <w:szCs w:val="20"/>
              </w:rPr>
              <w:t>,</w:t>
            </w:r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099AEE7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12D79A5B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B6264D" w:rsidRPr="00517646" w14:paraId="1E74D898" w14:textId="77777777" w:rsidTr="00B6264D">
        <w:tc>
          <w:tcPr>
            <w:tcW w:w="2235" w:type="dxa"/>
            <w:vMerge/>
            <w:shd w:val="clear" w:color="auto" w:fill="3C8378"/>
          </w:tcPr>
          <w:p w14:paraId="38F51283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D40C06" w14:textId="77777777" w:rsidR="00B6264D" w:rsidRPr="00517646" w:rsidRDefault="00B6264D" w:rsidP="007D2515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DDE1340" w14:textId="77777777" w:rsidR="00B6264D" w:rsidRPr="00517646" w:rsidRDefault="00B6264D" w:rsidP="007D251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B956C9F" w14:textId="77777777" w:rsidR="00B6264D" w:rsidRPr="00517646" w:rsidRDefault="00B6264D" w:rsidP="007D2515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3A607FA" w14:textId="77777777" w:rsidR="00B6264D" w:rsidRDefault="00B6264D" w:rsidP="00B6264D">
      <w:pPr>
        <w:rPr>
          <w:rFonts w:ascii="Mulish" w:hAnsi="Mulish"/>
        </w:rPr>
      </w:pPr>
    </w:p>
    <w:p w14:paraId="138CC39C" w14:textId="77777777" w:rsidR="00B6264D" w:rsidRPr="00517646" w:rsidRDefault="00B6264D" w:rsidP="00B6264D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78488EC9" wp14:editId="129AABA2">
            <wp:extent cx="6645910" cy="206184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FD95" w14:textId="77777777" w:rsidR="00B6264D" w:rsidRPr="00517646" w:rsidRDefault="00B6264D" w:rsidP="00B6264D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176502AA" w14:textId="7D185630" w:rsidR="00B6264D" w:rsidRPr="00B6264D" w:rsidRDefault="00B6264D" w:rsidP="00B6264D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B6264D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1923FCD1" w14:textId="77777777" w:rsidR="00B6264D" w:rsidRPr="00B6264D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6264D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B6264D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4"/>
        <w:gridCol w:w="797"/>
        <w:gridCol w:w="5910"/>
      </w:tblGrid>
      <w:tr w:rsidR="00B6264D" w:rsidRPr="00517646" w14:paraId="5B3C5CAE" w14:textId="77777777" w:rsidTr="00B6264D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14A6953A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55B7877E" w14:textId="77777777" w:rsidR="00B6264D" w:rsidRPr="00517646" w:rsidRDefault="00B6264D" w:rsidP="007D2515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CD5DA2A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331F84F4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6264D" w:rsidRPr="00517646" w14:paraId="52A57B1F" w14:textId="77777777" w:rsidTr="00B6264D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5BC6976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269D13" w14:textId="77777777" w:rsidR="00B6264D" w:rsidRPr="00B6264D" w:rsidRDefault="00B6264D" w:rsidP="007D251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64A723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C6CBD42" w14:textId="77777777" w:rsidR="00B6264D" w:rsidRPr="00B6264D" w:rsidRDefault="00B6264D" w:rsidP="007D251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</w:t>
            </w:r>
          </w:p>
        </w:tc>
      </w:tr>
      <w:tr w:rsidR="00B6264D" w:rsidRPr="00517646" w14:paraId="6F4C7423" w14:textId="77777777" w:rsidTr="00B6264D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  <w:vAlign w:val="center"/>
          </w:tcPr>
          <w:p w14:paraId="31712E8D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13AC57" w14:textId="77777777" w:rsidR="00B6264D" w:rsidRPr="00B6264D" w:rsidRDefault="00B6264D" w:rsidP="007D251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C76CA2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49F5354" w14:textId="77777777" w:rsidR="00B6264D" w:rsidRPr="00B6264D" w:rsidRDefault="00B6264D" w:rsidP="007D251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Transparencia.</w:t>
            </w:r>
          </w:p>
        </w:tc>
      </w:tr>
      <w:tr w:rsidR="00B6264D" w:rsidRPr="00517646" w14:paraId="3586293A" w14:textId="77777777" w:rsidTr="00B6264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3104C83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5429B7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D10914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4561591" w14:textId="77777777" w:rsidR="00B6264D" w:rsidRPr="00B6264D" w:rsidRDefault="00B6264D" w:rsidP="007D251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Transparencia.</w:t>
            </w:r>
          </w:p>
        </w:tc>
      </w:tr>
      <w:tr w:rsidR="00B6264D" w:rsidRPr="00517646" w14:paraId="6A63FD71" w14:textId="77777777" w:rsidTr="00B626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76E86FD5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172F72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8405FF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E702D1" w14:textId="77777777" w:rsidR="00B6264D" w:rsidRPr="00B6264D" w:rsidRDefault="00B6264D" w:rsidP="007D251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6264D" w:rsidRPr="00517646" w14:paraId="060631E6" w14:textId="77777777" w:rsidTr="00B626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18FEB903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0C5D36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60D881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65E9851" w14:textId="77777777" w:rsidR="00B6264D" w:rsidRPr="00B6264D" w:rsidRDefault="00B6264D" w:rsidP="007D2515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Transparencia.</w:t>
            </w:r>
          </w:p>
        </w:tc>
      </w:tr>
      <w:tr w:rsidR="00B6264D" w:rsidRPr="00517646" w14:paraId="3E77722B" w14:textId="77777777" w:rsidTr="00B626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36B4E932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62F62F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8B4CCE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B0E4B9D" w14:textId="77777777" w:rsidR="00B6264D" w:rsidRPr="00B6264D" w:rsidRDefault="00B6264D" w:rsidP="007D2515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Transparencia.</w:t>
            </w:r>
          </w:p>
        </w:tc>
      </w:tr>
    </w:tbl>
    <w:p w14:paraId="0763B4F0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7212272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6264D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72E02" wp14:editId="01DFB5C6">
                <wp:simplePos x="0" y="0"/>
                <wp:positionH relativeFrom="column">
                  <wp:posOffset>247650</wp:posOffset>
                </wp:positionH>
                <wp:positionV relativeFrom="paragraph">
                  <wp:posOffset>343534</wp:posOffset>
                </wp:positionV>
                <wp:extent cx="6381750" cy="17621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7A32" w14:textId="2CD6823E" w:rsidR="00B6264D" w:rsidRP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3C4F406E" w14:textId="77777777" w:rsidR="00B6264D" w:rsidRPr="00B6264D" w:rsidRDefault="00B6264D" w:rsidP="00B6264D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0CC89A32" w14:textId="47678B1F" w:rsidR="00B6264D" w:rsidRPr="00B6264D" w:rsidRDefault="00B6264D" w:rsidP="00B6264D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6264D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no recoge todos los contenidos obligatorios establecidos en el artículo 6 de la LTAIBG:</w:t>
                            </w:r>
                          </w:p>
                          <w:p w14:paraId="6A510D9C" w14:textId="77777777" w:rsidR="00B6264D" w:rsidRPr="00B6264D" w:rsidRDefault="00B6264D" w:rsidP="00B6264D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06D03554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6264D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el organigrama de la Coordinadora, que es una obligación diferenciada a la de la publicación de la estructura organizativa.</w:t>
                            </w:r>
                          </w:p>
                          <w:p w14:paraId="7C9A7DBA" w14:textId="77777777" w:rsidR="00B6264D" w:rsidRP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  <w:t xml:space="preserve">Calidad de la Información: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2E02" id="_x0000_s1027" type="#_x0000_t202" style="position:absolute;left:0;text-align:left;margin-left:19.5pt;margin-top:27.05pt;width:502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">
                <v:textbox>
                  <w:txbxContent>
                    <w:p w14:paraId="0E5C7A32" w14:textId="2CD6823E" w:rsidR="00B6264D" w:rsidRP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6264D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3C4F406E" w14:textId="77777777" w:rsidR="00B6264D" w:rsidRPr="00B6264D" w:rsidRDefault="00B6264D" w:rsidP="00B6264D">
                      <w:pPr>
                        <w:rPr>
                          <w:b/>
                          <w:color w:val="3C8378"/>
                        </w:rPr>
                      </w:pPr>
                    </w:p>
                    <w:p w14:paraId="0CC89A32" w14:textId="47678B1F" w:rsidR="00B6264D" w:rsidRPr="00B6264D" w:rsidRDefault="00B6264D" w:rsidP="00B6264D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6264D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no recoge todos los contenidos obligatorios establecidos en el artículo 6 de la LTAIBG:</w:t>
                      </w:r>
                    </w:p>
                    <w:p w14:paraId="6A510D9C" w14:textId="77777777" w:rsidR="00B6264D" w:rsidRPr="00B6264D" w:rsidRDefault="00B6264D" w:rsidP="00B6264D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</w:p>
                    <w:p w14:paraId="06D03554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6264D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el organigrama de la Coordinadora, que es una obligación diferenciada a la de la publicación de la estructura organizativa.</w:t>
                      </w:r>
                    </w:p>
                    <w:p w14:paraId="7C9A7DBA" w14:textId="77777777" w:rsidR="00B6264D" w:rsidRP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</w:pPr>
                      <w:r w:rsidRPr="00B6264D"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  <w:t xml:space="preserve">Calidad de la Información: </w:t>
                      </w:r>
                    </w:p>
                  </w:txbxContent>
                </v:textbox>
              </v:shape>
            </w:pict>
          </mc:Fallback>
        </mc:AlternateContent>
      </w:r>
      <w:r w:rsidRPr="00B6264D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6D333F49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20FC57C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180A87" w14:textId="77777777" w:rsidR="00B6264D" w:rsidRPr="00517646" w:rsidRDefault="00B6264D" w:rsidP="00B6264D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3F58A6C6" w14:textId="77777777" w:rsidR="00B6264D" w:rsidRPr="00B6264D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6264D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B6264D">
        <w:rPr>
          <w:rFonts w:ascii="Mulish" w:hAnsi="Mulish"/>
          <w:color w:val="3C8378"/>
          <w:lang w:bidi="es-ES"/>
        </w:rPr>
        <w:t xml:space="preserve"> </w:t>
      </w:r>
    </w:p>
    <w:p w14:paraId="4702C994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B6264D" w:rsidRPr="00517646" w14:paraId="2D11232F" w14:textId="77777777" w:rsidTr="00B6264D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50FC0FD3" w14:textId="77777777" w:rsidR="00B6264D" w:rsidRPr="00517646" w:rsidRDefault="00B6264D" w:rsidP="00B6264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0F8026B" w14:textId="77777777" w:rsidR="00B6264D" w:rsidRPr="00517646" w:rsidRDefault="00B6264D" w:rsidP="00B6264D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581AADE" w14:textId="77777777" w:rsidR="00B6264D" w:rsidRPr="00517646" w:rsidRDefault="00B6264D" w:rsidP="00B6264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0A850B5A" w14:textId="77777777" w:rsidR="00B6264D" w:rsidRPr="00517646" w:rsidRDefault="00B6264D" w:rsidP="00B6264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6264D" w:rsidRPr="00517646" w14:paraId="30E71FB6" w14:textId="77777777" w:rsidTr="00B6264D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57F915A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F7E3EB" w14:textId="77777777" w:rsidR="00B6264D" w:rsidRPr="00B6264D" w:rsidRDefault="00B6264D" w:rsidP="007D2515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5EF6705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C4FEA94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6264D" w:rsidRPr="00517646" w14:paraId="1E7EC6E7" w14:textId="77777777" w:rsidTr="00B6264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DB84AD5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21B8C52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5E2EF72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E08B119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6264D" w:rsidRPr="00517646" w14:paraId="686FB96F" w14:textId="77777777" w:rsidTr="00B6264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0A155F4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86B1070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626544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FD3B912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B6264D" w:rsidRPr="00517646" w14:paraId="78A92A58" w14:textId="77777777" w:rsidTr="00B6264D">
        <w:trPr>
          <w:trHeight w:val="169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129C59F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0C99500" w14:textId="505E5F16" w:rsidR="00B6264D" w:rsidRPr="00B6264D" w:rsidRDefault="00B6264D" w:rsidP="00B6264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6608C7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56B83B9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B6264D" w:rsidRPr="00517646" w14:paraId="15325E26" w14:textId="77777777" w:rsidTr="00B6264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CCA5F84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ABF1402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F6F6E64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EAA7C1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B6264D" w:rsidRPr="00517646" w14:paraId="45961D61" w14:textId="77777777" w:rsidTr="00B6264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85292C6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2D58DE6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5B16D78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2C18849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B6264D" w:rsidRPr="00517646" w14:paraId="7D12F65F" w14:textId="77777777" w:rsidTr="00B6264D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AF1E94E" w14:textId="77777777" w:rsidR="00B6264D" w:rsidRPr="00517646" w:rsidRDefault="00B6264D" w:rsidP="007D251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D9031BA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FD05E9F" w14:textId="77777777" w:rsidR="00B6264D" w:rsidRPr="00B6264D" w:rsidRDefault="00B6264D" w:rsidP="00B6264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7CAE07D" w14:textId="77777777" w:rsidR="00B6264D" w:rsidRPr="00B6264D" w:rsidRDefault="00B6264D" w:rsidP="007D251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6264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Transparencia.</w:t>
            </w:r>
          </w:p>
        </w:tc>
      </w:tr>
    </w:tbl>
    <w:p w14:paraId="5B8287FB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9A7908F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10BF520" w14:textId="77777777" w:rsidR="00B6264D" w:rsidRPr="00B6264D" w:rsidRDefault="00B6264D" w:rsidP="00B6264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6264D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72C7BA2B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09DA6" wp14:editId="5E0CD234">
                <wp:simplePos x="0" y="0"/>
                <wp:positionH relativeFrom="column">
                  <wp:posOffset>6350</wp:posOffset>
                </wp:positionH>
                <wp:positionV relativeFrom="paragraph">
                  <wp:posOffset>151130</wp:posOffset>
                </wp:positionV>
                <wp:extent cx="6673850" cy="1390650"/>
                <wp:effectExtent l="0" t="0" r="1270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3AD6" w14:textId="4D6C6C59" w:rsid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53857084" w14:textId="77777777" w:rsidR="00B6264D" w:rsidRP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2E9BFDBC" w14:textId="413A5E28" w:rsidR="00B6264D" w:rsidRPr="00B6264D" w:rsidRDefault="00B6264D" w:rsidP="00B6264D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</w:rPr>
                              <w:t>La información publicada no contempla todos los contenidos obligatorios establecidos en el artículo 8 de la LTAIBG:</w:t>
                            </w:r>
                          </w:p>
                          <w:p w14:paraId="773AF513" w14:textId="77777777" w:rsidR="00B6264D" w:rsidRPr="00B6264D" w:rsidRDefault="00B6264D" w:rsidP="00B6264D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3161CE8B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</w:rPr>
                              <w:t>No se publica información sobre contratos adjudicados por administraciones públicas.</w:t>
                            </w:r>
                          </w:p>
                          <w:p w14:paraId="103D7BA6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</w:rPr>
                              <w:t>No se publican los convenios suscritos con administraciones públicas.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9DA6" id="_x0000_s1028" type="#_x0000_t202" style="position:absolute;left:0;text-align:left;margin-left:.5pt;margin-top:11.9pt;width:525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tIKwIAAFQ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">
                <v:textbox>
                  <w:txbxContent>
                    <w:p w14:paraId="4DD63AD6" w14:textId="4D6C6C59" w:rsid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6264D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53857084" w14:textId="77777777" w:rsidR="00B6264D" w:rsidRP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2E9BFDBC" w14:textId="413A5E28" w:rsidR="00B6264D" w:rsidRPr="00B6264D" w:rsidRDefault="00B6264D" w:rsidP="00B6264D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B6264D">
                        <w:rPr>
                          <w:rFonts w:ascii="Mulish" w:hAnsi="Mulish"/>
                        </w:rPr>
                        <w:t>La información publicada no contempla todos los contenidos obligatorios establecidos en el artículo 8 de la LTAIBG:</w:t>
                      </w:r>
                    </w:p>
                    <w:p w14:paraId="773AF513" w14:textId="77777777" w:rsidR="00B6264D" w:rsidRPr="00B6264D" w:rsidRDefault="00B6264D" w:rsidP="00B6264D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3161CE8B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B6264D">
                        <w:rPr>
                          <w:rFonts w:ascii="Mulish" w:hAnsi="Mulish"/>
                        </w:rPr>
                        <w:t>No se publica información sobre contratos adjudicados por administraciones públicas.</w:t>
                      </w:r>
                    </w:p>
                    <w:p w14:paraId="103D7BA6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B6264D">
                        <w:rPr>
                          <w:rFonts w:ascii="Mulish" w:hAnsi="Mulish"/>
                        </w:rPr>
                        <w:t>No se publican los convenios suscritos con administraciones públicas.</w:t>
                      </w:r>
                    </w:p>
                  </w:txbxContent>
                </v:textbox>
              </v:shape>
            </w:pict>
          </mc:Fallback>
        </mc:AlternateContent>
      </w:r>
    </w:p>
    <w:p w14:paraId="733DF309" w14:textId="77777777" w:rsidR="00B6264D" w:rsidRPr="00517646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A1A45F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62B8CFB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FCC4311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A359A65" w14:textId="77777777" w:rsidR="00B6264D" w:rsidRDefault="00B6264D" w:rsidP="00B6264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D7ACF88" w14:textId="77777777" w:rsidR="00B6264D" w:rsidRPr="00B6264D" w:rsidRDefault="00B6264D" w:rsidP="00B6264D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B6264D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5AA999EA" w14:textId="362A40A5" w:rsidR="00B6264D" w:rsidRDefault="00B6264D" w:rsidP="00B6264D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B6264D" w:rsidRPr="00B6264D" w14:paraId="6D30EB73" w14:textId="77777777" w:rsidTr="00B6264D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01CB1EC" w14:textId="18A3B027" w:rsidR="00B6264D" w:rsidRPr="00B6264D" w:rsidRDefault="00B6264D" w:rsidP="00B6264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E269AD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3FCDB82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67DAC8C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5131AD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BEBAA3E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AEED1AE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6EEF327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F2EB11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6264D" w:rsidRPr="00B6264D" w14:paraId="6D49276C" w14:textId="77777777" w:rsidTr="00B6264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8C599C9" w14:textId="77777777" w:rsidR="00B6264D" w:rsidRPr="00B6264D" w:rsidRDefault="00B6264D" w:rsidP="00B626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A96300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47CC92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7FC127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21ACEA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F36C3E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8C5B32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934A62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995470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B6264D" w:rsidRPr="00B6264D" w14:paraId="078034E1" w14:textId="77777777" w:rsidTr="00B6264D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A7A592A" w14:textId="77777777" w:rsidR="00B6264D" w:rsidRPr="00B6264D" w:rsidRDefault="00B6264D" w:rsidP="00B626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6EB5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F669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0020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8745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2C06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A05E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D36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3C25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6264D" w:rsidRPr="00B6264D" w14:paraId="335F89AA" w14:textId="77777777" w:rsidTr="00B6264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C79629E" w14:textId="77777777" w:rsidR="00B6264D" w:rsidRPr="00B6264D" w:rsidRDefault="00B6264D" w:rsidP="00B626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C94128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D57BBD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F8E431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57002B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AE5FB1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99DC9F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B19901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477BA7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</w:tr>
      <w:tr w:rsidR="00B6264D" w:rsidRPr="00B6264D" w14:paraId="0EEE857F" w14:textId="77777777" w:rsidTr="00B6264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33109FC" w14:textId="77777777" w:rsidR="00B6264D" w:rsidRPr="00B6264D" w:rsidRDefault="00B6264D" w:rsidP="00B626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F079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2966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06EB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4F8C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7018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3870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F3EE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EA18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6264D" w:rsidRPr="00B6264D" w14:paraId="296116CD" w14:textId="77777777" w:rsidTr="00B6264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F840664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F61F71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21084C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4801B5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765C24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DB98D53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6F5E21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7ADB93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466A18" w14:textId="77777777" w:rsidR="00B6264D" w:rsidRPr="00B6264D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626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72,4</w:t>
            </w:r>
          </w:p>
        </w:tc>
      </w:tr>
    </w:tbl>
    <w:p w14:paraId="117E6E5C" w14:textId="003E1D4E" w:rsidR="00B6264D" w:rsidRDefault="00B6264D" w:rsidP="00B6264D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019CE5AE" w14:textId="0DFEBA4F" w:rsidR="00B6264D" w:rsidRDefault="00B6264D" w:rsidP="00B6264D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72,4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28,6</w:t>
      </w:r>
      <w:r w:rsidRPr="00D40AE6">
        <w:rPr>
          <w:rFonts w:ascii="Mulish" w:hAnsi="Mulish"/>
        </w:rPr>
        <w:t>% de estas informaciones –</w:t>
      </w:r>
      <w:r>
        <w:rPr>
          <w:rFonts w:ascii="Mulish" w:hAnsi="Mulish"/>
        </w:rPr>
        <w:t>es</w:t>
      </w:r>
      <w:r w:rsidRPr="00D40AE6">
        <w:rPr>
          <w:rFonts w:ascii="Mulish" w:hAnsi="Mulish"/>
        </w:rPr>
        <w:t xml:space="preserve"> </w:t>
      </w:r>
      <w:r>
        <w:rPr>
          <w:rFonts w:ascii="Mulish" w:hAnsi="Mulish"/>
        </w:rPr>
        <w:t>el</w:t>
      </w:r>
      <w:r w:rsidRPr="00D40AE6">
        <w:rPr>
          <w:rFonts w:ascii="Mulish" w:hAnsi="Mulish"/>
        </w:rPr>
        <w:t xml:space="preserve"> factor que explica el Índice de Cumplimiento alcanzado.</w:t>
      </w:r>
      <w:bookmarkEnd w:id="0"/>
    </w:p>
    <w:p w14:paraId="7B23F30A" w14:textId="77777777" w:rsidR="00B6264D" w:rsidRPr="00517646" w:rsidRDefault="00B6264D" w:rsidP="00B6264D">
      <w:pPr>
        <w:pStyle w:val="Cuerpodelboletn"/>
        <w:spacing w:before="120" w:after="120" w:line="312" w:lineRule="auto"/>
        <w:rPr>
          <w:rFonts w:ascii="Mulish" w:hAnsi="Mulish"/>
          <w:b/>
          <w:color w:val="50866C"/>
          <w:sz w:val="32"/>
        </w:rPr>
      </w:pPr>
    </w:p>
    <w:p w14:paraId="2D2FB4A1" w14:textId="2567CCBF" w:rsidR="00B6264D" w:rsidRPr="00B6264D" w:rsidRDefault="00B6264D" w:rsidP="00B6264D">
      <w:pPr>
        <w:pStyle w:val="Cuerpodelboletn"/>
        <w:numPr>
          <w:ilvl w:val="0"/>
          <w:numId w:val="36"/>
        </w:numPr>
        <w:spacing w:before="120" w:after="120" w:line="312" w:lineRule="auto"/>
        <w:ind w:left="0" w:firstLine="0"/>
        <w:rPr>
          <w:rFonts w:ascii="Mulish" w:hAnsi="Mulish"/>
          <w:b/>
          <w:color w:val="3C8378"/>
          <w:sz w:val="32"/>
        </w:rPr>
      </w:pPr>
      <w:r w:rsidRPr="00E77002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8FA1F" wp14:editId="6165B905">
                <wp:simplePos x="0" y="0"/>
                <wp:positionH relativeFrom="column">
                  <wp:posOffset>9525</wp:posOffset>
                </wp:positionH>
                <wp:positionV relativeFrom="paragraph">
                  <wp:posOffset>408306</wp:posOffset>
                </wp:positionV>
                <wp:extent cx="6616700" cy="1695450"/>
                <wp:effectExtent l="0" t="0" r="1270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37EB" w14:textId="1A267DED" w:rsid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51B9ABF6" w14:textId="77777777" w:rsidR="00B6264D" w:rsidRP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7316F714" w14:textId="5B06E56A" w:rsidR="00B6264D" w:rsidRPr="00B6264D" w:rsidRDefault="00B6264D" w:rsidP="00B6264D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Coordinadora de ONG para el desarrollo publica informaciones adicionales a las obligatorias que son relevantes desde el punto de vista de la transparencia y la rendición de cuentas:</w:t>
                            </w:r>
                          </w:p>
                          <w:p w14:paraId="329C06AC" w14:textId="77777777" w:rsidR="00B6264D" w:rsidRPr="00B6264D" w:rsidRDefault="00B6264D" w:rsidP="00B6264D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5311A9C2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Reglamento de procedimientos internos.</w:t>
                            </w:r>
                          </w:p>
                          <w:p w14:paraId="67AA5C1A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Plan de Trabajo 2024.</w:t>
                            </w:r>
                          </w:p>
                          <w:p w14:paraId="0D9C4F7A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Memoria 2023.</w:t>
                            </w:r>
                          </w:p>
                          <w:p w14:paraId="40A1C2BA" w14:textId="77777777" w:rsidR="00B6264D" w:rsidRP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Política de inversiones financieras.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FA1F" id="_x0000_s1029" type="#_x0000_t202" style="position:absolute;left:0;text-align:left;margin-left:.75pt;margin-top:32.15pt;width:521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yGLAIAAFM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">
                <v:textbox>
                  <w:txbxContent>
                    <w:p w14:paraId="21BD37EB" w14:textId="1A267DED" w:rsid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6264D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51B9ABF6" w14:textId="77777777" w:rsidR="00B6264D" w:rsidRP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7316F714" w14:textId="5B06E56A" w:rsidR="00B6264D" w:rsidRPr="00B6264D" w:rsidRDefault="00B6264D" w:rsidP="00B6264D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6264D">
                        <w:rPr>
                          <w:rFonts w:ascii="Mulish" w:hAnsi="Mulish"/>
                          <w:sz w:val="20"/>
                          <w:szCs w:val="20"/>
                        </w:rPr>
                        <w:t>La Coordinadora de ONG para el desarrollo publica informaciones adicionales a las obligatorias que son relevantes desde el punto de vista de la transparencia y la rendición de cuentas:</w:t>
                      </w:r>
                    </w:p>
                    <w:p w14:paraId="329C06AC" w14:textId="77777777" w:rsidR="00B6264D" w:rsidRPr="00B6264D" w:rsidRDefault="00B6264D" w:rsidP="00B6264D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5311A9C2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B6264D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Reglamento de procedimientos internos.</w:t>
                      </w:r>
                    </w:p>
                    <w:p w14:paraId="67AA5C1A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B6264D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Plan de Trabajo 2024.</w:t>
                      </w:r>
                    </w:p>
                    <w:p w14:paraId="0D9C4F7A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B6264D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Memoria 2023.</w:t>
                      </w:r>
                    </w:p>
                    <w:p w14:paraId="40A1C2BA" w14:textId="77777777" w:rsidR="00B6264D" w:rsidRPr="00B6264D" w:rsidRDefault="00B6264D" w:rsidP="00B6264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 w:rsidRPr="00B6264D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Política de inversiones financieras.</w:t>
                      </w:r>
                    </w:p>
                  </w:txbxContent>
                </v:textbox>
              </v:shape>
            </w:pict>
          </mc:Fallback>
        </mc:AlternateContent>
      </w:r>
      <w:r w:rsidRPr="00B6264D">
        <w:rPr>
          <w:rFonts w:ascii="Mulish" w:hAnsi="Mulish"/>
          <w:b/>
          <w:color w:val="3C8378"/>
          <w:sz w:val="32"/>
        </w:rPr>
        <w:t xml:space="preserve">Transparencia Voluntaria y Buenas Prácticas </w:t>
      </w:r>
    </w:p>
    <w:p w14:paraId="1A315C62" w14:textId="638CA376" w:rsidR="00B6264D" w:rsidRPr="00517646" w:rsidRDefault="00B6264D" w:rsidP="00B6264D">
      <w:pPr>
        <w:rPr>
          <w:rFonts w:ascii="Mulish" w:hAnsi="Mulish"/>
          <w:u w:val="single"/>
        </w:rPr>
      </w:pPr>
    </w:p>
    <w:p w14:paraId="72B1D18C" w14:textId="77777777" w:rsidR="00B6264D" w:rsidRPr="00517646" w:rsidRDefault="00B6264D" w:rsidP="00B6264D">
      <w:pPr>
        <w:rPr>
          <w:rFonts w:ascii="Mulish" w:hAnsi="Mulish"/>
          <w:u w:val="single"/>
        </w:rPr>
      </w:pPr>
    </w:p>
    <w:p w14:paraId="2AC0DFAC" w14:textId="77777777" w:rsidR="00B6264D" w:rsidRDefault="00B6264D" w:rsidP="00B6264D">
      <w:pPr>
        <w:rPr>
          <w:rFonts w:ascii="Mulish" w:hAnsi="Mulish"/>
        </w:rPr>
      </w:pPr>
    </w:p>
    <w:p w14:paraId="44518E0B" w14:textId="77777777" w:rsidR="00B6264D" w:rsidRDefault="00B6264D" w:rsidP="00B6264D">
      <w:pPr>
        <w:rPr>
          <w:rFonts w:ascii="Mulish" w:hAnsi="Mulish"/>
        </w:rPr>
      </w:pPr>
    </w:p>
    <w:p w14:paraId="07C31D8E" w14:textId="77777777" w:rsidR="00B6264D" w:rsidRDefault="00B6264D" w:rsidP="00B6264D">
      <w:pPr>
        <w:rPr>
          <w:rFonts w:ascii="Mulish" w:hAnsi="Mulish"/>
        </w:rPr>
      </w:pPr>
    </w:p>
    <w:p w14:paraId="63519717" w14:textId="77777777" w:rsidR="00B6264D" w:rsidRDefault="00B6264D" w:rsidP="00B6264D">
      <w:pPr>
        <w:rPr>
          <w:rFonts w:ascii="Mulish" w:hAnsi="Mulish"/>
        </w:rPr>
      </w:pPr>
    </w:p>
    <w:p w14:paraId="4C1E4AA3" w14:textId="0BF53997" w:rsidR="00B6264D" w:rsidRPr="00517646" w:rsidRDefault="00B6264D" w:rsidP="00B6264D">
      <w:pPr>
        <w:rPr>
          <w:rFonts w:ascii="Mulish" w:hAnsi="Mulish"/>
        </w:rPr>
      </w:pPr>
    </w:p>
    <w:p w14:paraId="4FC9FB42" w14:textId="77777777" w:rsidR="00B6264D" w:rsidRDefault="00B6264D" w:rsidP="00B6264D">
      <w:pPr>
        <w:rPr>
          <w:rFonts w:ascii="Mulish" w:hAnsi="Mulish"/>
        </w:rPr>
      </w:pPr>
    </w:p>
    <w:p w14:paraId="41221DAA" w14:textId="1717ABBC" w:rsidR="00B6264D" w:rsidRPr="00517646" w:rsidRDefault="00B6264D" w:rsidP="00B6264D">
      <w:pPr>
        <w:rPr>
          <w:rFonts w:ascii="Mulish" w:hAnsi="Mulish"/>
        </w:rPr>
      </w:pPr>
      <w:r w:rsidRPr="00517646">
        <w:rPr>
          <w:rFonts w:ascii="Mulish" w:hAnsi="Mulish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EC14" wp14:editId="13AFE0D4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572250" cy="914400"/>
                <wp:effectExtent l="0" t="0" r="1905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3762" w14:textId="5D50EBF9" w:rsidR="00B6264D" w:rsidRPr="00B6264D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6264D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047989D3" w14:textId="77777777" w:rsidR="00B6264D" w:rsidRPr="00257FC3" w:rsidRDefault="00B6264D" w:rsidP="00B6264D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6E316DF6" w14:textId="77777777" w:rsidR="00B6264D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>Habilitación de un espacio para la presentación de consultas.</w:t>
                            </w:r>
                          </w:p>
                          <w:p w14:paraId="79545B84" w14:textId="77777777" w:rsidR="00B6264D" w:rsidRPr="00E77002" w:rsidRDefault="00B6264D" w:rsidP="00B6264D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spacing w:after="200" w:line="276" w:lineRule="auto"/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>Publicación de la fecha de revisión de la información contenida en el Portal</w:t>
                            </w:r>
                            <w:r w:rsidRPr="00E77002">
                              <w:rPr>
                                <w:rFonts w:ascii="Mulish" w:hAnsi="Mulish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EC14" id="_x0000_s1030" type="#_x0000_t202" style="position:absolute;margin-left:1.5pt;margin-top:3pt;width:517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">
                <v:textbox>
                  <w:txbxContent>
                    <w:p w14:paraId="18B83762" w14:textId="5D50EBF9" w:rsidR="00B6264D" w:rsidRPr="00B6264D" w:rsidRDefault="00B6264D" w:rsidP="00B6264D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6264D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047989D3" w14:textId="77777777" w:rsidR="00B6264D" w:rsidRPr="00257FC3" w:rsidRDefault="00B6264D" w:rsidP="00B6264D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6E316DF6" w14:textId="77777777" w:rsidR="00B6264D" w:rsidRDefault="00B6264D" w:rsidP="00B6264D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>Habilitación de un espacio para la presentación de consultas.</w:t>
                      </w:r>
                    </w:p>
                    <w:p w14:paraId="79545B84" w14:textId="77777777" w:rsidR="00B6264D" w:rsidRPr="00E77002" w:rsidRDefault="00B6264D" w:rsidP="00B6264D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spacing w:after="200" w:line="276" w:lineRule="auto"/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>Publicación de la fecha de revisión de la información contenida en el Portal</w:t>
                      </w:r>
                      <w:r w:rsidRPr="00E77002">
                        <w:rPr>
                          <w:rFonts w:ascii="Mulish" w:hAnsi="Mulish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D8E36A" w14:textId="4E0E5675" w:rsidR="00B6264D" w:rsidRDefault="00B6264D" w:rsidP="00B6264D">
      <w:pPr>
        <w:rPr>
          <w:rFonts w:ascii="Mulish" w:hAnsi="Mulish"/>
        </w:rPr>
      </w:pPr>
    </w:p>
    <w:p w14:paraId="104DB188" w14:textId="3FDBB485" w:rsidR="00B6264D" w:rsidRDefault="00B6264D" w:rsidP="00B6264D">
      <w:pPr>
        <w:rPr>
          <w:rFonts w:ascii="Mulish" w:hAnsi="Mulish"/>
        </w:rPr>
      </w:pPr>
    </w:p>
    <w:p w14:paraId="1584BC09" w14:textId="255C42E8" w:rsidR="00B6264D" w:rsidRDefault="00B6264D" w:rsidP="00B6264D">
      <w:pPr>
        <w:rPr>
          <w:rFonts w:ascii="Mulish" w:hAnsi="Mulish"/>
        </w:rPr>
      </w:pPr>
    </w:p>
    <w:p w14:paraId="30E0BD17" w14:textId="3F4ABEEA" w:rsidR="00B6264D" w:rsidRDefault="00B6264D" w:rsidP="00B6264D">
      <w:pPr>
        <w:rPr>
          <w:rFonts w:ascii="Mulish" w:hAnsi="Mulish"/>
        </w:rPr>
      </w:pPr>
    </w:p>
    <w:p w14:paraId="2731B446" w14:textId="36496852" w:rsidR="00B6264D" w:rsidRDefault="00B6264D" w:rsidP="00B6264D">
      <w:pPr>
        <w:rPr>
          <w:rFonts w:ascii="Mulish" w:hAnsi="Mulish"/>
        </w:rPr>
      </w:pPr>
    </w:p>
    <w:p w14:paraId="1F993F7D" w14:textId="77777777" w:rsidR="00B6264D" w:rsidRDefault="00B6264D" w:rsidP="00B6264D">
      <w:pPr>
        <w:rPr>
          <w:rFonts w:ascii="Mulish" w:hAnsi="Mulish"/>
        </w:rPr>
      </w:pPr>
    </w:p>
    <w:p w14:paraId="55255A0D" w14:textId="77777777" w:rsidR="00B6264D" w:rsidRPr="00B6264D" w:rsidRDefault="00B6264D" w:rsidP="00B6264D">
      <w:pPr>
        <w:pStyle w:val="Cuerpodelboletn"/>
        <w:numPr>
          <w:ilvl w:val="0"/>
          <w:numId w:val="36"/>
        </w:numPr>
        <w:spacing w:before="120" w:after="120" w:line="312" w:lineRule="auto"/>
        <w:ind w:left="0" w:firstLine="0"/>
        <w:rPr>
          <w:rFonts w:ascii="Mulish" w:hAnsi="Mulish"/>
          <w:b/>
          <w:color w:val="3C8378"/>
          <w:sz w:val="32"/>
        </w:rPr>
      </w:pPr>
      <w:r w:rsidRPr="00B6264D">
        <w:rPr>
          <w:rFonts w:ascii="Mulish" w:hAnsi="Mulish"/>
          <w:b/>
          <w:color w:val="3C8378"/>
          <w:sz w:val="32"/>
        </w:rPr>
        <w:t>Conclusiones y Recomendaciones</w:t>
      </w:r>
    </w:p>
    <w:p w14:paraId="14FC950B" w14:textId="77777777" w:rsidR="00B6264D" w:rsidRPr="00C36C5A" w:rsidRDefault="00B6264D" w:rsidP="00B6264D">
      <w:pPr>
        <w:spacing w:before="120" w:after="120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>la Coordinadora de ONG para el desarrollo,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72,4</w:t>
      </w:r>
      <w:r w:rsidRPr="00C36C5A">
        <w:rPr>
          <w:rFonts w:ascii="Mulish" w:hAnsi="Mulish"/>
        </w:rPr>
        <w:t xml:space="preserve">%. </w:t>
      </w:r>
    </w:p>
    <w:p w14:paraId="38EE8530" w14:textId="77777777" w:rsidR="00B6264D" w:rsidRPr="00B6264D" w:rsidRDefault="00B6264D" w:rsidP="00B6264D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Coordinadora de ONG para el desarrollo,</w:t>
      </w:r>
      <w:r w:rsidRPr="00C36C5A">
        <w:rPr>
          <w:rFonts w:ascii="Mulish" w:hAnsi="Mulish"/>
        </w:rPr>
        <w:t xml:space="preserve"> este CTBG </w:t>
      </w:r>
      <w:r w:rsidRPr="00B6264D">
        <w:rPr>
          <w:rFonts w:ascii="Mulish" w:hAnsi="Mulish"/>
          <w:b/>
          <w:color w:val="3C8378"/>
        </w:rPr>
        <w:t>recomienda:</w:t>
      </w:r>
    </w:p>
    <w:p w14:paraId="31785323" w14:textId="77777777" w:rsidR="00B6264D" w:rsidRPr="00B6264D" w:rsidRDefault="00B6264D" w:rsidP="00B6264D">
      <w:pPr>
        <w:pStyle w:val="Cuerpodelboletn"/>
        <w:spacing w:before="120" w:after="120" w:line="312" w:lineRule="auto"/>
        <w:rPr>
          <w:rFonts w:ascii="Mulish" w:hAnsi="Mulish"/>
          <w:color w:val="3C8378"/>
          <w:szCs w:val="22"/>
        </w:rPr>
      </w:pPr>
    </w:p>
    <w:p w14:paraId="701A313D" w14:textId="1A145A38" w:rsidR="00B6264D" w:rsidRDefault="00B6264D" w:rsidP="00B6264D">
      <w:pPr>
        <w:rPr>
          <w:rFonts w:ascii="Mulish" w:hAnsi="Mulish"/>
          <w:b/>
          <w:color w:val="3C8378"/>
        </w:rPr>
      </w:pPr>
      <w:r w:rsidRPr="00B6264D">
        <w:rPr>
          <w:rFonts w:ascii="Mulish" w:hAnsi="Mulish"/>
          <w:b/>
          <w:color w:val="3C8378"/>
        </w:rPr>
        <w:t>Localización y Estructuración de la Información</w:t>
      </w:r>
    </w:p>
    <w:p w14:paraId="19D5E10D" w14:textId="77777777" w:rsidR="00B6264D" w:rsidRPr="00B6264D" w:rsidRDefault="00B6264D" w:rsidP="00B6264D">
      <w:pPr>
        <w:rPr>
          <w:rFonts w:ascii="Mulish" w:hAnsi="Mulish"/>
          <w:b/>
          <w:color w:val="3C8378"/>
        </w:rPr>
      </w:pPr>
    </w:p>
    <w:p w14:paraId="37DFF4F6" w14:textId="77777777" w:rsidR="00B6264D" w:rsidRDefault="00B6264D" w:rsidP="00B6264D">
      <w:pPr>
        <w:pStyle w:val="Prrafodelista"/>
        <w:numPr>
          <w:ilvl w:val="0"/>
          <w:numId w:val="27"/>
        </w:numPr>
        <w:spacing w:after="200" w:line="276" w:lineRule="auto"/>
        <w:ind w:left="0" w:firstLine="0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25C54854" w14:textId="3D2766DF" w:rsidR="00B6264D" w:rsidRDefault="00B6264D" w:rsidP="00B6264D">
      <w:pPr>
        <w:rPr>
          <w:rFonts w:ascii="Mulish" w:hAnsi="Mulish"/>
          <w:b/>
          <w:color w:val="3C8378"/>
        </w:rPr>
      </w:pPr>
      <w:r w:rsidRPr="00B6264D">
        <w:rPr>
          <w:rFonts w:ascii="Mulish" w:hAnsi="Mulish"/>
          <w:b/>
          <w:color w:val="3C8378"/>
        </w:rPr>
        <w:t>Incorporación de la Información</w:t>
      </w:r>
    </w:p>
    <w:p w14:paraId="2BA246DD" w14:textId="77777777" w:rsidR="00B6264D" w:rsidRPr="00B6264D" w:rsidRDefault="00B6264D" w:rsidP="00B6264D">
      <w:pPr>
        <w:rPr>
          <w:rFonts w:ascii="Mulish" w:hAnsi="Mulish"/>
          <w:b/>
          <w:color w:val="3C8378"/>
        </w:rPr>
      </w:pPr>
    </w:p>
    <w:p w14:paraId="1C747285" w14:textId="0B855B90" w:rsidR="00B6264D" w:rsidRDefault="00B6264D" w:rsidP="00B6264D">
      <w:pPr>
        <w:rPr>
          <w:rFonts w:ascii="Mulish" w:hAnsi="Mulish"/>
          <w:b/>
          <w:color w:val="3C8378"/>
        </w:rPr>
      </w:pPr>
      <w:r w:rsidRPr="00B6264D">
        <w:rPr>
          <w:rFonts w:ascii="Mulish" w:hAnsi="Mulish"/>
          <w:b/>
          <w:color w:val="3C8378"/>
        </w:rPr>
        <w:t>Información Institucional, Organizativa y de Planificación</w:t>
      </w:r>
    </w:p>
    <w:p w14:paraId="16165D89" w14:textId="77777777" w:rsidR="00B6264D" w:rsidRPr="00B6264D" w:rsidRDefault="00B6264D" w:rsidP="00B6264D">
      <w:pPr>
        <w:rPr>
          <w:rFonts w:ascii="Mulish" w:hAnsi="Mulish"/>
          <w:b/>
          <w:color w:val="3C8378"/>
        </w:rPr>
      </w:pPr>
    </w:p>
    <w:p w14:paraId="3A5A0E0A" w14:textId="77777777" w:rsidR="00B6264D" w:rsidRDefault="00B6264D" w:rsidP="00B6264D">
      <w:pPr>
        <w:pStyle w:val="Prrafodelista"/>
        <w:numPr>
          <w:ilvl w:val="0"/>
          <w:numId w:val="31"/>
        </w:numPr>
        <w:spacing w:after="200" w:line="276" w:lineRule="auto"/>
        <w:ind w:left="0" w:firstLine="0"/>
        <w:jc w:val="both"/>
        <w:rPr>
          <w:rFonts w:ascii="Mulish" w:hAnsi="Mulish"/>
        </w:rPr>
      </w:pPr>
      <w:r>
        <w:rPr>
          <w:rFonts w:ascii="Mulish" w:hAnsi="Mulish"/>
        </w:rPr>
        <w:t>Debería publicarse el organigrama de la Coordinadora, entendido como la representación gráfica de la estructura del organismo y de las relaciones entre los diferentes niveles que conforman esta estructura.</w:t>
      </w:r>
    </w:p>
    <w:p w14:paraId="2BD9788A" w14:textId="614C957B" w:rsidR="00B6264D" w:rsidRDefault="00B6264D" w:rsidP="00B6264D">
      <w:pPr>
        <w:rPr>
          <w:rFonts w:ascii="Mulish" w:hAnsi="Mulish"/>
          <w:b/>
          <w:color w:val="3C8378"/>
        </w:rPr>
      </w:pPr>
      <w:r w:rsidRPr="00B6264D">
        <w:rPr>
          <w:rFonts w:ascii="Mulish" w:hAnsi="Mulish"/>
          <w:b/>
          <w:color w:val="3C8378"/>
        </w:rPr>
        <w:t>Información Económica, Presupuestaria y Estadística</w:t>
      </w:r>
    </w:p>
    <w:p w14:paraId="520F8013" w14:textId="77777777" w:rsidR="00B6264D" w:rsidRPr="00B6264D" w:rsidRDefault="00B6264D" w:rsidP="00B6264D">
      <w:pPr>
        <w:rPr>
          <w:rFonts w:ascii="Mulish" w:hAnsi="Mulish"/>
          <w:b/>
          <w:color w:val="3C8378"/>
        </w:rPr>
      </w:pPr>
    </w:p>
    <w:p w14:paraId="50F216FB" w14:textId="77777777" w:rsidR="00B6264D" w:rsidRDefault="00B6264D" w:rsidP="00B6264D">
      <w:pPr>
        <w:pStyle w:val="Prrafodelista"/>
        <w:numPr>
          <w:ilvl w:val="0"/>
          <w:numId w:val="28"/>
        </w:numPr>
        <w:spacing w:after="200" w:line="276" w:lineRule="auto"/>
        <w:ind w:left="0" w:firstLine="0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>la Coordinadora de ONG para el desarrollo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726874A5" w14:textId="77777777" w:rsidR="00B6264D" w:rsidRDefault="00B6264D" w:rsidP="00B6264D">
      <w:pPr>
        <w:pStyle w:val="Prrafodelista"/>
        <w:numPr>
          <w:ilvl w:val="0"/>
          <w:numId w:val="28"/>
        </w:numPr>
        <w:spacing w:after="200" w:line="276" w:lineRule="auto"/>
        <w:ind w:left="0" w:firstLine="0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0E57CB36" w14:textId="066FB8E7" w:rsidR="00B6264D" w:rsidRDefault="00B6264D" w:rsidP="00B6264D">
      <w:pPr>
        <w:jc w:val="both"/>
        <w:rPr>
          <w:rFonts w:ascii="Mulish" w:hAnsi="Mulish"/>
        </w:rPr>
      </w:pPr>
    </w:p>
    <w:p w14:paraId="071524D4" w14:textId="51328140" w:rsidR="00B6264D" w:rsidRDefault="00B6264D" w:rsidP="00B6264D">
      <w:pPr>
        <w:jc w:val="both"/>
        <w:rPr>
          <w:rFonts w:ascii="Mulish" w:hAnsi="Mulish"/>
        </w:rPr>
      </w:pPr>
    </w:p>
    <w:p w14:paraId="199562D9" w14:textId="12FDD635" w:rsidR="00B6264D" w:rsidRDefault="00B6264D" w:rsidP="00B6264D">
      <w:pPr>
        <w:jc w:val="both"/>
        <w:rPr>
          <w:rFonts w:ascii="Mulish" w:hAnsi="Mulish"/>
        </w:rPr>
      </w:pPr>
    </w:p>
    <w:p w14:paraId="2F0F6BA6" w14:textId="7DA18236" w:rsidR="00B6264D" w:rsidRDefault="00B6264D" w:rsidP="00B6264D">
      <w:pPr>
        <w:jc w:val="both"/>
        <w:rPr>
          <w:rFonts w:ascii="Mulish" w:hAnsi="Mulish"/>
        </w:rPr>
      </w:pPr>
    </w:p>
    <w:p w14:paraId="380D59B0" w14:textId="77777777" w:rsidR="00B6264D" w:rsidRPr="008F3F6E" w:rsidRDefault="00B6264D" w:rsidP="00B6264D">
      <w:pPr>
        <w:jc w:val="both"/>
        <w:rPr>
          <w:rFonts w:ascii="Mulish" w:hAnsi="Mulish"/>
        </w:rPr>
      </w:pPr>
    </w:p>
    <w:p w14:paraId="591B8393" w14:textId="37B1446D" w:rsidR="00B6264D" w:rsidRDefault="00B6264D" w:rsidP="00B6264D">
      <w:pPr>
        <w:rPr>
          <w:rFonts w:ascii="Mulish" w:hAnsi="Mulish"/>
          <w:b/>
          <w:color w:val="3C8378"/>
        </w:rPr>
      </w:pPr>
      <w:r w:rsidRPr="00B6264D">
        <w:rPr>
          <w:rFonts w:ascii="Mulish" w:hAnsi="Mulish"/>
          <w:b/>
          <w:color w:val="3C8378"/>
        </w:rPr>
        <w:lastRenderedPageBreak/>
        <w:t>Calidad de la Información</w:t>
      </w:r>
    </w:p>
    <w:p w14:paraId="213B992B" w14:textId="77777777" w:rsidR="00B6264D" w:rsidRPr="00B6264D" w:rsidRDefault="00B6264D" w:rsidP="00B6264D">
      <w:pPr>
        <w:rPr>
          <w:rFonts w:ascii="Mulish" w:hAnsi="Mulish"/>
          <w:b/>
          <w:color w:val="3C8378"/>
        </w:rPr>
      </w:pPr>
    </w:p>
    <w:p w14:paraId="0F9377A5" w14:textId="77777777" w:rsidR="00B6264D" w:rsidRPr="0083479E" w:rsidRDefault="00B6264D" w:rsidP="00B6264D">
      <w:pPr>
        <w:pStyle w:val="Prrafodelista"/>
        <w:numPr>
          <w:ilvl w:val="0"/>
          <w:numId w:val="29"/>
        </w:numPr>
        <w:spacing w:after="200" w:line="276" w:lineRule="auto"/>
        <w:ind w:left="0" w:firstLine="0"/>
        <w:jc w:val="both"/>
        <w:rPr>
          <w:rFonts w:ascii="Mulish" w:hAnsi="Mulish"/>
          <w:bCs/>
        </w:rPr>
      </w:pPr>
      <w:r w:rsidRPr="0083479E"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2761B53B" w14:textId="77777777" w:rsidR="00B6264D" w:rsidRPr="000D3229" w:rsidRDefault="00B6264D" w:rsidP="00B6264D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6A726C6D" w14:textId="77777777" w:rsidR="00B6264D" w:rsidRPr="00517646" w:rsidRDefault="00B6264D" w:rsidP="00B6264D">
      <w:pPr>
        <w:pStyle w:val="Cuerpodelboletn"/>
        <w:spacing w:before="120" w:after="120" w:line="312" w:lineRule="auto"/>
        <w:rPr>
          <w:rFonts w:ascii="Mulish" w:hAnsi="Mulish"/>
          <w:color w:val="000000" w:themeColor="text1"/>
          <w:szCs w:val="22"/>
        </w:rPr>
      </w:pPr>
    </w:p>
    <w:p w14:paraId="42B68330" w14:textId="77777777" w:rsidR="00B6264D" w:rsidRDefault="00B6264D" w:rsidP="00B6264D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6ED3B05C" w14:textId="77777777" w:rsidR="00B6264D" w:rsidRPr="00517646" w:rsidRDefault="00EC65C4" w:rsidP="00B6264D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98F9E4F964FC49BFA8F03E32D3EBFF58"/>
          </w:placeholder>
        </w:sdtPr>
        <w:sdtEndPr>
          <w:rPr>
            <w:color w:val="auto"/>
          </w:rPr>
        </w:sdtEndPr>
        <w:sdtContent>
          <w:r w:rsidR="00B6264D" w:rsidRPr="00356D0C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B6264D" w:rsidRPr="00517646" w14:paraId="45B95CF4" w14:textId="77777777" w:rsidTr="00356D0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A21B727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A7C2538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7AC84D9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07158D2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769178D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B6264D" w:rsidRPr="00517646" w14:paraId="45EACE39" w14:textId="77777777" w:rsidTr="007D251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995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FD61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CA4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794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D71B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B6264D" w:rsidRPr="00517646" w14:paraId="7D03903F" w14:textId="77777777" w:rsidTr="007D251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903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CCC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1661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70E3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92CC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B6264D" w:rsidRPr="00517646" w14:paraId="51AE8406" w14:textId="77777777" w:rsidTr="007D251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AFB6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F1A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0C2B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40D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15E3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B6264D" w:rsidRPr="00517646" w14:paraId="71348A7B" w14:textId="77777777" w:rsidTr="007D251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CDD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263A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4E6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FB4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6F31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B6264D" w:rsidRPr="00517646" w14:paraId="7F3FC84E" w14:textId="77777777" w:rsidTr="007D251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8F2B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091D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629F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35E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938A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B6264D" w:rsidRPr="00517646" w14:paraId="16070D9A" w14:textId="77777777" w:rsidTr="007D251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5ADC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3F2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594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505C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234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B6264D" w:rsidRPr="00517646" w14:paraId="15048826" w14:textId="77777777" w:rsidTr="007D251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9853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77A6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10CC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E64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F995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B6264D" w:rsidRPr="00517646" w14:paraId="06108F1B" w14:textId="77777777" w:rsidTr="007D251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C410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4BB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1DB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536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3D6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B6264D" w:rsidRPr="00517646" w14:paraId="79E1D0A2" w14:textId="77777777" w:rsidTr="007D251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16D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94B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BCB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4168" w14:textId="77777777" w:rsidR="00B6264D" w:rsidRPr="00517646" w:rsidRDefault="00B6264D" w:rsidP="00B626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F147" w14:textId="77777777" w:rsidR="00B6264D" w:rsidRPr="00517646" w:rsidRDefault="00B6264D" w:rsidP="00B6264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B6264D" w:rsidRPr="00517646" w14:paraId="35B84958" w14:textId="77777777" w:rsidTr="007D251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DE9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643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2FE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B684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BAA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B6264D" w:rsidRPr="00517646" w14:paraId="677E29BC" w14:textId="77777777" w:rsidTr="007D251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77C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494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40B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6F44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0B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B6264D" w:rsidRPr="00517646" w14:paraId="2354BDFC" w14:textId="77777777" w:rsidTr="007D251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FD6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CFD6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EFD4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5C81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7516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B6264D" w:rsidRPr="00517646" w14:paraId="5F5952C6" w14:textId="77777777" w:rsidTr="007D251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431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B54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B46B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2A9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64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B6264D" w:rsidRPr="00517646" w14:paraId="2A7B77F9" w14:textId="77777777" w:rsidTr="007D251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511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7E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1195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618F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A26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B6264D" w:rsidRPr="00517646" w14:paraId="0496389B" w14:textId="77777777" w:rsidTr="007D251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544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63A4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C5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780E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9CF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B6264D" w:rsidRPr="00517646" w14:paraId="0C678052" w14:textId="77777777" w:rsidTr="007D251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499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B1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D51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9ADE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0E9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B6264D" w:rsidRPr="00517646" w14:paraId="4C669ECA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70C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60F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079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BEF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DA7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B6264D" w:rsidRPr="00517646" w14:paraId="083B2A18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79C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E12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F25B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6EB0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49C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B6264D" w:rsidRPr="00517646" w14:paraId="7E91E60B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832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58D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4E35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04C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D846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B6264D" w:rsidRPr="00517646" w14:paraId="613733AD" w14:textId="77777777" w:rsidTr="007D251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346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9F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D55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DCFC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7D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B6264D" w:rsidRPr="00517646" w14:paraId="18F63D8F" w14:textId="77777777" w:rsidTr="007D251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5781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9AB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ABB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A99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C0C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6264D" w:rsidRPr="00517646" w14:paraId="0324912B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5C8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A9F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8EF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A8DF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63D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B6264D" w:rsidRPr="00517646" w14:paraId="337DB8D3" w14:textId="77777777" w:rsidTr="007D251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D27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A1B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FF6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77A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542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6264D" w:rsidRPr="00517646" w14:paraId="1989BE81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33F1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94B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2D8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0AE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99D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B6264D" w:rsidRPr="00517646" w14:paraId="25C2FBF9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213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50B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46A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6E6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05B5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6264D" w:rsidRPr="00517646" w14:paraId="68A37CB0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45D1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2BE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39F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E55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DC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B6264D" w:rsidRPr="00517646" w14:paraId="47F108D8" w14:textId="77777777" w:rsidTr="007D251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5882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54A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9C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632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96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6264D" w:rsidRPr="00517646" w14:paraId="2533276E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2F4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2E82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80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DB3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B9F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B6264D" w:rsidRPr="00517646" w14:paraId="7B2EB2F6" w14:textId="77777777" w:rsidTr="007D251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7EDA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D81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5A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C25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119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6264D" w:rsidRPr="00517646" w14:paraId="3FC826D1" w14:textId="77777777" w:rsidTr="007D251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7C0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11B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536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C1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7C5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B6264D" w:rsidRPr="00517646" w14:paraId="6406CAE8" w14:textId="77777777" w:rsidTr="007D251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FA8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495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EA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E75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7D67" w14:textId="77777777" w:rsidR="00B6264D" w:rsidRPr="00517646" w:rsidRDefault="00B6264D" w:rsidP="007D2515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B6264D" w:rsidRPr="00517646" w14:paraId="49DDA3EA" w14:textId="77777777" w:rsidTr="007D251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151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52B9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59C0" w14:textId="77777777" w:rsidR="00B6264D" w:rsidRPr="00517646" w:rsidRDefault="00B6264D" w:rsidP="007D2515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CB9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441C" w14:textId="77777777" w:rsidR="00B6264D" w:rsidRPr="00517646" w:rsidRDefault="00B6264D" w:rsidP="007D2515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B6264D" w:rsidRPr="00517646" w14:paraId="68A6BE9D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1542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93B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7A0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CAC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E9D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B6264D" w:rsidRPr="00517646" w14:paraId="4E9DE56A" w14:textId="77777777" w:rsidTr="007D251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8C7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701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7D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83C3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ECE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B6264D" w:rsidRPr="00517646" w14:paraId="00F04700" w14:textId="77777777" w:rsidTr="007D251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1A9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52D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5D0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86B6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A5CC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B6264D" w:rsidRPr="00517646" w14:paraId="0FB5EACB" w14:textId="77777777" w:rsidTr="007D251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6DD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BCB4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2470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B327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D088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B6264D" w:rsidRPr="00517646" w14:paraId="1E921280" w14:textId="77777777" w:rsidTr="007D251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2B1D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C84F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5133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47A" w14:textId="77777777" w:rsidR="00B6264D" w:rsidRPr="00517646" w:rsidRDefault="00B6264D" w:rsidP="007D251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9F1" w14:textId="77777777" w:rsidR="00B6264D" w:rsidRPr="00517646" w:rsidRDefault="00B6264D" w:rsidP="007D251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4DC8B12" w14:textId="77777777" w:rsidR="00B6264D" w:rsidRPr="00517646" w:rsidRDefault="00B6264D" w:rsidP="00B6264D">
      <w:pPr>
        <w:jc w:val="both"/>
        <w:rPr>
          <w:rFonts w:ascii="Mulish" w:eastAsia="Times New Roman" w:hAnsi="Mulish" w:cs="Times New Roman"/>
          <w:color w:val="000000"/>
        </w:rPr>
      </w:pPr>
    </w:p>
    <w:p w14:paraId="7E415658" w14:textId="27868AB0" w:rsidR="00B6264D" w:rsidRDefault="00B6264D" w:rsidP="00B6264D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B6264D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7560DB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B58F41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9FF6F1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" o:bullet="t">
        <v:imagedata r:id="rId1" o:title="BD14533_"/>
      </v:shape>
    </w:pict>
  </w:numPicBullet>
  <w:numPicBullet w:numPicBulletId="1">
    <w:pict>
      <v:shape id="_x0000_i1105" type="#_x0000_t75" style="width:9pt;height:9pt" o:bullet="t">
        <v:imagedata r:id="rId2" o:title="BD14533_"/>
      </v:shape>
    </w:pict>
  </w:numPicBullet>
  <w:numPicBullet w:numPicBulletId="2">
    <w:pict>
      <v:shape id="_x0000_i1106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B45E7"/>
    <w:multiLevelType w:val="hybridMultilevel"/>
    <w:tmpl w:val="D2602F0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8529D"/>
    <w:multiLevelType w:val="hybridMultilevel"/>
    <w:tmpl w:val="1180BB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0"/>
  </w:num>
  <w:num w:numId="5">
    <w:abstractNumId w:val="29"/>
  </w:num>
  <w:num w:numId="6">
    <w:abstractNumId w:val="34"/>
  </w:num>
  <w:num w:numId="7">
    <w:abstractNumId w:val="27"/>
  </w:num>
  <w:num w:numId="8">
    <w:abstractNumId w:val="1"/>
  </w:num>
  <w:num w:numId="9">
    <w:abstractNumId w:val="5"/>
  </w:num>
  <w:num w:numId="10">
    <w:abstractNumId w:val="3"/>
  </w:num>
  <w:num w:numId="11">
    <w:abstractNumId w:val="37"/>
  </w:num>
  <w:num w:numId="12">
    <w:abstractNumId w:val="23"/>
  </w:num>
  <w:num w:numId="13">
    <w:abstractNumId w:val="15"/>
  </w:num>
  <w:num w:numId="14">
    <w:abstractNumId w:val="39"/>
  </w:num>
  <w:num w:numId="15">
    <w:abstractNumId w:val="2"/>
  </w:num>
  <w:num w:numId="16">
    <w:abstractNumId w:val="40"/>
  </w:num>
  <w:num w:numId="17">
    <w:abstractNumId w:val="20"/>
  </w:num>
  <w:num w:numId="18">
    <w:abstractNumId w:val="13"/>
  </w:num>
  <w:num w:numId="19">
    <w:abstractNumId w:val="10"/>
  </w:num>
  <w:num w:numId="20">
    <w:abstractNumId w:val="30"/>
  </w:num>
  <w:num w:numId="21">
    <w:abstractNumId w:val="6"/>
  </w:num>
  <w:num w:numId="22">
    <w:abstractNumId w:val="36"/>
  </w:num>
  <w:num w:numId="23">
    <w:abstractNumId w:val="14"/>
  </w:num>
  <w:num w:numId="24">
    <w:abstractNumId w:val="42"/>
  </w:num>
  <w:num w:numId="25">
    <w:abstractNumId w:val="21"/>
  </w:num>
  <w:num w:numId="26">
    <w:abstractNumId w:val="26"/>
  </w:num>
  <w:num w:numId="27">
    <w:abstractNumId w:val="4"/>
  </w:num>
  <w:num w:numId="28">
    <w:abstractNumId w:val="33"/>
  </w:num>
  <w:num w:numId="29">
    <w:abstractNumId w:val="8"/>
  </w:num>
  <w:num w:numId="30">
    <w:abstractNumId w:val="31"/>
  </w:num>
  <w:num w:numId="31">
    <w:abstractNumId w:val="25"/>
  </w:num>
  <w:num w:numId="32">
    <w:abstractNumId w:val="9"/>
  </w:num>
  <w:num w:numId="33">
    <w:abstractNumId w:val="11"/>
  </w:num>
  <w:num w:numId="34">
    <w:abstractNumId w:val="32"/>
  </w:num>
  <w:num w:numId="35">
    <w:abstractNumId w:val="24"/>
  </w:num>
  <w:num w:numId="36">
    <w:abstractNumId w:val="41"/>
  </w:num>
  <w:num w:numId="37">
    <w:abstractNumId w:val="28"/>
  </w:num>
  <w:num w:numId="38">
    <w:abstractNumId w:val="38"/>
  </w:num>
  <w:num w:numId="39">
    <w:abstractNumId w:val="16"/>
  </w:num>
  <w:num w:numId="40">
    <w:abstractNumId w:val="22"/>
  </w:num>
  <w:num w:numId="41">
    <w:abstractNumId w:val="19"/>
  </w:num>
  <w:num w:numId="42">
    <w:abstractNumId w:val="1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56D0C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1F30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6264D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ordinadoraong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F9E4F964FC49BFA8F03E32D3EB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A668-ACA0-420F-ABE2-6A8D1740AF1F}"/>
      </w:docPartPr>
      <w:docPartBody>
        <w:p w:rsidR="007C4603" w:rsidRDefault="000E406D" w:rsidP="000E406D">
          <w:pPr>
            <w:pStyle w:val="98F9E4F964FC49BFA8F03E32D3EBFF5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0E406D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7C4603"/>
    <w:rsid w:val="008E118A"/>
    <w:rsid w:val="009C565C"/>
    <w:rsid w:val="00A036B0"/>
    <w:rsid w:val="00A104A7"/>
    <w:rsid w:val="00A54B7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406D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98F9E4F964FC49BFA8F03E32D3EBFF58">
    <w:name w:val="98F9E4F964FC49BFA8F03E32D3EBFF58"/>
    <w:rsid w:val="000E40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873beb7-5857-4685-be1f-d57550cc96c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9</Pages>
  <Words>1616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2024-10-21T07:52:00Z</dcterms:created>
  <dcterms:modified xsi:type="dcterms:W3CDTF">2024-10-21T08:06:00Z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