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2CA9105" w:rsidR="00415DBD" w:rsidRDefault="00415DBD" w:rsidP="00415DBD">
      <w:pPr>
        <w:rPr>
          <w:rFonts w:ascii="Mulish" w:hAnsi="Mulish"/>
        </w:rPr>
      </w:pPr>
    </w:p>
    <w:p w14:paraId="462C7D04" w14:textId="77777777" w:rsidR="004364B6" w:rsidRPr="005E61F8" w:rsidRDefault="004364B6" w:rsidP="004364B6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4364B6" w:rsidRPr="005E61F8" w14:paraId="504AD973" w14:textId="77777777" w:rsidTr="0067041B">
        <w:tc>
          <w:tcPr>
            <w:tcW w:w="3625" w:type="dxa"/>
          </w:tcPr>
          <w:p w14:paraId="33C4DD31" w14:textId="77777777" w:rsidR="004364B6" w:rsidRPr="005E61F8" w:rsidRDefault="004364B6" w:rsidP="0067041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2266795E" w14:textId="77777777" w:rsidR="004364B6" w:rsidRPr="005E61F8" w:rsidRDefault="004364B6" w:rsidP="0067041B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 xml:space="preserve">Fundación José </w:t>
            </w:r>
            <w:proofErr w:type="spellStart"/>
            <w:r>
              <w:rPr>
                <w:rFonts w:ascii="Mulish" w:hAnsi="Mulish"/>
                <w:sz w:val="24"/>
              </w:rPr>
              <w:t>Matia</w:t>
            </w:r>
            <w:proofErr w:type="spellEnd"/>
            <w:r>
              <w:rPr>
                <w:rFonts w:ascii="Mulish" w:hAnsi="Mulish"/>
                <w:sz w:val="24"/>
              </w:rPr>
              <w:t xml:space="preserve"> Calvo</w:t>
            </w:r>
          </w:p>
        </w:tc>
      </w:tr>
      <w:tr w:rsidR="004364B6" w:rsidRPr="005E61F8" w14:paraId="28F97D6D" w14:textId="77777777" w:rsidTr="0067041B">
        <w:tc>
          <w:tcPr>
            <w:tcW w:w="3625" w:type="dxa"/>
          </w:tcPr>
          <w:p w14:paraId="6284E37F" w14:textId="77777777" w:rsidR="004364B6" w:rsidRPr="005E61F8" w:rsidRDefault="004364B6" w:rsidP="0067041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1F186D5C" w14:textId="77777777" w:rsidR="004364B6" w:rsidRPr="005E61F8" w:rsidRDefault="004364B6" w:rsidP="0067041B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23/05/2024</w:t>
            </w:r>
          </w:p>
          <w:p w14:paraId="07281D52" w14:textId="2F40BBF5" w:rsidR="004364B6" w:rsidRPr="005E61F8" w:rsidRDefault="004364B6" w:rsidP="0067041B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912555">
              <w:rPr>
                <w:rFonts w:ascii="Mulish" w:hAnsi="Mulish"/>
                <w:sz w:val="24"/>
              </w:rPr>
              <w:t>16/07/2024</w:t>
            </w:r>
          </w:p>
        </w:tc>
      </w:tr>
      <w:tr w:rsidR="004364B6" w:rsidRPr="005E61F8" w14:paraId="68D10300" w14:textId="77777777" w:rsidTr="0067041B">
        <w:tc>
          <w:tcPr>
            <w:tcW w:w="3625" w:type="dxa"/>
          </w:tcPr>
          <w:p w14:paraId="064D7FA4" w14:textId="77777777" w:rsidR="004364B6" w:rsidRPr="005E61F8" w:rsidRDefault="004364B6" w:rsidP="0067041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66265D2A" w14:textId="77777777" w:rsidR="004364B6" w:rsidRPr="006F1C2B" w:rsidRDefault="003B528A" w:rsidP="0067041B">
            <w:pPr>
              <w:rPr>
                <w:rFonts w:ascii="Mulish" w:hAnsi="Mulish"/>
                <w:sz w:val="24"/>
              </w:rPr>
            </w:pPr>
            <w:hyperlink r:id="rId14" w:history="1">
              <w:r w:rsidR="004364B6" w:rsidRPr="006F1C2B">
                <w:rPr>
                  <w:rStyle w:val="Hipervnculo"/>
                  <w:rFonts w:ascii="Mulish" w:hAnsi="Mulish"/>
                  <w:sz w:val="24"/>
                </w:rPr>
                <w:t>https://www.matiafundazioa.eus</w:t>
              </w:r>
            </w:hyperlink>
          </w:p>
        </w:tc>
      </w:tr>
    </w:tbl>
    <w:p w14:paraId="356D02AC" w14:textId="77777777" w:rsidR="004364B6" w:rsidRPr="005E61F8" w:rsidRDefault="004364B6" w:rsidP="004364B6">
      <w:pPr>
        <w:rPr>
          <w:rFonts w:ascii="Mulish" w:hAnsi="Mulish"/>
        </w:rPr>
      </w:pPr>
    </w:p>
    <w:p w14:paraId="320C5B00" w14:textId="77777777" w:rsidR="004364B6" w:rsidRPr="005E61F8" w:rsidRDefault="004364B6" w:rsidP="004364B6">
      <w:pPr>
        <w:rPr>
          <w:rFonts w:ascii="Mulish" w:hAnsi="Mulish"/>
        </w:rPr>
      </w:pPr>
    </w:p>
    <w:p w14:paraId="1F0BD2AA" w14:textId="77777777" w:rsidR="004364B6" w:rsidRPr="005E61F8" w:rsidRDefault="003B528A" w:rsidP="004364B6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F48D3D575EAA47E89568C21C7B7DEF63"/>
          </w:placeholder>
        </w:sdtPr>
        <w:sdtEndPr>
          <w:rPr>
            <w:color w:val="50866C"/>
          </w:rPr>
        </w:sdtEndPr>
        <w:sdtContent>
          <w:r w:rsidR="004364B6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239D780F" w14:textId="77777777" w:rsidR="004364B6" w:rsidRPr="005E61F8" w:rsidRDefault="004364B6" w:rsidP="004364B6">
      <w:pPr>
        <w:rPr>
          <w:rFonts w:ascii="Mulish" w:hAnsi="Mulish"/>
        </w:rPr>
      </w:pPr>
    </w:p>
    <w:p w14:paraId="6B13A90B" w14:textId="77777777" w:rsidR="004364B6" w:rsidRPr="005E61F8" w:rsidRDefault="004364B6" w:rsidP="004364B6">
      <w:pPr>
        <w:pStyle w:val="Cuerpodelboletn"/>
        <w:rPr>
          <w:rFonts w:ascii="Mulish" w:hAnsi="Mulish"/>
        </w:rPr>
        <w:sectPr w:rsidR="004364B6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4364B6" w:rsidRPr="005E61F8" w14:paraId="5CE32764" w14:textId="77777777" w:rsidTr="0067041B">
        <w:trPr>
          <w:tblHeader/>
        </w:trPr>
        <w:tc>
          <w:tcPr>
            <w:tcW w:w="1661" w:type="dxa"/>
            <w:shd w:val="clear" w:color="auto" w:fill="3C8378"/>
          </w:tcPr>
          <w:p w14:paraId="6C4903C7" w14:textId="77777777" w:rsidR="004364B6" w:rsidRPr="005E61F8" w:rsidRDefault="004364B6" w:rsidP="0067041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4822E201" w14:textId="77777777" w:rsidR="004364B6" w:rsidRPr="005E61F8" w:rsidRDefault="004364B6" w:rsidP="0067041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7D450BD0" w14:textId="77777777" w:rsidR="004364B6" w:rsidRPr="005E61F8" w:rsidRDefault="004364B6" w:rsidP="0067041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4364B6" w:rsidRPr="005E61F8" w14:paraId="57926868" w14:textId="77777777" w:rsidTr="0067041B">
        <w:tc>
          <w:tcPr>
            <w:tcW w:w="1661" w:type="dxa"/>
            <w:vMerge w:val="restart"/>
            <w:vAlign w:val="center"/>
          </w:tcPr>
          <w:p w14:paraId="116B18D9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54A4F76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7B4EC15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2D1D98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7B78D4F9" w14:textId="77777777" w:rsidTr="0067041B">
        <w:tc>
          <w:tcPr>
            <w:tcW w:w="1661" w:type="dxa"/>
            <w:vMerge/>
          </w:tcPr>
          <w:p w14:paraId="26BC344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D2D464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6CECFEA2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AF1709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5C7CD73B" w14:textId="77777777" w:rsidTr="0067041B">
        <w:tc>
          <w:tcPr>
            <w:tcW w:w="1661" w:type="dxa"/>
            <w:vMerge/>
          </w:tcPr>
          <w:p w14:paraId="658F544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6A149D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349B78DB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B782DA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FD0D06B" w14:textId="77777777" w:rsidTr="0067041B">
        <w:trPr>
          <w:trHeight w:val="451"/>
        </w:trPr>
        <w:tc>
          <w:tcPr>
            <w:tcW w:w="1661" w:type="dxa"/>
            <w:vMerge/>
          </w:tcPr>
          <w:p w14:paraId="3C59D1A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CD61C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D65F6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EAD779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E94252A" w14:textId="77777777" w:rsidTr="0067041B">
        <w:trPr>
          <w:trHeight w:val="263"/>
        </w:trPr>
        <w:tc>
          <w:tcPr>
            <w:tcW w:w="1661" w:type="dxa"/>
            <w:vMerge w:val="restart"/>
            <w:vAlign w:val="center"/>
          </w:tcPr>
          <w:p w14:paraId="28D84B1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0CC4E635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78C02B9C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F55EDE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5611FA53" w14:textId="77777777" w:rsidTr="0067041B">
        <w:tc>
          <w:tcPr>
            <w:tcW w:w="1661" w:type="dxa"/>
            <w:vMerge/>
            <w:vAlign w:val="center"/>
          </w:tcPr>
          <w:p w14:paraId="34626DF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F20541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646261B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C30C56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4DFF5823" w14:textId="77777777" w:rsidTr="0067041B">
        <w:tc>
          <w:tcPr>
            <w:tcW w:w="1661" w:type="dxa"/>
            <w:vMerge/>
            <w:vAlign w:val="center"/>
          </w:tcPr>
          <w:p w14:paraId="0ABD304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6F2ADE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70625AC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1E01E8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3918771" w14:textId="77777777" w:rsidTr="0067041B">
        <w:tc>
          <w:tcPr>
            <w:tcW w:w="1661" w:type="dxa"/>
            <w:vMerge/>
            <w:vAlign w:val="center"/>
          </w:tcPr>
          <w:p w14:paraId="57E51AA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B3CF7C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3CFB399B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CDDC9C0" w14:textId="5364CBF4" w:rsidR="004364B6" w:rsidRPr="005E61F8" w:rsidRDefault="004364B6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Aunque en el Portal de Transparencia </w:t>
            </w:r>
            <w:r w:rsidR="00912555">
              <w:rPr>
                <w:rFonts w:ascii="Mulish" w:hAnsi="Mulish"/>
                <w:sz w:val="18"/>
                <w:szCs w:val="18"/>
              </w:rPr>
              <w:t>de publica</w:t>
            </w:r>
            <w:r>
              <w:rPr>
                <w:rFonts w:ascii="Mulish" w:hAnsi="Mulish"/>
                <w:sz w:val="18"/>
                <w:szCs w:val="18"/>
              </w:rPr>
              <w:t xml:space="preserve"> un link denominado </w:t>
            </w:r>
            <w:r w:rsidR="007A6B4E">
              <w:rPr>
                <w:rFonts w:ascii="Mulish" w:hAnsi="Mulish"/>
                <w:sz w:val="18"/>
                <w:szCs w:val="18"/>
              </w:rPr>
              <w:t>estructura organizativa</w:t>
            </w:r>
            <w:r>
              <w:rPr>
                <w:rFonts w:ascii="Mulish" w:hAnsi="Mulish"/>
                <w:sz w:val="18"/>
                <w:szCs w:val="18"/>
              </w:rPr>
              <w:t xml:space="preserve">, este </w:t>
            </w:r>
            <w:r w:rsidR="00912555">
              <w:rPr>
                <w:rFonts w:ascii="Mulish" w:hAnsi="Mulish"/>
                <w:sz w:val="18"/>
                <w:szCs w:val="18"/>
              </w:rPr>
              <w:t>dirige</w:t>
            </w:r>
            <w:r>
              <w:rPr>
                <w:rFonts w:ascii="Mulish" w:hAnsi="Mulish"/>
                <w:sz w:val="18"/>
                <w:szCs w:val="18"/>
              </w:rPr>
              <w:t xml:space="preserve"> a una página sin contenido.</w:t>
            </w:r>
          </w:p>
        </w:tc>
      </w:tr>
      <w:tr w:rsidR="004364B6" w:rsidRPr="005E61F8" w14:paraId="424E8E31" w14:textId="77777777" w:rsidTr="0067041B">
        <w:tc>
          <w:tcPr>
            <w:tcW w:w="1661" w:type="dxa"/>
            <w:vMerge/>
            <w:vAlign w:val="center"/>
          </w:tcPr>
          <w:p w14:paraId="7105D8D5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85C5AF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A1A8BAC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76D2C7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364B6" w:rsidRPr="005E61F8" w14:paraId="5C42A21F" w14:textId="77777777" w:rsidTr="0067041B">
        <w:tc>
          <w:tcPr>
            <w:tcW w:w="1661" w:type="dxa"/>
            <w:vMerge/>
            <w:vAlign w:val="center"/>
          </w:tcPr>
          <w:p w14:paraId="5AB1CEE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25B83B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BD88009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B4A59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75A7F53C" w14:textId="77777777" w:rsidTr="0067041B">
        <w:tc>
          <w:tcPr>
            <w:tcW w:w="1661" w:type="dxa"/>
            <w:vMerge/>
            <w:vAlign w:val="center"/>
          </w:tcPr>
          <w:p w14:paraId="035265B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B13F665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7E031ED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EE8022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4364B6" w:rsidRPr="005E61F8" w14:paraId="614A3E1A" w14:textId="77777777" w:rsidTr="0067041B">
        <w:tc>
          <w:tcPr>
            <w:tcW w:w="1661" w:type="dxa"/>
            <w:vMerge/>
            <w:vAlign w:val="center"/>
          </w:tcPr>
          <w:p w14:paraId="4777FD8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146673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64F322F0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E904F9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90E374F" w14:textId="77777777" w:rsidTr="0067041B">
        <w:tc>
          <w:tcPr>
            <w:tcW w:w="1661" w:type="dxa"/>
            <w:vMerge/>
            <w:vAlign w:val="center"/>
          </w:tcPr>
          <w:p w14:paraId="783D5B0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4D96DA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0451CC7D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11E78D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60D2344" w14:textId="77777777" w:rsidTr="0067041B">
        <w:tc>
          <w:tcPr>
            <w:tcW w:w="1661" w:type="dxa"/>
            <w:vMerge/>
            <w:vAlign w:val="center"/>
          </w:tcPr>
          <w:p w14:paraId="516C807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4A88C92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7C9A4717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45A640B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7431C458" w14:textId="77777777" w:rsidTr="0067041B">
        <w:tc>
          <w:tcPr>
            <w:tcW w:w="1661" w:type="dxa"/>
            <w:vMerge/>
            <w:vAlign w:val="center"/>
          </w:tcPr>
          <w:p w14:paraId="110EB46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C2CB9CC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5AE0BF25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B11C7F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4ED15AD" w14:textId="77777777" w:rsidTr="0067041B">
        <w:tc>
          <w:tcPr>
            <w:tcW w:w="1661" w:type="dxa"/>
            <w:vMerge/>
            <w:vAlign w:val="center"/>
          </w:tcPr>
          <w:p w14:paraId="34464DF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82AE40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707A1FA7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1D3E56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257FD9E3" w14:textId="77777777" w:rsidTr="0067041B">
        <w:tc>
          <w:tcPr>
            <w:tcW w:w="1661" w:type="dxa"/>
            <w:vMerge/>
            <w:vAlign w:val="center"/>
          </w:tcPr>
          <w:p w14:paraId="06655CA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9A10F9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2E11823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067B463" w14:textId="5D043316" w:rsidR="004364B6" w:rsidRPr="005E61F8" w:rsidRDefault="004364B6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Aunque en el Portal de Transparencia aparece un link denominado Contratos con Administración pública, este </w:t>
            </w:r>
            <w:r w:rsidR="007A6B4E">
              <w:rPr>
                <w:rFonts w:ascii="Mulish" w:hAnsi="Mulish"/>
                <w:sz w:val="18"/>
                <w:szCs w:val="18"/>
              </w:rPr>
              <w:t>dirige</w:t>
            </w:r>
            <w:r>
              <w:rPr>
                <w:rFonts w:ascii="Mulish" w:hAnsi="Mulish"/>
                <w:sz w:val="18"/>
                <w:szCs w:val="18"/>
              </w:rPr>
              <w:t xml:space="preserve"> a una página sin contenido.</w:t>
            </w:r>
          </w:p>
        </w:tc>
      </w:tr>
      <w:tr w:rsidR="004364B6" w:rsidRPr="005E61F8" w14:paraId="43F1B2F8" w14:textId="77777777" w:rsidTr="0067041B">
        <w:tc>
          <w:tcPr>
            <w:tcW w:w="1661" w:type="dxa"/>
            <w:vMerge/>
            <w:vAlign w:val="center"/>
          </w:tcPr>
          <w:p w14:paraId="34D69B7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178085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8AA490E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7C176A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CEE4B82" w14:textId="77777777" w:rsidTr="0067041B">
        <w:tc>
          <w:tcPr>
            <w:tcW w:w="1661" w:type="dxa"/>
            <w:vMerge/>
            <w:vAlign w:val="center"/>
          </w:tcPr>
          <w:p w14:paraId="2A6BA6D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EB67C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7F944EA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D5962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F18A965" w14:textId="77777777" w:rsidTr="0067041B">
        <w:tc>
          <w:tcPr>
            <w:tcW w:w="1661" w:type="dxa"/>
            <w:vMerge/>
            <w:vAlign w:val="center"/>
          </w:tcPr>
          <w:p w14:paraId="1CD37EF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8B9865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0062B60F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5EF0ED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0769C1EB" w14:textId="77777777" w:rsidTr="0067041B">
        <w:tc>
          <w:tcPr>
            <w:tcW w:w="1661" w:type="dxa"/>
            <w:vMerge/>
            <w:vAlign w:val="center"/>
          </w:tcPr>
          <w:p w14:paraId="1027496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E37D9B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4FA857DC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83F81F8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65EBCCD6" w14:textId="77777777" w:rsidTr="0067041B">
        <w:tc>
          <w:tcPr>
            <w:tcW w:w="1661" w:type="dxa"/>
            <w:vMerge/>
            <w:vAlign w:val="center"/>
          </w:tcPr>
          <w:p w14:paraId="7F40F809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A785CC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768CA465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C8BB001" w14:textId="3B61EB3A" w:rsidR="004364B6" w:rsidRPr="005E61F8" w:rsidRDefault="004364B6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Aunque en el Portal de Transparencia aparece un link denominado </w:t>
            </w:r>
            <w:r w:rsidR="007A6B4E" w:rsidRPr="007A6B4E">
              <w:rPr>
                <w:rFonts w:ascii="Mulish" w:hAnsi="Mulish"/>
                <w:sz w:val="18"/>
                <w:szCs w:val="18"/>
              </w:rPr>
              <w:t xml:space="preserve">Contratos con </w:t>
            </w:r>
            <w:r w:rsidR="007A6B4E" w:rsidRPr="007A6B4E">
              <w:rPr>
                <w:rFonts w:ascii="Mulish" w:hAnsi="Mulish"/>
                <w:sz w:val="18"/>
                <w:szCs w:val="18"/>
              </w:rPr>
              <w:lastRenderedPageBreak/>
              <w:t>Administración pública</w:t>
            </w:r>
            <w:r>
              <w:rPr>
                <w:rFonts w:ascii="Mulish" w:hAnsi="Mulish"/>
                <w:sz w:val="18"/>
                <w:szCs w:val="18"/>
              </w:rPr>
              <w:t xml:space="preserve">, este </w:t>
            </w:r>
            <w:r w:rsidR="007A6B4E">
              <w:rPr>
                <w:rFonts w:ascii="Mulish" w:hAnsi="Mulish"/>
                <w:sz w:val="18"/>
                <w:szCs w:val="18"/>
              </w:rPr>
              <w:t>dirige</w:t>
            </w:r>
            <w:r>
              <w:rPr>
                <w:rFonts w:ascii="Mulish" w:hAnsi="Mulish"/>
                <w:sz w:val="18"/>
                <w:szCs w:val="18"/>
              </w:rPr>
              <w:t xml:space="preserve"> a una página sin contenido.</w:t>
            </w:r>
          </w:p>
        </w:tc>
      </w:tr>
      <w:tr w:rsidR="004364B6" w:rsidRPr="005E61F8" w14:paraId="77FC2961" w14:textId="77777777" w:rsidTr="0067041B">
        <w:tc>
          <w:tcPr>
            <w:tcW w:w="1661" w:type="dxa"/>
            <w:vMerge/>
            <w:vAlign w:val="center"/>
          </w:tcPr>
          <w:p w14:paraId="221E099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5634D4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D99ACE8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8B3EFD" w14:textId="77777777" w:rsidR="004364B6" w:rsidRPr="005E61F8" w:rsidRDefault="004364B6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Aunque en el Portal de Transparencia aparece un link denominado Convenios, este lleva a una página sin contenido.</w:t>
            </w:r>
          </w:p>
        </w:tc>
      </w:tr>
      <w:tr w:rsidR="004364B6" w:rsidRPr="005E61F8" w14:paraId="72A2B451" w14:textId="77777777" w:rsidTr="0067041B">
        <w:tc>
          <w:tcPr>
            <w:tcW w:w="1661" w:type="dxa"/>
            <w:vMerge/>
            <w:vAlign w:val="center"/>
          </w:tcPr>
          <w:p w14:paraId="1FCC544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CCA840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00371480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1A28F9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349BAE4" w14:textId="77777777" w:rsidTr="0067041B">
        <w:tc>
          <w:tcPr>
            <w:tcW w:w="1661" w:type="dxa"/>
            <w:vMerge/>
            <w:vAlign w:val="center"/>
          </w:tcPr>
          <w:p w14:paraId="66EC8A2C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7DB8D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128D770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6DDBA8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215D3441" w14:textId="77777777" w:rsidTr="0067041B">
        <w:tc>
          <w:tcPr>
            <w:tcW w:w="1661" w:type="dxa"/>
            <w:vMerge/>
            <w:vAlign w:val="center"/>
          </w:tcPr>
          <w:p w14:paraId="0E937B3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AEBDF2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5DBB427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89B1AB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5FF183F" w14:textId="77777777" w:rsidTr="0067041B">
        <w:tc>
          <w:tcPr>
            <w:tcW w:w="1661" w:type="dxa"/>
            <w:vMerge/>
            <w:vAlign w:val="center"/>
          </w:tcPr>
          <w:p w14:paraId="0FAA5D8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5D3F66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FA11493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19F43F6" w14:textId="7E00AEAA" w:rsidR="004364B6" w:rsidRPr="005E61F8" w:rsidRDefault="004364B6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 xml:space="preserve">Aunque en el Portal de Transparencia aparece un link denominado Presupuestos anuales, en este se remite a la memoria. No puede darse por cumplida la obligación, ya que la información de cada una de </w:t>
            </w:r>
            <w:r w:rsidR="00D6207A">
              <w:rPr>
                <w:rFonts w:ascii="Mulish" w:hAnsi="Mulish"/>
                <w:sz w:val="18"/>
                <w:szCs w:val="18"/>
              </w:rPr>
              <w:t>las obligaciones de publicidad activa,</w:t>
            </w:r>
            <w:r>
              <w:rPr>
                <w:rFonts w:ascii="Mulish" w:hAnsi="Mulish"/>
                <w:sz w:val="18"/>
                <w:szCs w:val="18"/>
              </w:rPr>
              <w:t xml:space="preserve"> debe publicarse de manera individualizada.</w:t>
            </w:r>
          </w:p>
        </w:tc>
      </w:tr>
      <w:tr w:rsidR="004364B6" w:rsidRPr="005E61F8" w14:paraId="2B780D89" w14:textId="77777777" w:rsidTr="0067041B">
        <w:tc>
          <w:tcPr>
            <w:tcW w:w="1661" w:type="dxa"/>
            <w:vMerge/>
            <w:vAlign w:val="center"/>
          </w:tcPr>
          <w:p w14:paraId="16520799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3FA42D6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12E2E5CF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96F66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74150465" w14:textId="77777777" w:rsidTr="0067041B">
        <w:tc>
          <w:tcPr>
            <w:tcW w:w="1661" w:type="dxa"/>
            <w:vMerge/>
            <w:vAlign w:val="center"/>
          </w:tcPr>
          <w:p w14:paraId="37AC101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EF3367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337CB4AB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22BC442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4D0CC0B2" w14:textId="77777777" w:rsidTr="0067041B">
        <w:tc>
          <w:tcPr>
            <w:tcW w:w="1661" w:type="dxa"/>
            <w:vMerge/>
            <w:vAlign w:val="center"/>
          </w:tcPr>
          <w:p w14:paraId="65569086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4F34C0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44B7AEB6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5B6489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5CE39554" w14:textId="77777777" w:rsidTr="0067041B">
        <w:tc>
          <w:tcPr>
            <w:tcW w:w="1661" w:type="dxa"/>
            <w:vMerge/>
            <w:vAlign w:val="center"/>
          </w:tcPr>
          <w:p w14:paraId="7D494AB2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FC38D4A" w14:textId="74D7381B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D36FC8"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C104F31" w14:textId="10082D30" w:rsidR="004364B6" w:rsidRPr="00D36FC8" w:rsidRDefault="00D36FC8" w:rsidP="00D36FC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8BAAF4A" w14:textId="306D7ABE" w:rsidR="004364B6" w:rsidRPr="005E61F8" w:rsidRDefault="00D36FC8" w:rsidP="0067041B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  <w:r w:rsidR="00695649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</w:tr>
      <w:tr w:rsidR="004364B6" w:rsidRPr="005E61F8" w14:paraId="67562E49" w14:textId="77777777" w:rsidTr="0067041B">
        <w:tc>
          <w:tcPr>
            <w:tcW w:w="1661" w:type="dxa"/>
            <w:vMerge/>
            <w:vAlign w:val="center"/>
          </w:tcPr>
          <w:p w14:paraId="21E4A37D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B60C26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2A0FF5DD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157FB72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4B3E0B0D" w14:textId="77777777" w:rsidTr="0067041B">
        <w:tc>
          <w:tcPr>
            <w:tcW w:w="1661" w:type="dxa"/>
            <w:vMerge/>
            <w:vAlign w:val="center"/>
          </w:tcPr>
          <w:p w14:paraId="703A999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323CF8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5FDCA656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EE6119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7B417ABB" w14:textId="77777777" w:rsidTr="0067041B">
        <w:tc>
          <w:tcPr>
            <w:tcW w:w="1661" w:type="dxa"/>
            <w:vMerge/>
            <w:vAlign w:val="center"/>
          </w:tcPr>
          <w:p w14:paraId="263ABDDA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21CA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1E61FEF3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07E604F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1E0E5F31" w14:textId="77777777" w:rsidTr="0067041B">
        <w:tc>
          <w:tcPr>
            <w:tcW w:w="1661" w:type="dxa"/>
            <w:vMerge/>
            <w:vAlign w:val="center"/>
          </w:tcPr>
          <w:p w14:paraId="1A0E557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2F08D1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51629329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DB46EE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27A94A73" w14:textId="77777777" w:rsidTr="0067041B">
        <w:tc>
          <w:tcPr>
            <w:tcW w:w="1661" w:type="dxa"/>
            <w:vMerge/>
            <w:vAlign w:val="center"/>
          </w:tcPr>
          <w:p w14:paraId="2866B025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680510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03B0A434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9816A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E0DFC3B" w14:textId="77777777" w:rsidTr="0067041B">
        <w:trPr>
          <w:trHeight w:val="265"/>
        </w:trPr>
        <w:tc>
          <w:tcPr>
            <w:tcW w:w="1661" w:type="dxa"/>
            <w:vMerge w:val="restart"/>
            <w:vAlign w:val="center"/>
          </w:tcPr>
          <w:p w14:paraId="2499F27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40F6E2F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5A6F1379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24AE3B1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639F9EC2" w14:textId="77777777" w:rsidTr="0067041B">
        <w:tc>
          <w:tcPr>
            <w:tcW w:w="1661" w:type="dxa"/>
            <w:vMerge/>
          </w:tcPr>
          <w:p w14:paraId="399231E2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8908BC3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1C4E7775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9497F2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6F2ED17B" w14:textId="77777777" w:rsidTr="0067041B">
        <w:tc>
          <w:tcPr>
            <w:tcW w:w="1661" w:type="dxa"/>
            <w:vMerge/>
          </w:tcPr>
          <w:p w14:paraId="7D9A5D0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EFCC9B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B8921E8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6CC0C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3A498D6E" w14:textId="77777777" w:rsidTr="0067041B">
        <w:tc>
          <w:tcPr>
            <w:tcW w:w="1661" w:type="dxa"/>
            <w:vMerge/>
          </w:tcPr>
          <w:p w14:paraId="722755D0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A140FC2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EAD87C7" w14:textId="77777777" w:rsidR="004364B6" w:rsidRPr="005E61F8" w:rsidRDefault="004364B6" w:rsidP="006704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23EB244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4364B6" w:rsidRPr="005E61F8" w14:paraId="49A7EEC6" w14:textId="77777777" w:rsidTr="0067041B">
        <w:tc>
          <w:tcPr>
            <w:tcW w:w="1661" w:type="dxa"/>
            <w:vMerge/>
          </w:tcPr>
          <w:p w14:paraId="32C38DA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31F1917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2B1248C5" w14:textId="77777777" w:rsidR="004364B6" w:rsidRPr="006F1C2B" w:rsidRDefault="004364B6" w:rsidP="004364B6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77E76FE" w14:textId="77777777" w:rsidR="004364B6" w:rsidRPr="005E61F8" w:rsidRDefault="004364B6" w:rsidP="0067041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4364B6" w:rsidRPr="005E61F8" w14:paraId="6D70C3FA" w14:textId="77777777" w:rsidTr="0067041B">
        <w:tc>
          <w:tcPr>
            <w:tcW w:w="7056" w:type="dxa"/>
            <w:gridSpan w:val="2"/>
          </w:tcPr>
          <w:p w14:paraId="4A800F8D" w14:textId="77777777" w:rsidR="004364B6" w:rsidRPr="005E61F8" w:rsidRDefault="004364B6" w:rsidP="0067041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2DE16419" w14:textId="40C32FF6" w:rsidR="004364B6" w:rsidRPr="005E61F8" w:rsidRDefault="00B17D3A" w:rsidP="0067041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2709" w:type="dxa"/>
          </w:tcPr>
          <w:p w14:paraId="3AC9DEAF" w14:textId="77777777" w:rsidR="004364B6" w:rsidRPr="005E61F8" w:rsidRDefault="004364B6" w:rsidP="0067041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A1B36F3" w14:textId="77777777" w:rsidR="004364B6" w:rsidRPr="005E61F8" w:rsidRDefault="004364B6" w:rsidP="004364B6">
      <w:pPr>
        <w:rPr>
          <w:rFonts w:ascii="Mulish" w:hAnsi="Mulish"/>
        </w:rPr>
      </w:pPr>
    </w:p>
    <w:p w14:paraId="2117B5C3" w14:textId="77777777" w:rsidR="004364B6" w:rsidRPr="005E61F8" w:rsidRDefault="004364B6" w:rsidP="004364B6">
      <w:pPr>
        <w:jc w:val="both"/>
        <w:rPr>
          <w:rFonts w:ascii="Mulish" w:hAnsi="Mulish"/>
        </w:rPr>
      </w:pPr>
    </w:p>
    <w:p w14:paraId="25A4B722" w14:textId="1E13ECEA" w:rsidR="004364B6" w:rsidRPr="005E61F8" w:rsidRDefault="004364B6" w:rsidP="004364B6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Fundación José </w:t>
      </w:r>
      <w:proofErr w:type="spellStart"/>
      <w:r>
        <w:rPr>
          <w:rFonts w:ascii="Mulish" w:hAnsi="Mulish"/>
        </w:rPr>
        <w:t>Matia</w:t>
      </w:r>
      <w:proofErr w:type="spellEnd"/>
      <w:r>
        <w:rPr>
          <w:rFonts w:ascii="Mulish" w:hAnsi="Mulish"/>
        </w:rPr>
        <w:t xml:space="preserve"> Calvo</w:t>
      </w:r>
      <w:r w:rsidRPr="005E61F8">
        <w:rPr>
          <w:rFonts w:ascii="Mulish" w:hAnsi="Mulish"/>
        </w:rPr>
        <w:t xml:space="preserve"> ha aplicado </w:t>
      </w:r>
      <w:r w:rsidR="00D36FC8">
        <w:rPr>
          <w:rFonts w:ascii="Mulish" w:hAnsi="Mulish"/>
        </w:rPr>
        <w:t>una</w:t>
      </w:r>
      <w:r>
        <w:rPr>
          <w:rFonts w:ascii="Mulish" w:hAnsi="Mulish"/>
        </w:rPr>
        <w:t xml:space="preserve"> de las </w:t>
      </w:r>
      <w:r w:rsidR="00B17D3A">
        <w:rPr>
          <w:rFonts w:ascii="Mulish" w:hAnsi="Mulish"/>
        </w:rPr>
        <w:t>nueve</w:t>
      </w:r>
      <w:r w:rsidRPr="005E61F8">
        <w:rPr>
          <w:rFonts w:ascii="Mulish" w:hAnsi="Mulish"/>
        </w:rPr>
        <w:t xml:space="preserve">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3B125D28" w14:textId="77777777" w:rsidR="004364B6" w:rsidRPr="005E61F8" w:rsidRDefault="004364B6" w:rsidP="004364B6">
      <w:pPr>
        <w:rPr>
          <w:rFonts w:ascii="Mulish" w:hAnsi="Mulish"/>
        </w:rPr>
      </w:pPr>
    </w:p>
    <w:p w14:paraId="4A8C9E26" w14:textId="77777777" w:rsidR="004364B6" w:rsidRDefault="004364B6" w:rsidP="004364B6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107A21BD" w14:textId="77777777" w:rsidR="004364B6" w:rsidRPr="005E61F8" w:rsidRDefault="003B528A" w:rsidP="004364B6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BF3BCC84C8E343E0B9006D8528FA01BC"/>
          </w:placeholder>
        </w:sdtPr>
        <w:sdtEndPr/>
        <w:sdtContent>
          <w:r w:rsidR="004364B6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127F6941" w14:textId="7C1EC867" w:rsidR="00D36FC8" w:rsidRDefault="00D36FC8" w:rsidP="004364B6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D36FC8" w:rsidRPr="00D36FC8" w14:paraId="3E7130F8" w14:textId="77777777" w:rsidTr="00D36FC8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7EBDA62" w14:textId="45ACD54B" w:rsidR="00D36FC8" w:rsidRPr="00D36FC8" w:rsidRDefault="00D36FC8" w:rsidP="00D36FC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D36F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E25D0E0" w14:textId="77777777" w:rsidR="00D36FC8" w:rsidRPr="00D36FC8" w:rsidRDefault="00D36FC8" w:rsidP="00D36F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BCACABC" w14:textId="77777777" w:rsidR="00D36FC8" w:rsidRPr="00D36FC8" w:rsidRDefault="00D36FC8" w:rsidP="00D36F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DD07254" w14:textId="77777777" w:rsidR="00D36FC8" w:rsidRPr="00D36FC8" w:rsidRDefault="00D36FC8" w:rsidP="00D36F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0BEC6CD" w14:textId="77777777" w:rsidR="00D36FC8" w:rsidRPr="00D36FC8" w:rsidRDefault="00D36FC8" w:rsidP="00D36F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1DD687D" w14:textId="77777777" w:rsidR="00D36FC8" w:rsidRPr="00D36FC8" w:rsidRDefault="00D36FC8" w:rsidP="00D36F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5FE37DD" w14:textId="77777777" w:rsidR="00D36FC8" w:rsidRPr="00D36FC8" w:rsidRDefault="00D36FC8" w:rsidP="00D36F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4B1D276" w14:textId="77777777" w:rsidR="00D36FC8" w:rsidRPr="00D36FC8" w:rsidRDefault="00D36FC8" w:rsidP="00D36F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4E3B3AF" w14:textId="77777777" w:rsidR="00D36FC8" w:rsidRPr="00D36FC8" w:rsidRDefault="00D36FC8" w:rsidP="00D36F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36FC8" w:rsidRPr="00D36FC8" w14:paraId="61696529" w14:textId="77777777" w:rsidTr="00D36FC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7705F41" w14:textId="77777777" w:rsidR="00D36FC8" w:rsidRPr="00D36FC8" w:rsidRDefault="00D36FC8" w:rsidP="00D36FC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030D31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1DDCB5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A8BF4E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BFEBFA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CCAB17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CC5FF4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8A023C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849589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</w:tr>
      <w:tr w:rsidR="00D36FC8" w:rsidRPr="00D36FC8" w14:paraId="55C7ED6E" w14:textId="77777777" w:rsidTr="00D36FC8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35ABF2C" w14:textId="77777777" w:rsidR="00D36FC8" w:rsidRPr="00D36FC8" w:rsidRDefault="00D36FC8" w:rsidP="00D36FC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B653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88F7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141E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9911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F6AC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E19F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995C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16FE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36FC8" w:rsidRPr="00D36FC8" w14:paraId="1641A7F8" w14:textId="77777777" w:rsidTr="00D36FC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1EC892C" w14:textId="77777777" w:rsidR="00D36FC8" w:rsidRPr="00D36FC8" w:rsidRDefault="00D36FC8" w:rsidP="00D36FC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5752A0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097E7F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4694B8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C434BB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27B443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3B4F60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60D1F8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43,8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63E47E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43,8</w:t>
            </w:r>
          </w:p>
        </w:tc>
      </w:tr>
      <w:tr w:rsidR="00D36FC8" w:rsidRPr="00D36FC8" w14:paraId="0E75523B" w14:textId="77777777" w:rsidTr="00D36FC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FD581AC" w14:textId="77777777" w:rsidR="00D36FC8" w:rsidRPr="00D36FC8" w:rsidRDefault="00D36FC8" w:rsidP="00D36FC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A69B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83B7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E39E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D999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9B13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EF3C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A7A4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0610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36FC8" w:rsidRPr="00D36FC8" w14:paraId="32A18916" w14:textId="77777777" w:rsidTr="00D36FC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5E060AC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E98C03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9AD2DA6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3BD1BFC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8E774DA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7AB507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87F7B41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DA81873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BEB138" w14:textId="77777777" w:rsidR="00D36FC8" w:rsidRPr="00D36FC8" w:rsidRDefault="00D36FC8" w:rsidP="00D36FC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D36FC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46,9</w:t>
            </w:r>
          </w:p>
        </w:tc>
      </w:tr>
    </w:tbl>
    <w:p w14:paraId="0AAF5772" w14:textId="148F0C06" w:rsidR="00D6207A" w:rsidRDefault="00D6207A" w:rsidP="004364B6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55FCAEE6" w14:textId="43FB2389" w:rsidR="004364B6" w:rsidRPr="005E61F8" w:rsidRDefault="004364B6" w:rsidP="004364B6">
      <w:pPr>
        <w:pStyle w:val="Cuerpodelboletn"/>
        <w:rPr>
          <w:rFonts w:ascii="Mulish" w:hAnsi="Mulish"/>
          <w:lang w:bidi="es-ES"/>
        </w:rPr>
      </w:pPr>
    </w:p>
    <w:p w14:paraId="59CE9FF8" w14:textId="3AB5C933" w:rsidR="004364B6" w:rsidRDefault="004364B6" w:rsidP="004364B6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D36FC8">
        <w:rPr>
          <w:rFonts w:ascii="Mulish" w:hAnsi="Mulish"/>
          <w:lang w:bidi="es-ES"/>
        </w:rPr>
        <w:t>46,9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incremento de </w:t>
      </w:r>
      <w:r w:rsidR="00D36FC8"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 xml:space="preserve">, </w:t>
      </w:r>
      <w:r w:rsidR="00487AD8">
        <w:rPr>
          <w:rFonts w:ascii="Mulish" w:hAnsi="Mulish"/>
          <w:lang w:bidi="es-ES"/>
        </w:rPr>
        <w:t>atribuible a la publicación de la fecha de actualización de la información.</w:t>
      </w:r>
    </w:p>
    <w:p w14:paraId="66DBD4F1" w14:textId="77777777" w:rsidR="004364B6" w:rsidRPr="005E61F8" w:rsidRDefault="004364B6" w:rsidP="004364B6">
      <w:pPr>
        <w:pStyle w:val="Cuerpodelboletn"/>
        <w:rPr>
          <w:rFonts w:ascii="Mulish" w:hAnsi="Mulish"/>
        </w:rPr>
      </w:pPr>
    </w:p>
    <w:p w14:paraId="1A851851" w14:textId="77777777" w:rsidR="004364B6" w:rsidRPr="005E61F8" w:rsidRDefault="004364B6" w:rsidP="004364B6">
      <w:pPr>
        <w:pStyle w:val="Cuerpodelboletn"/>
        <w:rPr>
          <w:rFonts w:ascii="Mulish" w:hAnsi="Mulish"/>
        </w:rPr>
        <w:sectPr w:rsidR="004364B6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EFB449D20B2A43A88F12B7C4DD22B2A7"/>
        </w:placeholder>
      </w:sdtPr>
      <w:sdtEndPr/>
      <w:sdtContent>
        <w:p w14:paraId="7F028B14" w14:textId="77777777" w:rsidR="004364B6" w:rsidRPr="005E61F8" w:rsidRDefault="004364B6" w:rsidP="004364B6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1F9E6C30" w14:textId="77777777" w:rsidR="004364B6" w:rsidRPr="005E61F8" w:rsidRDefault="004364B6" w:rsidP="004364B6">
      <w:pPr>
        <w:pStyle w:val="Cuerpodelboletn"/>
        <w:rPr>
          <w:rFonts w:ascii="Mulish" w:hAnsi="Mulish"/>
        </w:rPr>
      </w:pPr>
    </w:p>
    <w:p w14:paraId="451263A4" w14:textId="7C594E05" w:rsidR="004364B6" w:rsidRPr="005E61F8" w:rsidRDefault="00610F7A" w:rsidP="004364B6">
      <w:pPr>
        <w:pStyle w:val="Cuerpodelboletn"/>
        <w:rPr>
          <w:rFonts w:ascii="Mulish" w:hAnsi="Mulish"/>
        </w:rPr>
      </w:pPr>
      <w:r>
        <w:rPr>
          <w:rFonts w:ascii="Mulish" w:hAnsi="Mulish"/>
        </w:rPr>
        <w:t xml:space="preserve">Aunque el Índice de Cumplimiento mejora ligeramente respecto de los valores alcanzados en 2023, </w:t>
      </w:r>
      <w:r w:rsidR="00487AD8">
        <w:rPr>
          <w:rFonts w:ascii="Mulish" w:hAnsi="Mulish"/>
        </w:rPr>
        <w:t xml:space="preserve">este Consejo </w:t>
      </w:r>
      <w:r w:rsidR="00487AD8" w:rsidRPr="00E63D02">
        <w:rPr>
          <w:rFonts w:ascii="Mulish" w:hAnsi="Mulish"/>
          <w:b/>
          <w:bCs/>
        </w:rPr>
        <w:t>valora muy negativamente</w:t>
      </w:r>
      <w:r w:rsidR="00487AD8">
        <w:rPr>
          <w:rFonts w:ascii="Mulish" w:hAnsi="Mulish"/>
        </w:rPr>
        <w:t xml:space="preserve"> la evolución del cumplimiento de las obligaciones de publicidad activa por parte de la Fundación. E</w:t>
      </w:r>
      <w:r>
        <w:rPr>
          <w:rFonts w:ascii="Mulish" w:hAnsi="Mulish"/>
        </w:rPr>
        <w:t>l margen de mejora para lograr el</w:t>
      </w:r>
      <w:r w:rsidR="004364B6" w:rsidRPr="005E61F8">
        <w:rPr>
          <w:rFonts w:ascii="Mulish" w:hAnsi="Mulish"/>
        </w:rPr>
        <w:t xml:space="preserve"> </w:t>
      </w:r>
      <w:r w:rsidR="00E63D02">
        <w:rPr>
          <w:rFonts w:ascii="Mulish" w:hAnsi="Mulish"/>
        </w:rPr>
        <w:t xml:space="preserve">pleno </w:t>
      </w:r>
      <w:r w:rsidR="004364B6" w:rsidRPr="005E61F8">
        <w:rPr>
          <w:rFonts w:ascii="Mulish" w:hAnsi="Mulish"/>
        </w:rPr>
        <w:t xml:space="preserve">cumplimiento de </w:t>
      </w:r>
      <w:r w:rsidR="00E63D02">
        <w:rPr>
          <w:rFonts w:ascii="Mulish" w:hAnsi="Mulish"/>
        </w:rPr>
        <w:t>la LTAIBG</w:t>
      </w:r>
      <w:r w:rsidR="004364B6" w:rsidRPr="005E61F8">
        <w:rPr>
          <w:rFonts w:ascii="Mulish" w:hAnsi="Mulish"/>
        </w:rPr>
        <w:t xml:space="preserve"> por parte de</w:t>
      </w:r>
      <w:r w:rsidR="004364B6">
        <w:rPr>
          <w:rFonts w:ascii="Mulish" w:hAnsi="Mulish"/>
        </w:rPr>
        <w:t xml:space="preserve"> la Fundación José </w:t>
      </w:r>
      <w:proofErr w:type="spellStart"/>
      <w:r w:rsidR="004364B6">
        <w:rPr>
          <w:rFonts w:ascii="Mulish" w:hAnsi="Mulish"/>
        </w:rPr>
        <w:t>Matia</w:t>
      </w:r>
      <w:proofErr w:type="spellEnd"/>
      <w:r w:rsidR="004364B6">
        <w:rPr>
          <w:rFonts w:ascii="Mulish" w:hAnsi="Mulish"/>
        </w:rPr>
        <w:t xml:space="preserve"> Calvo</w:t>
      </w:r>
      <w:r>
        <w:rPr>
          <w:rFonts w:ascii="Mulish" w:hAnsi="Mulish"/>
        </w:rPr>
        <w:t xml:space="preserve"> es muy amplio</w:t>
      </w:r>
      <w:r w:rsidR="004364B6" w:rsidRPr="005E61F8">
        <w:rPr>
          <w:rFonts w:ascii="Mulish" w:hAnsi="Mulish"/>
        </w:rPr>
        <w:t xml:space="preserve">. Sólo se ha aplicado </w:t>
      </w:r>
      <w:r w:rsidR="00487AD8">
        <w:rPr>
          <w:rFonts w:ascii="Mulish" w:hAnsi="Mulish"/>
        </w:rPr>
        <w:t>una</w:t>
      </w:r>
      <w:r w:rsidR="004364B6" w:rsidRPr="005E61F8">
        <w:rPr>
          <w:rFonts w:ascii="Mulish" w:hAnsi="Mulish"/>
        </w:rPr>
        <w:t xml:space="preserve"> de las recomendaciones efectuadas </w:t>
      </w:r>
      <w:r w:rsidR="00764FA1">
        <w:rPr>
          <w:rFonts w:ascii="Mulish" w:hAnsi="Mulish"/>
        </w:rPr>
        <w:t>por este Consejo y, c</w:t>
      </w:r>
      <w:r w:rsidR="004364B6" w:rsidRPr="005E61F8">
        <w:rPr>
          <w:rFonts w:ascii="Mulish" w:hAnsi="Mulish"/>
        </w:rPr>
        <w:t>omo consecuencia de esto</w:t>
      </w:r>
      <w:r w:rsidR="00764FA1">
        <w:rPr>
          <w:rFonts w:ascii="Mulish" w:hAnsi="Mulish"/>
        </w:rPr>
        <w:t>,</w:t>
      </w:r>
      <w:r w:rsidR="004364B6" w:rsidRPr="005E61F8">
        <w:rPr>
          <w:rFonts w:ascii="Mulish" w:hAnsi="Mulish"/>
        </w:rPr>
        <w:t xml:space="preserve"> persisten los déficits evidenciados en dicha evaluación: </w:t>
      </w:r>
    </w:p>
    <w:p w14:paraId="6D856C5B" w14:textId="77777777" w:rsidR="004364B6" w:rsidRPr="005E61F8" w:rsidRDefault="004364B6" w:rsidP="004364B6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7276036"/>
      <w:bookmarkStart w:id="1" w:name="_Hlk166755143"/>
      <w:r w:rsidRPr="005E61F8">
        <w:rPr>
          <w:rFonts w:ascii="Mulish" w:hAnsi="Mulish"/>
        </w:rPr>
        <w:t>Respecto de la publicación de contenidos, sigue sin publicarse:</w:t>
      </w:r>
    </w:p>
    <w:p w14:paraId="329AE0D6" w14:textId="77777777" w:rsidR="004364B6" w:rsidRPr="005E61F8" w:rsidRDefault="004364B6" w:rsidP="004364B6">
      <w:pPr>
        <w:pStyle w:val="Prrafodelista"/>
        <w:rPr>
          <w:rFonts w:ascii="Mulish" w:hAnsi="Mulish"/>
        </w:rPr>
      </w:pPr>
    </w:p>
    <w:p w14:paraId="7AB03C4B" w14:textId="77777777" w:rsidR="004364B6" w:rsidRDefault="004364B6" w:rsidP="004364B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605FF2F" w14:textId="77777777" w:rsidR="004364B6" w:rsidRDefault="004364B6" w:rsidP="004364B6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F1B8451" w14:textId="77777777" w:rsidR="004364B6" w:rsidRDefault="004364B6" w:rsidP="004364B6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1DAFF3E4" w14:textId="24A19952" w:rsidR="004364B6" w:rsidRPr="00482F49" w:rsidRDefault="00764FA1" w:rsidP="004364B6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4364B6">
        <w:rPr>
          <w:rFonts w:ascii="Mulish" w:hAnsi="Mulish"/>
          <w:szCs w:val="22"/>
        </w:rPr>
        <w:t xml:space="preserve"> organigrama.</w:t>
      </w:r>
    </w:p>
    <w:p w14:paraId="022C2ADA" w14:textId="77777777" w:rsidR="004364B6" w:rsidRPr="00482F49" w:rsidRDefault="004364B6" w:rsidP="004364B6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39882C22" w14:textId="77777777" w:rsidR="004364B6" w:rsidRPr="005E61F8" w:rsidRDefault="004364B6" w:rsidP="004364B6">
      <w:pPr>
        <w:pStyle w:val="Sinespaciado"/>
        <w:spacing w:line="276" w:lineRule="auto"/>
        <w:jc w:val="both"/>
        <w:rPr>
          <w:rFonts w:ascii="Mulish" w:hAnsi="Mulish"/>
        </w:rPr>
      </w:pPr>
    </w:p>
    <w:p w14:paraId="3811DEFB" w14:textId="77777777" w:rsidR="004364B6" w:rsidRDefault="004364B6" w:rsidP="004364B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527BC68B" w14:textId="77777777" w:rsidR="004364B6" w:rsidRPr="00482F49" w:rsidRDefault="004364B6" w:rsidP="004364B6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717C9165" w14:textId="77777777" w:rsidR="004364B6" w:rsidRDefault="004364B6" w:rsidP="004364B6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2E2B3CB" w14:textId="55536102" w:rsidR="004364B6" w:rsidRDefault="00764FA1" w:rsidP="004364B6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</w:t>
      </w:r>
      <w:r w:rsidR="004364B6">
        <w:rPr>
          <w:rFonts w:ascii="Mulish" w:hAnsi="Mulish"/>
          <w:szCs w:val="22"/>
        </w:rPr>
        <w:t xml:space="preserve"> presupuesto.</w:t>
      </w:r>
    </w:p>
    <w:p w14:paraId="7ABD5D32" w14:textId="49F2572E" w:rsidR="00487AD8" w:rsidRPr="00482F49" w:rsidRDefault="00E63D02" w:rsidP="004364B6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 xml:space="preserve">No se ha completado </w:t>
      </w:r>
      <w:r w:rsidR="00487AD8">
        <w:rPr>
          <w:rFonts w:ascii="Mulish" w:hAnsi="Mulish"/>
          <w:szCs w:val="22"/>
        </w:rPr>
        <w:t>la información relativa a las retribuciones de los máximos responsables, publicando la información relativa a los responsable de la estructura de gestión.</w:t>
      </w:r>
    </w:p>
    <w:p w14:paraId="5E18665C" w14:textId="77777777" w:rsidR="004364B6" w:rsidRDefault="004364B6" w:rsidP="004364B6">
      <w:pPr>
        <w:rPr>
          <w:rFonts w:ascii="Mulish" w:hAnsi="Mulish"/>
          <w:szCs w:val="22"/>
        </w:rPr>
      </w:pPr>
    </w:p>
    <w:bookmarkEnd w:id="0"/>
    <w:bookmarkEnd w:id="1"/>
    <w:p w14:paraId="691BBBAC" w14:textId="77777777" w:rsidR="004364B6" w:rsidRPr="005E61F8" w:rsidRDefault="004364B6" w:rsidP="004364B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67FBB709" w14:textId="78DC1DEF" w:rsidR="004364B6" w:rsidRPr="005E61F8" w:rsidRDefault="004364B6" w:rsidP="004364B6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764FA1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3EA9B048" w14:textId="77777777" w:rsidR="004364B6" w:rsidRPr="005E61F8" w:rsidRDefault="004364B6" w:rsidP="004364B6">
      <w:pPr>
        <w:pStyle w:val="Cuerpodelboletn"/>
        <w:rPr>
          <w:rFonts w:ascii="Mulish" w:hAnsi="Mulish"/>
        </w:rPr>
        <w:sectPr w:rsidR="004364B6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EDC9619" w14:textId="77777777" w:rsidR="004364B6" w:rsidRPr="005E61F8" w:rsidRDefault="004364B6" w:rsidP="004364B6">
      <w:pPr>
        <w:pStyle w:val="Sinespaciado"/>
        <w:spacing w:line="276" w:lineRule="auto"/>
        <w:jc w:val="both"/>
        <w:rPr>
          <w:rFonts w:ascii="Mulish" w:hAnsi="Mulish"/>
        </w:rPr>
      </w:pPr>
    </w:p>
    <w:p w14:paraId="3F76EBB0" w14:textId="77777777" w:rsidR="004364B6" w:rsidRDefault="004364B6" w:rsidP="004364B6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22EC4937" w14:textId="77777777" w:rsidR="004364B6" w:rsidRPr="005E61F8" w:rsidRDefault="003B528A" w:rsidP="004364B6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56A13A8D64BE402AB717A5896C3C486D"/>
          </w:placeholder>
        </w:sdtPr>
        <w:sdtEndPr/>
        <w:sdtContent>
          <w:r w:rsidR="004364B6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4364B6" w:rsidRPr="005E61F8" w14:paraId="479CC799" w14:textId="77777777" w:rsidTr="0067041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DC18D7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55CB079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FEAEC2C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2732222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F15D7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4364B6" w:rsidRPr="005E61F8" w14:paraId="7249D891" w14:textId="77777777" w:rsidTr="0067041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192A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3F4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9D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29F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841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4364B6" w:rsidRPr="005E61F8" w14:paraId="74BCAEE1" w14:textId="77777777" w:rsidTr="0067041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22B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CF6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240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017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F7E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4364B6" w:rsidRPr="005E61F8" w14:paraId="20ED3C16" w14:textId="77777777" w:rsidTr="0067041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F1C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A1C7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44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F76E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0FA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4364B6" w:rsidRPr="005E61F8" w14:paraId="054AF249" w14:textId="77777777" w:rsidTr="0067041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28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E47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4C6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736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D15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4364B6" w:rsidRPr="005E61F8" w14:paraId="6734B58F" w14:textId="77777777" w:rsidTr="0067041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968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F292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4A0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0B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C87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4364B6" w:rsidRPr="005E61F8" w14:paraId="5FD24829" w14:textId="77777777" w:rsidTr="0067041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5F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9CB9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21F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333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6BB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4364B6" w:rsidRPr="005E61F8" w14:paraId="003F9EEB" w14:textId="77777777" w:rsidTr="0067041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305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BB69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B47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F74C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215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4364B6" w:rsidRPr="005E61F8" w14:paraId="5CD5C2F0" w14:textId="77777777" w:rsidTr="0067041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E57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667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FA6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DCEC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3DB9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4364B6" w:rsidRPr="005E61F8" w14:paraId="632D33C7" w14:textId="77777777" w:rsidTr="0067041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5E2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1C3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1A7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0E71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E78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4364B6" w:rsidRPr="005E61F8" w14:paraId="1AD60094" w14:textId="77777777" w:rsidTr="0067041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330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912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62A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7B10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E41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4364B6" w:rsidRPr="005E61F8" w14:paraId="72AA0BF2" w14:textId="77777777" w:rsidTr="0067041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0E66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304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B70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AFCE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30C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4364B6" w:rsidRPr="005E61F8" w14:paraId="1DF1C2F7" w14:textId="77777777" w:rsidTr="0067041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931F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55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6C35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1C09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615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4364B6" w:rsidRPr="005E61F8" w14:paraId="08C5E266" w14:textId="77777777" w:rsidTr="0067041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4E9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5D3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75A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691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69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4364B6" w:rsidRPr="005E61F8" w14:paraId="2F6B1362" w14:textId="77777777" w:rsidTr="0067041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B22F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5B9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4F8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EDEA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12F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4364B6" w:rsidRPr="005E61F8" w14:paraId="475B5190" w14:textId="77777777" w:rsidTr="0067041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3552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1FC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B26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AC1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378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4364B6" w:rsidRPr="005E61F8" w14:paraId="173FACFF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4EB4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3D0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57F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56F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CAD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4364B6" w:rsidRPr="005E61F8" w14:paraId="1BBCEE5B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804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6B1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7E7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4470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2F5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4364B6" w:rsidRPr="005E61F8" w14:paraId="5DFCA8B2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D30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8A3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45E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83EB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9AA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4364B6" w:rsidRPr="005E61F8" w14:paraId="72DC60C0" w14:textId="77777777" w:rsidTr="0067041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9F1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FF5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1700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08EE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799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4364B6" w:rsidRPr="005E61F8" w14:paraId="35D510DA" w14:textId="77777777" w:rsidTr="0067041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A4F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F525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5C9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DA8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A78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364B6" w:rsidRPr="005E61F8" w14:paraId="44AAFC81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40E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CEB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B15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A63C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0BC9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4364B6" w:rsidRPr="005E61F8" w14:paraId="3186D683" w14:textId="77777777" w:rsidTr="0067041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BC9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39D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5F8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360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99C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364B6" w:rsidRPr="005E61F8" w14:paraId="2D45E8C6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1F0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302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40B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0361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519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4364B6" w:rsidRPr="005E61F8" w14:paraId="5492310E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CD9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278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3225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6458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78E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364B6" w:rsidRPr="005E61F8" w14:paraId="628B468C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C3D3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320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B94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6DC7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196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4364B6" w:rsidRPr="005E61F8" w14:paraId="111845FF" w14:textId="77777777" w:rsidTr="0067041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5E6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2ED9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1DF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4C33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EE3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364B6" w:rsidRPr="005E61F8" w14:paraId="0ACF7A2C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108A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743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6C5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6527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97E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4364B6" w:rsidRPr="005E61F8" w14:paraId="2AE3BDA8" w14:textId="77777777" w:rsidTr="0067041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AA1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53B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340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712C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91C2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364B6" w:rsidRPr="005E61F8" w14:paraId="1EE2E65E" w14:textId="77777777" w:rsidTr="0067041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FAB5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577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74AC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D69B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D64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4364B6" w:rsidRPr="005E61F8" w14:paraId="72B68E02" w14:textId="77777777" w:rsidTr="0067041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C5AB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87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E752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DD7B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5D00" w14:textId="77777777" w:rsidR="004364B6" w:rsidRPr="005E61F8" w:rsidRDefault="004364B6" w:rsidP="0067041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4364B6" w:rsidRPr="005E61F8" w14:paraId="75C37E1F" w14:textId="77777777" w:rsidTr="0067041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D33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614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63796" w14:textId="77777777" w:rsidR="004364B6" w:rsidRPr="005E61F8" w:rsidRDefault="004364B6" w:rsidP="0067041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2CB6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3D4D" w14:textId="77777777" w:rsidR="004364B6" w:rsidRPr="005E61F8" w:rsidRDefault="004364B6" w:rsidP="0067041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4364B6" w:rsidRPr="005E61F8" w14:paraId="47C35906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A7295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99C4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3AA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E3F8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7850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4364B6" w:rsidRPr="005E61F8" w14:paraId="465C5FB4" w14:textId="77777777" w:rsidTr="0067041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0B5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632B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62E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228B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42E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4364B6" w:rsidRPr="005E61F8" w14:paraId="6517B225" w14:textId="77777777" w:rsidTr="0067041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1C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EBD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8A6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86CB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CF1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4364B6" w:rsidRPr="005E61F8" w14:paraId="7E8F7D28" w14:textId="77777777" w:rsidTr="0067041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1AE5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9AC8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D176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576F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26AD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4364B6" w:rsidRPr="005E61F8" w14:paraId="38A3DCEF" w14:textId="77777777" w:rsidTr="0067041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5E37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5964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435F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5886" w14:textId="77777777" w:rsidR="004364B6" w:rsidRPr="005E61F8" w:rsidRDefault="004364B6" w:rsidP="0067041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CB51" w14:textId="77777777" w:rsidR="004364B6" w:rsidRPr="005E61F8" w:rsidRDefault="004364B6" w:rsidP="0067041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15F9611" w14:textId="77777777" w:rsidR="004364B6" w:rsidRPr="005E61F8" w:rsidRDefault="004364B6" w:rsidP="004364B6">
      <w:pPr>
        <w:pStyle w:val="Cuerpodelboletn"/>
        <w:rPr>
          <w:rFonts w:ascii="Mulish" w:hAnsi="Mulish"/>
        </w:rPr>
      </w:pPr>
    </w:p>
    <w:p w14:paraId="32992D39" w14:textId="77777777" w:rsidR="004364B6" w:rsidRDefault="004364B6" w:rsidP="00415DBD">
      <w:pPr>
        <w:rPr>
          <w:rFonts w:ascii="Mulish" w:hAnsi="Mulish"/>
        </w:rPr>
      </w:pPr>
    </w:p>
    <w:sectPr w:rsidR="004364B6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A56" w14:textId="77777777" w:rsidR="00AF29E1" w:rsidRDefault="00AF29E1" w:rsidP="00F31BC3">
      <w:r>
        <w:separator/>
      </w:r>
    </w:p>
  </w:endnote>
  <w:endnote w:type="continuationSeparator" w:id="0">
    <w:p w14:paraId="1DDFEE97" w14:textId="77777777" w:rsidR="00AF29E1" w:rsidRDefault="00AF29E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B32C" w14:textId="77777777" w:rsidR="00AF29E1" w:rsidRDefault="00AF29E1" w:rsidP="00F31BC3">
      <w:r>
        <w:separator/>
      </w:r>
    </w:p>
  </w:footnote>
  <w:footnote w:type="continuationSeparator" w:id="0">
    <w:p w14:paraId="5F876178" w14:textId="77777777" w:rsidR="00AF29E1" w:rsidRDefault="00AF29E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6FB4FF0" w:rsidR="00307FC9" w:rsidRDefault="003B528A">
    <w:pPr>
      <w:pStyle w:val="Encabezado"/>
    </w:pPr>
    <w:r>
      <w:rPr>
        <w:noProof/>
      </w:rPr>
      <w:pict w14:anchorId="7DAFA9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29" o:spid="_x0000_s2050" type="#_x0000_t136" style="position:absolute;margin-left:0;margin-top:0;width:629.6pt;height:11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5B32DE8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3B528A">
      <w:rPr>
        <w:b/>
        <w:noProof/>
      </w:rPr>
      <w:pict w14:anchorId="7D320C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30" o:spid="_x0000_s2051" type="#_x0000_t136" style="position:absolute;margin-left:0;margin-top:0;width:629.6pt;height:11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8368BAA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="003B528A">
      <w:rPr>
        <w:noProof/>
      </w:rPr>
      <w:pict w14:anchorId="2024BF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1328" o:spid="_x0000_s2049" type="#_x0000_t136" style="position:absolute;margin-left:0;margin-top:0;width:629.6pt;height:11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07F401D"/>
    <w:multiLevelType w:val="hybridMultilevel"/>
    <w:tmpl w:val="A656C32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E05581"/>
    <w:multiLevelType w:val="hybridMultilevel"/>
    <w:tmpl w:val="01CC4E1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6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1"/>
  </w:num>
  <w:num w:numId="5">
    <w:abstractNumId w:val="19"/>
  </w:num>
  <w:num w:numId="6">
    <w:abstractNumId w:val="21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24"/>
  </w:num>
  <w:num w:numId="12">
    <w:abstractNumId w:val="17"/>
  </w:num>
  <w:num w:numId="13">
    <w:abstractNumId w:val="12"/>
  </w:num>
  <w:num w:numId="14">
    <w:abstractNumId w:val="25"/>
  </w:num>
  <w:num w:numId="15">
    <w:abstractNumId w:val="3"/>
  </w:num>
  <w:num w:numId="16">
    <w:abstractNumId w:val="26"/>
  </w:num>
  <w:num w:numId="17">
    <w:abstractNumId w:val="16"/>
  </w:num>
  <w:num w:numId="18">
    <w:abstractNumId w:val="9"/>
  </w:num>
  <w:num w:numId="19">
    <w:abstractNumId w:val="8"/>
  </w:num>
  <w:num w:numId="20">
    <w:abstractNumId w:val="20"/>
  </w:num>
  <w:num w:numId="21">
    <w:abstractNumId w:val="6"/>
  </w:num>
  <w:num w:numId="22">
    <w:abstractNumId w:val="23"/>
  </w:num>
  <w:num w:numId="23">
    <w:abstractNumId w:val="13"/>
  </w:num>
  <w:num w:numId="24">
    <w:abstractNumId w:val="10"/>
  </w:num>
  <w:num w:numId="25">
    <w:abstractNumId w:val="27"/>
  </w:num>
  <w:num w:numId="26">
    <w:abstractNumId w:val="11"/>
  </w:num>
  <w:num w:numId="27">
    <w:abstractNumId w:val="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28A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364B6"/>
    <w:rsid w:val="004720A5"/>
    <w:rsid w:val="0047735C"/>
    <w:rsid w:val="004859CC"/>
    <w:rsid w:val="00487AD8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10F7A"/>
    <w:rsid w:val="00623CFC"/>
    <w:rsid w:val="006253FA"/>
    <w:rsid w:val="006266A5"/>
    <w:rsid w:val="00633EAA"/>
    <w:rsid w:val="006475A7"/>
    <w:rsid w:val="00695649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4FA1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A6B4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555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17D3A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36FC8"/>
    <w:rsid w:val="00D41F4C"/>
    <w:rsid w:val="00D45F5C"/>
    <w:rsid w:val="00D520C8"/>
    <w:rsid w:val="00D6207A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3D02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tiafundazioa.eu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8D3D575EAA47E89568C21C7B7DE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7B4A-A87E-4C63-B5FC-BCCDA20196B9}"/>
      </w:docPartPr>
      <w:docPartBody>
        <w:p w:rsidR="00E50B94" w:rsidRDefault="00E96B97" w:rsidP="00E96B97">
          <w:pPr>
            <w:pStyle w:val="F48D3D575EAA47E89568C21C7B7DEF6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BF3BCC84C8E343E0B9006D8528FA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199E-217B-4038-835D-EB8F1B387623}"/>
      </w:docPartPr>
      <w:docPartBody>
        <w:p w:rsidR="00E50B94" w:rsidRDefault="00E96B97" w:rsidP="00E96B97">
          <w:pPr>
            <w:pStyle w:val="BF3BCC84C8E343E0B9006D8528FA01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FB449D20B2A43A88F12B7C4DD22B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4592-93EA-425B-93B4-A75BB88B69D9}"/>
      </w:docPartPr>
      <w:docPartBody>
        <w:p w:rsidR="00E50B94" w:rsidRDefault="00E96B97" w:rsidP="00E96B97">
          <w:pPr>
            <w:pStyle w:val="EFB449D20B2A43A88F12B7C4DD22B2A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6A13A8D64BE402AB717A5896C3C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839F-9165-4495-A36D-3ABCD1E687C4}"/>
      </w:docPartPr>
      <w:docPartBody>
        <w:p w:rsidR="00E50B94" w:rsidRDefault="00E96B97" w:rsidP="00E96B97">
          <w:pPr>
            <w:pStyle w:val="56A13A8D64BE402AB717A5896C3C486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97"/>
    <w:rsid w:val="00E50B94"/>
    <w:rsid w:val="00E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6B97"/>
    <w:rPr>
      <w:color w:val="808080"/>
    </w:rPr>
  </w:style>
  <w:style w:type="paragraph" w:customStyle="1" w:styleId="F48D3D575EAA47E89568C21C7B7DEF63">
    <w:name w:val="F48D3D575EAA47E89568C21C7B7DEF63"/>
    <w:rsid w:val="00E96B97"/>
  </w:style>
  <w:style w:type="paragraph" w:customStyle="1" w:styleId="BF3BCC84C8E343E0B9006D8528FA01BC">
    <w:name w:val="BF3BCC84C8E343E0B9006D8528FA01BC"/>
    <w:rsid w:val="00E96B97"/>
  </w:style>
  <w:style w:type="paragraph" w:customStyle="1" w:styleId="EFB449D20B2A43A88F12B7C4DD22B2A7">
    <w:name w:val="EFB449D20B2A43A88F12B7C4DD22B2A7"/>
    <w:rsid w:val="00E96B97"/>
  </w:style>
  <w:style w:type="paragraph" w:customStyle="1" w:styleId="56A13A8D64BE402AB717A5896C3C486D">
    <w:name w:val="56A13A8D64BE402AB717A5896C3C486D"/>
    <w:rsid w:val="00E96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4873beb7-5857-4685-be1f-d57550cc96c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28</TotalTime>
  <Pages>5</Pages>
  <Words>1132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5</cp:revision>
  <cp:lastPrinted>2008-09-26T23:14:00Z</cp:lastPrinted>
  <dcterms:created xsi:type="dcterms:W3CDTF">2024-06-18T09:16:00Z</dcterms:created>
  <dcterms:modified xsi:type="dcterms:W3CDTF">2024-07-16T11:55:00Z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