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0228EC32" w:rsidR="005E61F8" w:rsidRPr="005E61F8" w:rsidRDefault="00847C03" w:rsidP="006130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Fundación Red y Apoyo para la Integración Sociolaboral</w:t>
            </w:r>
          </w:p>
        </w:tc>
      </w:tr>
      <w:tr w:rsidR="005E61F8" w:rsidRPr="00847C03" w14:paraId="04DA6659" w14:textId="77777777" w:rsidTr="006F45F3">
        <w:tc>
          <w:tcPr>
            <w:tcW w:w="3625" w:type="dxa"/>
          </w:tcPr>
          <w:p w14:paraId="3236FD7C" w14:textId="77777777" w:rsidR="005E61F8" w:rsidRPr="00847C03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847C03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02A7411D" w14:textId="0EB7CA7B" w:rsidR="005E61F8" w:rsidRPr="00847C03" w:rsidRDefault="00847C03" w:rsidP="0061302F">
            <w:pPr>
              <w:rPr>
                <w:rFonts w:ascii="Mulish" w:hAnsi="Mulish"/>
                <w:sz w:val="24"/>
              </w:rPr>
            </w:pPr>
            <w:r w:rsidRPr="00847C03">
              <w:rPr>
                <w:rFonts w:ascii="Mulish" w:hAnsi="Mulish"/>
                <w:sz w:val="24"/>
              </w:rPr>
              <w:t>28/05</w:t>
            </w:r>
            <w:r w:rsidR="005E61F8" w:rsidRPr="00847C03">
              <w:rPr>
                <w:rFonts w:ascii="Mulish" w:hAnsi="Mulish"/>
                <w:sz w:val="24"/>
              </w:rPr>
              <w:t>/202</w:t>
            </w:r>
            <w:r w:rsidRPr="00847C03">
              <w:rPr>
                <w:rFonts w:ascii="Mulish" w:hAnsi="Mulish"/>
                <w:sz w:val="24"/>
              </w:rPr>
              <w:t>4</w:t>
            </w:r>
          </w:p>
          <w:p w14:paraId="65799873" w14:textId="32E948FA" w:rsidR="005E61F8" w:rsidRPr="00847C03" w:rsidRDefault="005E61F8" w:rsidP="0061302F">
            <w:pPr>
              <w:rPr>
                <w:rFonts w:ascii="Mulish" w:hAnsi="Mulish"/>
                <w:sz w:val="24"/>
              </w:rPr>
            </w:pPr>
            <w:r w:rsidRPr="00847C03">
              <w:rPr>
                <w:rFonts w:ascii="Mulish" w:hAnsi="Mulish"/>
                <w:sz w:val="24"/>
              </w:rPr>
              <w:t xml:space="preserve">Segunda revisión: </w:t>
            </w:r>
            <w:r w:rsidR="00DB38D2">
              <w:rPr>
                <w:rFonts w:ascii="Mulish" w:hAnsi="Mulish"/>
                <w:sz w:val="24"/>
              </w:rPr>
              <w:t>16/07/2024</w:t>
            </w:r>
          </w:p>
        </w:tc>
      </w:tr>
      <w:tr w:rsidR="005E61F8" w:rsidRPr="00847C03" w14:paraId="1E39768D" w14:textId="77777777" w:rsidTr="006F45F3">
        <w:tc>
          <w:tcPr>
            <w:tcW w:w="3625" w:type="dxa"/>
          </w:tcPr>
          <w:p w14:paraId="1A2FF59D" w14:textId="53695DF7" w:rsidR="005E61F8" w:rsidRPr="00847C03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847C03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7E142FAF" w:rsidR="005E61F8" w:rsidRPr="00847C03" w:rsidRDefault="000D04B6" w:rsidP="0061302F">
            <w:pPr>
              <w:rPr>
                <w:rFonts w:ascii="Mulish" w:hAnsi="Mulish"/>
                <w:sz w:val="24"/>
              </w:rPr>
            </w:pPr>
            <w:hyperlink r:id="rId14" w:history="1">
              <w:r w:rsidR="00847C03" w:rsidRPr="00847C03">
                <w:rPr>
                  <w:rStyle w:val="Hipervnculo"/>
                  <w:rFonts w:ascii="Mulish" w:hAnsi="Mulish"/>
                  <w:sz w:val="24"/>
                </w:rPr>
                <w:t>https://hogarsi.org</w:t>
              </w:r>
            </w:hyperlink>
          </w:p>
        </w:tc>
      </w:tr>
    </w:tbl>
    <w:p w14:paraId="1A3FCC83" w14:textId="77777777" w:rsidR="005E61F8" w:rsidRPr="00847C03" w:rsidRDefault="005E61F8" w:rsidP="00415DBD">
      <w:pPr>
        <w:rPr>
          <w:rFonts w:ascii="Mulish" w:hAnsi="Mulish"/>
        </w:rPr>
      </w:pPr>
    </w:p>
    <w:p w14:paraId="5C6C9FDA" w14:textId="77777777" w:rsidR="00623CFC" w:rsidRPr="00847C03" w:rsidRDefault="00623CFC" w:rsidP="00415DBD">
      <w:pPr>
        <w:rPr>
          <w:rFonts w:ascii="Mulish" w:hAnsi="Mulish"/>
        </w:rPr>
      </w:pPr>
    </w:p>
    <w:p w14:paraId="2A8B3BDC" w14:textId="77777777" w:rsidR="0082470D" w:rsidRPr="0059767A" w:rsidRDefault="000D04B6" w:rsidP="0059767A">
      <w:pPr>
        <w:pStyle w:val="Titulardelboletn"/>
        <w:numPr>
          <w:ilvl w:val="0"/>
          <w:numId w:val="2"/>
        </w:numPr>
        <w:rPr>
          <w:rFonts w:ascii="Mulish" w:hAnsi="Mulish"/>
          <w:color w:val="00806F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color w:val="00806F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5E61F8" w:rsidRDefault="0082470D" w:rsidP="0082470D">
      <w:pPr>
        <w:rPr>
          <w:rFonts w:ascii="Mulish" w:hAnsi="Mulish"/>
        </w:rPr>
      </w:pPr>
    </w:p>
    <w:p w14:paraId="79FB20F4" w14:textId="77777777" w:rsidR="00760E4B" w:rsidRPr="005E61F8" w:rsidRDefault="00760E4B" w:rsidP="003E564B">
      <w:pPr>
        <w:pStyle w:val="Cuerpodelboletn"/>
        <w:rPr>
          <w:rFonts w:ascii="Mulish" w:hAnsi="Mulish"/>
        </w:rPr>
        <w:sectPr w:rsidR="00760E4B" w:rsidRPr="005E61F8" w:rsidSect="00804174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4004"/>
        <w:gridCol w:w="709"/>
        <w:gridCol w:w="4082"/>
      </w:tblGrid>
      <w:tr w:rsidR="00A249BB" w:rsidRPr="005E61F8" w14:paraId="20B915EC" w14:textId="77777777" w:rsidTr="00B2108C">
        <w:trPr>
          <w:trHeight w:val="309"/>
          <w:tblHeader/>
        </w:trPr>
        <w:tc>
          <w:tcPr>
            <w:tcW w:w="1661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322C3903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4713" w:type="dxa"/>
            <w:gridSpan w:val="2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6593F20B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4082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77B9748C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5E61F8" w14:paraId="4E526B9A" w14:textId="77777777" w:rsidTr="00B2108C">
        <w:tc>
          <w:tcPr>
            <w:tcW w:w="1661" w:type="dxa"/>
            <w:vMerge w:val="restart"/>
            <w:tcBorders>
              <w:top w:val="single" w:sz="4" w:space="0" w:color="3C8378"/>
            </w:tcBorders>
            <w:vAlign w:val="center"/>
          </w:tcPr>
          <w:p w14:paraId="778ACA5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4004" w:type="dxa"/>
            <w:tcBorders>
              <w:top w:val="single" w:sz="4" w:space="0" w:color="3C8378"/>
            </w:tcBorders>
          </w:tcPr>
          <w:p w14:paraId="228129A6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tcBorders>
              <w:top w:val="single" w:sz="4" w:space="0" w:color="3C8378"/>
            </w:tcBorders>
            <w:vAlign w:val="center"/>
          </w:tcPr>
          <w:p w14:paraId="50278811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3C8378"/>
            </w:tcBorders>
          </w:tcPr>
          <w:p w14:paraId="179BC7F3" w14:textId="2F2452A8" w:rsidR="00D77D83" w:rsidRPr="005E61F8" w:rsidRDefault="00953726" w:rsidP="0095372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El enlace al Portal de Transparencia aparece en la zona baja de la página home</w:t>
            </w:r>
          </w:p>
        </w:tc>
      </w:tr>
      <w:tr w:rsidR="00D77D83" w:rsidRPr="005E61F8" w14:paraId="57F659DE" w14:textId="77777777" w:rsidTr="00B2108C">
        <w:tc>
          <w:tcPr>
            <w:tcW w:w="1661" w:type="dxa"/>
            <w:vMerge/>
          </w:tcPr>
          <w:p w14:paraId="4AF6C0D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</w:tcPr>
          <w:p w14:paraId="7752014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14:paraId="2006F714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4641737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27402B8A" w14:textId="77777777" w:rsidTr="00B2108C">
        <w:tc>
          <w:tcPr>
            <w:tcW w:w="1661" w:type="dxa"/>
            <w:vMerge/>
          </w:tcPr>
          <w:p w14:paraId="20E26CB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</w:tcPr>
          <w:p w14:paraId="29729FB9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14:paraId="2D6648DC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4805F2CB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7F1C0DEC" w14:textId="77777777" w:rsidTr="00B2108C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</w:tcPr>
          <w:p w14:paraId="366B518D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14:paraId="4E246E94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66B3143B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5E61F8" w14:paraId="25FD81B6" w14:textId="77777777" w:rsidTr="00B2108C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4004" w:type="dxa"/>
          </w:tcPr>
          <w:p w14:paraId="54D2B6E0" w14:textId="7662B8EF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14:paraId="32BE8DB6" w14:textId="77777777" w:rsidR="005B11B3" w:rsidRPr="00953726" w:rsidRDefault="005B11B3" w:rsidP="00953726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4082" w:type="dxa"/>
          </w:tcPr>
          <w:p w14:paraId="534F585B" w14:textId="13532BCD" w:rsidR="005B11B3" w:rsidRPr="005E61F8" w:rsidRDefault="00953726" w:rsidP="0095372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Los Estatutos aparecen en el Portal de Transparencia.</w:t>
            </w:r>
          </w:p>
        </w:tc>
      </w:tr>
      <w:tr w:rsidR="00F361B3" w:rsidRPr="005E61F8" w14:paraId="7F8723A8" w14:textId="77777777" w:rsidTr="00B2108C">
        <w:tc>
          <w:tcPr>
            <w:tcW w:w="1661" w:type="dxa"/>
            <w:vMerge/>
            <w:vAlign w:val="center"/>
          </w:tcPr>
          <w:p w14:paraId="39CC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071B1C0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0DD5E3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4BD32D8C" w14:textId="120C1DFE" w:rsidR="00F361B3" w:rsidRPr="005E61F8" w:rsidRDefault="00953726" w:rsidP="0095372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Se publica en formato reutilizable.</w:t>
            </w:r>
          </w:p>
        </w:tc>
      </w:tr>
      <w:tr w:rsidR="00F361B3" w:rsidRPr="005E61F8" w14:paraId="3E7A1C26" w14:textId="77777777" w:rsidTr="00B2108C">
        <w:tc>
          <w:tcPr>
            <w:tcW w:w="1661" w:type="dxa"/>
            <w:vMerge/>
            <w:vAlign w:val="center"/>
          </w:tcPr>
          <w:p w14:paraId="7E6FCF0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226628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  <w:shd w:val="pct25" w:color="auto" w:fill="auto"/>
          </w:tcPr>
          <w:p w14:paraId="441BFD00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00C5C7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188F761" w14:textId="77777777" w:rsidTr="00B2108C">
        <w:tc>
          <w:tcPr>
            <w:tcW w:w="1661" w:type="dxa"/>
            <w:vMerge/>
            <w:vAlign w:val="center"/>
          </w:tcPr>
          <w:p w14:paraId="6D96AA3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</w:tcPr>
          <w:p w14:paraId="480D893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709" w:type="dxa"/>
          </w:tcPr>
          <w:p w14:paraId="4A565035" w14:textId="4394C68C" w:rsidR="00F361B3" w:rsidRPr="005E61F8" w:rsidRDefault="007C0401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</w:tcPr>
          <w:p w14:paraId="6C4FEECC" w14:textId="1E00A685" w:rsidR="00F361B3" w:rsidRPr="005E61F8" w:rsidRDefault="007C0401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0E100D74" w14:textId="77777777" w:rsidTr="00B2108C">
        <w:tc>
          <w:tcPr>
            <w:tcW w:w="1661" w:type="dxa"/>
            <w:vMerge/>
            <w:vAlign w:val="center"/>
          </w:tcPr>
          <w:p w14:paraId="0E87140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</w:tcPr>
          <w:p w14:paraId="6F1888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709" w:type="dxa"/>
          </w:tcPr>
          <w:p w14:paraId="1B30813B" w14:textId="1A00EBF9" w:rsidR="00F361B3" w:rsidRPr="005E61F8" w:rsidRDefault="007C0401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</w:tcPr>
          <w:p w14:paraId="2EDA76E5" w14:textId="590799D6" w:rsidR="00F361B3" w:rsidRPr="005E61F8" w:rsidRDefault="007C0401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03D79CE5" w14:textId="77777777" w:rsidTr="00B2108C">
        <w:tc>
          <w:tcPr>
            <w:tcW w:w="1661" w:type="dxa"/>
            <w:vMerge/>
            <w:vAlign w:val="center"/>
          </w:tcPr>
          <w:p w14:paraId="18E0E1F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</w:tcPr>
          <w:p w14:paraId="0648F3B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709" w:type="dxa"/>
          </w:tcPr>
          <w:p w14:paraId="37BA24B8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B1F88F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1720E37" w14:textId="77777777" w:rsidTr="00B2108C">
        <w:tc>
          <w:tcPr>
            <w:tcW w:w="1661" w:type="dxa"/>
            <w:vMerge/>
            <w:vAlign w:val="center"/>
          </w:tcPr>
          <w:p w14:paraId="01AAB33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0CAA1D6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36926B" w14:textId="13A5883A" w:rsidR="00F361B3" w:rsidRPr="005E61F8" w:rsidRDefault="007C0401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499C04D4" w14:textId="3AEDB3B6" w:rsidR="00F361B3" w:rsidRPr="005E61F8" w:rsidRDefault="007C0401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C1D17D4" w14:textId="77777777" w:rsidTr="00B2108C">
        <w:tc>
          <w:tcPr>
            <w:tcW w:w="1661" w:type="dxa"/>
            <w:vMerge/>
            <w:vAlign w:val="center"/>
          </w:tcPr>
          <w:p w14:paraId="0F97F54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53A8649A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709" w:type="dxa"/>
            <w:shd w:val="pct25" w:color="auto" w:fill="auto"/>
          </w:tcPr>
          <w:p w14:paraId="7E2850C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6BB0E3B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EA6C8C5" w14:textId="77777777" w:rsidTr="00B2108C">
        <w:tc>
          <w:tcPr>
            <w:tcW w:w="1661" w:type="dxa"/>
            <w:vMerge/>
            <w:vAlign w:val="center"/>
          </w:tcPr>
          <w:p w14:paraId="0328285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369F4820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  <w:shd w:val="pct25" w:color="auto" w:fill="auto"/>
          </w:tcPr>
          <w:p w14:paraId="179EBCE9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3FC1F37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338E894" w14:textId="77777777" w:rsidTr="00B2108C">
        <w:tc>
          <w:tcPr>
            <w:tcW w:w="1661" w:type="dxa"/>
            <w:vMerge/>
            <w:vAlign w:val="center"/>
          </w:tcPr>
          <w:p w14:paraId="2F70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  <w:shd w:val="pct25" w:color="auto" w:fill="auto"/>
          </w:tcPr>
          <w:p w14:paraId="1BAF2F8E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14:paraId="2AC01422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shd w:val="pct25" w:color="auto" w:fill="auto"/>
          </w:tcPr>
          <w:p w14:paraId="25D1230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7FDFB7D" w14:textId="77777777" w:rsidTr="00B2108C">
        <w:tc>
          <w:tcPr>
            <w:tcW w:w="1661" w:type="dxa"/>
            <w:vMerge/>
            <w:vAlign w:val="center"/>
          </w:tcPr>
          <w:p w14:paraId="193F62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2FAC5EA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09" w:type="dxa"/>
            <w:shd w:val="pct25" w:color="auto" w:fill="auto"/>
          </w:tcPr>
          <w:p w14:paraId="02B7E53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63E2345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70980B3" w14:textId="77777777" w:rsidTr="00B2108C">
        <w:tc>
          <w:tcPr>
            <w:tcW w:w="1661" w:type="dxa"/>
            <w:vMerge/>
            <w:vAlign w:val="center"/>
          </w:tcPr>
          <w:p w14:paraId="65A5E9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28ECDD5F" w14:textId="77777777" w:rsidR="00F361B3" w:rsidRPr="005E61F8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709" w:type="dxa"/>
            <w:shd w:val="pct25" w:color="auto" w:fill="auto"/>
          </w:tcPr>
          <w:p w14:paraId="21F54534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596C9E8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21918000" w14:textId="77777777" w:rsidTr="00B2108C">
        <w:tc>
          <w:tcPr>
            <w:tcW w:w="1661" w:type="dxa"/>
            <w:vMerge/>
            <w:vAlign w:val="center"/>
          </w:tcPr>
          <w:p w14:paraId="029B119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11FEC16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4E1CFA" w14:textId="4C141B31" w:rsidR="00F361B3" w:rsidRPr="005E61F8" w:rsidRDefault="007C0401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50BA9922" w14:textId="5D50B304" w:rsidR="00F361B3" w:rsidRPr="005E61F8" w:rsidRDefault="007C0401" w:rsidP="0012480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  <w:r w:rsidR="00124800">
              <w:rPr>
                <w:rFonts w:ascii="Mulish" w:hAnsi="Mulish"/>
                <w:sz w:val="18"/>
                <w:szCs w:val="18"/>
              </w:rPr>
              <w:t xml:space="preserve">. Aunque en el Portal de Transparencia se alude a que la información está en la Memoria económica, debe publicarse de forma independiente. </w:t>
            </w:r>
            <w:r w:rsidR="00B2108C">
              <w:rPr>
                <w:rFonts w:ascii="Mulish" w:hAnsi="Mulish"/>
                <w:sz w:val="18"/>
                <w:szCs w:val="18"/>
              </w:rPr>
              <w:t>Por otra parte</w:t>
            </w:r>
            <w:r w:rsidR="00124800">
              <w:rPr>
                <w:rFonts w:ascii="Mulish" w:hAnsi="Mulish"/>
                <w:sz w:val="18"/>
                <w:szCs w:val="18"/>
              </w:rPr>
              <w:t xml:space="preserve">, no se recogen </w:t>
            </w:r>
            <w:r w:rsidR="00B2108C">
              <w:rPr>
                <w:rFonts w:ascii="Mulish" w:hAnsi="Mulish"/>
                <w:sz w:val="18"/>
                <w:szCs w:val="18"/>
              </w:rPr>
              <w:t>en la memoria</w:t>
            </w:r>
            <w:r w:rsidR="00124800">
              <w:rPr>
                <w:rFonts w:ascii="Mulish" w:hAnsi="Mulish"/>
                <w:sz w:val="18"/>
                <w:szCs w:val="18"/>
              </w:rPr>
              <w:t xml:space="preserve"> todos los ítems establecidos en </w:t>
            </w:r>
            <w:r w:rsidR="00B2108C">
              <w:rPr>
                <w:rFonts w:ascii="Mulish" w:hAnsi="Mulish"/>
                <w:sz w:val="18"/>
                <w:szCs w:val="18"/>
              </w:rPr>
              <w:t>el artículo 8.1.a de la</w:t>
            </w:r>
            <w:r w:rsidR="00124800">
              <w:rPr>
                <w:rFonts w:ascii="Mulish" w:hAnsi="Mulish"/>
                <w:sz w:val="18"/>
                <w:szCs w:val="18"/>
              </w:rPr>
              <w:t xml:space="preserve"> LTAIBG.</w:t>
            </w:r>
          </w:p>
        </w:tc>
      </w:tr>
      <w:tr w:rsidR="00F361B3" w:rsidRPr="005E61F8" w14:paraId="7E530259" w14:textId="77777777" w:rsidTr="00B2108C">
        <w:tc>
          <w:tcPr>
            <w:tcW w:w="1661" w:type="dxa"/>
            <w:vMerge/>
            <w:vAlign w:val="center"/>
          </w:tcPr>
          <w:p w14:paraId="65E840E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1A0E29D8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  <w:shd w:val="pct25" w:color="auto" w:fill="auto"/>
          </w:tcPr>
          <w:p w14:paraId="2C681418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2FD7A14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0CA308C" w14:textId="77777777" w:rsidTr="00B2108C">
        <w:tc>
          <w:tcPr>
            <w:tcW w:w="1661" w:type="dxa"/>
            <w:vMerge/>
            <w:vAlign w:val="center"/>
          </w:tcPr>
          <w:p w14:paraId="518DFD3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4F378AE2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709" w:type="dxa"/>
            <w:shd w:val="pct25" w:color="auto" w:fill="auto"/>
          </w:tcPr>
          <w:p w14:paraId="20D7D586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13272B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CC992DC" w14:textId="77777777" w:rsidTr="00B2108C">
        <w:tc>
          <w:tcPr>
            <w:tcW w:w="1661" w:type="dxa"/>
            <w:vMerge/>
            <w:vAlign w:val="center"/>
          </w:tcPr>
          <w:p w14:paraId="47B5495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10CB90AF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  <w:shd w:val="pct25" w:color="auto" w:fill="auto"/>
          </w:tcPr>
          <w:p w14:paraId="6C7A49A3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2A67D7A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D8E0EF9" w14:textId="77777777" w:rsidTr="00B2108C">
        <w:tc>
          <w:tcPr>
            <w:tcW w:w="1661" w:type="dxa"/>
            <w:vMerge/>
            <w:vAlign w:val="center"/>
          </w:tcPr>
          <w:p w14:paraId="73883C6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4C835A25" w14:textId="35660924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709" w:type="dxa"/>
            <w:shd w:val="pct25" w:color="auto" w:fill="auto"/>
          </w:tcPr>
          <w:p w14:paraId="662625F7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608B5D7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E029383" w14:textId="77777777" w:rsidTr="00B2108C">
        <w:tc>
          <w:tcPr>
            <w:tcW w:w="1661" w:type="dxa"/>
            <w:vMerge/>
            <w:vAlign w:val="center"/>
          </w:tcPr>
          <w:p w14:paraId="0C13F6A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</w:tcPr>
          <w:p w14:paraId="74EA8B3B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709" w:type="dxa"/>
          </w:tcPr>
          <w:p w14:paraId="64EC4E78" w14:textId="2323368E" w:rsidR="00F361B3" w:rsidRPr="005E61F8" w:rsidRDefault="007C0401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</w:tcPr>
          <w:p w14:paraId="588B2B22" w14:textId="616EE982" w:rsidR="00F361B3" w:rsidRPr="005E61F8" w:rsidRDefault="007C0401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6E9F2F8F" w14:textId="77777777" w:rsidTr="00B2108C">
        <w:tc>
          <w:tcPr>
            <w:tcW w:w="1661" w:type="dxa"/>
            <w:vMerge/>
            <w:vAlign w:val="center"/>
          </w:tcPr>
          <w:p w14:paraId="73E1F27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3E1F8C0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4BEFCA" w14:textId="77010DEB" w:rsidR="00F361B3" w:rsidRPr="005E61F8" w:rsidRDefault="007C0401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0B3AECE8" w14:textId="0CCA0E53" w:rsidR="00F361B3" w:rsidRPr="005E61F8" w:rsidRDefault="007C0401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3F1DD625" w14:textId="77777777" w:rsidTr="00B2108C">
        <w:tc>
          <w:tcPr>
            <w:tcW w:w="1661" w:type="dxa"/>
            <w:vMerge/>
            <w:vAlign w:val="center"/>
          </w:tcPr>
          <w:p w14:paraId="6BF072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0261407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709" w:type="dxa"/>
            <w:shd w:val="pct25" w:color="auto" w:fill="auto"/>
          </w:tcPr>
          <w:p w14:paraId="67F302D9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70C135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B009B82" w14:textId="77777777" w:rsidTr="00B2108C">
        <w:tc>
          <w:tcPr>
            <w:tcW w:w="1661" w:type="dxa"/>
            <w:vMerge/>
            <w:vAlign w:val="center"/>
          </w:tcPr>
          <w:p w14:paraId="76AD24C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6B68D03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709" w:type="dxa"/>
            <w:shd w:val="pct25" w:color="auto" w:fill="auto"/>
          </w:tcPr>
          <w:p w14:paraId="2F09AE5F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21732FE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4E136257" w14:textId="77777777" w:rsidTr="00B2108C">
        <w:tc>
          <w:tcPr>
            <w:tcW w:w="1661" w:type="dxa"/>
            <w:vMerge/>
            <w:vAlign w:val="center"/>
          </w:tcPr>
          <w:p w14:paraId="415AC31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</w:tcPr>
          <w:p w14:paraId="51FAFC4E" w14:textId="3549E058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709" w:type="dxa"/>
          </w:tcPr>
          <w:p w14:paraId="24AE29F5" w14:textId="1D52E2B5" w:rsidR="00F361B3" w:rsidRPr="005E61F8" w:rsidRDefault="0012480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</w:tcPr>
          <w:p w14:paraId="488C6BE1" w14:textId="2135ED9F" w:rsidR="00F361B3" w:rsidRPr="005E61F8" w:rsidRDefault="00B2108C" w:rsidP="0012480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B2108C">
              <w:rPr>
                <w:rFonts w:ascii="Mulish" w:hAnsi="Mulish"/>
                <w:sz w:val="18"/>
                <w:szCs w:val="18"/>
              </w:rPr>
              <w:t>No. Aunque en el Portal de Transparencia se alude a que la información está en la Memoria económica, debe publicarse de forma independiente. Por otra parte, no se recogen en la memoria todos los ítems establecidos en el artículo 8.1.</w:t>
            </w:r>
            <w:r>
              <w:rPr>
                <w:rFonts w:ascii="Mulish" w:hAnsi="Mulish"/>
                <w:sz w:val="18"/>
                <w:szCs w:val="18"/>
              </w:rPr>
              <w:t>c</w:t>
            </w:r>
            <w:r w:rsidRPr="00B2108C">
              <w:rPr>
                <w:rFonts w:ascii="Mulish" w:hAnsi="Mulish"/>
                <w:sz w:val="18"/>
                <w:szCs w:val="18"/>
              </w:rPr>
              <w:t xml:space="preserve"> de la LTAIBG.</w:t>
            </w:r>
          </w:p>
        </w:tc>
      </w:tr>
      <w:tr w:rsidR="00F361B3" w:rsidRPr="005E61F8" w14:paraId="48BA35CC" w14:textId="77777777" w:rsidTr="00B2108C">
        <w:tc>
          <w:tcPr>
            <w:tcW w:w="1661" w:type="dxa"/>
            <w:vMerge/>
            <w:vAlign w:val="center"/>
          </w:tcPr>
          <w:p w14:paraId="58B0880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075E9D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DA87F7" w14:textId="0FCFF996" w:rsidR="00F361B3" w:rsidRPr="005E61F8" w:rsidRDefault="0012480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019EEB6C" w14:textId="2172ACD5" w:rsidR="00F361B3" w:rsidRPr="005E61F8" w:rsidRDefault="00124800" w:rsidP="0012480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 se ha localizado información</w:t>
            </w:r>
          </w:p>
        </w:tc>
      </w:tr>
      <w:tr w:rsidR="00F361B3" w:rsidRPr="005E61F8" w14:paraId="5AD8D378" w14:textId="77777777" w:rsidTr="00B2108C">
        <w:tc>
          <w:tcPr>
            <w:tcW w:w="1661" w:type="dxa"/>
            <w:vMerge/>
            <w:vAlign w:val="center"/>
          </w:tcPr>
          <w:p w14:paraId="2AAEA95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09A3C9A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  <w:shd w:val="pct25" w:color="auto" w:fill="auto"/>
          </w:tcPr>
          <w:p w14:paraId="6B7AB020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5CC3B3E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A7F527C" w14:textId="77777777" w:rsidTr="00B2108C">
        <w:tc>
          <w:tcPr>
            <w:tcW w:w="1661" w:type="dxa"/>
            <w:vMerge/>
            <w:vAlign w:val="center"/>
          </w:tcPr>
          <w:p w14:paraId="4B3591C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</w:tcPr>
          <w:p w14:paraId="6126BB2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709" w:type="dxa"/>
          </w:tcPr>
          <w:p w14:paraId="25E615D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06E1AB8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7D5A25D" w14:textId="77777777" w:rsidTr="00B2108C">
        <w:tc>
          <w:tcPr>
            <w:tcW w:w="1661" w:type="dxa"/>
            <w:vMerge/>
            <w:vAlign w:val="center"/>
          </w:tcPr>
          <w:p w14:paraId="218C281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</w:tcPr>
          <w:p w14:paraId="18EB4B1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14:paraId="15AD2699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2EAE829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EA39982" w14:textId="77777777" w:rsidTr="00B2108C">
        <w:tc>
          <w:tcPr>
            <w:tcW w:w="1661" w:type="dxa"/>
            <w:vMerge/>
            <w:vAlign w:val="center"/>
          </w:tcPr>
          <w:p w14:paraId="59C2C8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2083E3F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CD55FD" w14:textId="475D27BE" w:rsidR="00F361B3" w:rsidRPr="005E61F8" w:rsidRDefault="0012480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2668D441" w14:textId="34BC5681" w:rsidR="00F361B3" w:rsidRPr="005E61F8" w:rsidRDefault="00124800" w:rsidP="0012480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 se ha localizado información</w:t>
            </w:r>
          </w:p>
        </w:tc>
      </w:tr>
      <w:tr w:rsidR="00F361B3" w:rsidRPr="005E61F8" w14:paraId="237143E8" w14:textId="77777777" w:rsidTr="00B2108C">
        <w:tc>
          <w:tcPr>
            <w:tcW w:w="1661" w:type="dxa"/>
            <w:vMerge/>
            <w:vAlign w:val="center"/>
          </w:tcPr>
          <w:p w14:paraId="0544C62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3A737DCC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  <w:shd w:val="pct25" w:color="auto" w:fill="auto"/>
          </w:tcPr>
          <w:p w14:paraId="7BADBF97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539C04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3861D01" w14:textId="77777777" w:rsidTr="00B2108C">
        <w:tc>
          <w:tcPr>
            <w:tcW w:w="1661" w:type="dxa"/>
            <w:vMerge/>
            <w:vAlign w:val="center"/>
          </w:tcPr>
          <w:p w14:paraId="0FBB78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2616412B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709" w:type="dxa"/>
            <w:shd w:val="pct25" w:color="auto" w:fill="auto"/>
          </w:tcPr>
          <w:p w14:paraId="3ECEC94A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1E0CFE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07312F6" w14:textId="77777777" w:rsidTr="00B2108C">
        <w:tc>
          <w:tcPr>
            <w:tcW w:w="1661" w:type="dxa"/>
            <w:vMerge/>
            <w:vAlign w:val="center"/>
          </w:tcPr>
          <w:p w14:paraId="7B13A18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3B299788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  <w:shd w:val="pct25" w:color="auto" w:fill="auto"/>
          </w:tcPr>
          <w:p w14:paraId="45A7193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36803B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1757693" w14:textId="77777777" w:rsidTr="00B2108C">
        <w:tc>
          <w:tcPr>
            <w:tcW w:w="1661" w:type="dxa"/>
            <w:vMerge/>
            <w:vAlign w:val="center"/>
          </w:tcPr>
          <w:p w14:paraId="09AB6AF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103277E5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shd w:val="pct25" w:color="auto" w:fill="auto"/>
          </w:tcPr>
          <w:p w14:paraId="7B2E4595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39306A9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51DCB43" w14:textId="77777777" w:rsidTr="00B2108C">
        <w:tc>
          <w:tcPr>
            <w:tcW w:w="1661" w:type="dxa"/>
            <w:vMerge/>
            <w:vAlign w:val="center"/>
          </w:tcPr>
          <w:p w14:paraId="6252B1D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  <w:shd w:val="pct25" w:color="auto" w:fill="auto"/>
          </w:tcPr>
          <w:p w14:paraId="197CF659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shd w:val="pct25" w:color="auto" w:fill="auto"/>
          </w:tcPr>
          <w:p w14:paraId="6A03701F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20F1538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38C8CDA" w14:textId="77777777" w:rsidTr="00B2108C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4004" w:type="dxa"/>
          </w:tcPr>
          <w:p w14:paraId="34FDB9A7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14:paraId="04C81643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0B0AAC9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7E99D04C" w14:textId="77777777" w:rsidTr="00B2108C">
        <w:tc>
          <w:tcPr>
            <w:tcW w:w="1661" w:type="dxa"/>
            <w:vMerge/>
          </w:tcPr>
          <w:p w14:paraId="3204592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</w:tcPr>
          <w:p w14:paraId="6BDD958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14:paraId="2EBDF36C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4830437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36DEA3E" w14:textId="77777777" w:rsidTr="00B2108C">
        <w:tc>
          <w:tcPr>
            <w:tcW w:w="1661" w:type="dxa"/>
            <w:vMerge/>
          </w:tcPr>
          <w:p w14:paraId="6DD8F528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</w:tcPr>
          <w:p w14:paraId="374201F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14:paraId="7A52DD29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57FB6C13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0A1D485" w14:textId="77777777" w:rsidTr="00B2108C">
        <w:tc>
          <w:tcPr>
            <w:tcW w:w="1661" w:type="dxa"/>
            <w:vMerge/>
          </w:tcPr>
          <w:p w14:paraId="0AC0487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</w:tcPr>
          <w:p w14:paraId="0DA8749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14:paraId="128E8926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01302FA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43E9693" w14:textId="77777777" w:rsidTr="00B2108C">
        <w:tc>
          <w:tcPr>
            <w:tcW w:w="1661" w:type="dxa"/>
            <w:vMerge/>
          </w:tcPr>
          <w:p w14:paraId="4B62AF89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04" w:type="dxa"/>
          </w:tcPr>
          <w:p w14:paraId="23F4E91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14:paraId="059F9A29" w14:textId="3306D1FC" w:rsidR="00A249BB" w:rsidRPr="005E61F8" w:rsidRDefault="005050FD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</w:tcPr>
          <w:p w14:paraId="56E9D934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2F13D281" w14:textId="77777777" w:rsidTr="00B2108C">
        <w:tc>
          <w:tcPr>
            <w:tcW w:w="5665" w:type="dxa"/>
            <w:gridSpan w:val="2"/>
          </w:tcPr>
          <w:p w14:paraId="50237AD0" w14:textId="77777777" w:rsidR="00A249BB" w:rsidRPr="005E61F8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709" w:type="dxa"/>
            <w:vAlign w:val="center"/>
          </w:tcPr>
          <w:p w14:paraId="7C2B6F9A" w14:textId="384F6F2D" w:rsidR="00A249BB" w:rsidRPr="005E61F8" w:rsidRDefault="00124800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4082" w:type="dxa"/>
          </w:tcPr>
          <w:p w14:paraId="29655252" w14:textId="77777777" w:rsidR="00A249BB" w:rsidRPr="005E61F8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5E61F8" w:rsidRDefault="003A1694" w:rsidP="00AC4A6F">
      <w:pPr>
        <w:rPr>
          <w:rFonts w:ascii="Mulish" w:hAnsi="Mulish"/>
        </w:rPr>
      </w:pPr>
    </w:p>
    <w:p w14:paraId="037740DE" w14:textId="77777777" w:rsidR="00DF56A7" w:rsidRPr="005E61F8" w:rsidRDefault="00DF56A7" w:rsidP="00DF56A7">
      <w:pPr>
        <w:jc w:val="both"/>
        <w:rPr>
          <w:rFonts w:ascii="Mulish" w:hAnsi="Mulish"/>
        </w:rPr>
      </w:pPr>
    </w:p>
    <w:p w14:paraId="11003E59" w14:textId="3B858420" w:rsidR="00BA4354" w:rsidRPr="005E61F8" w:rsidRDefault="00953726" w:rsidP="00DF56A7">
      <w:pPr>
        <w:jc w:val="both"/>
        <w:rPr>
          <w:rFonts w:ascii="Mulish" w:hAnsi="Mulish"/>
        </w:rPr>
      </w:pPr>
      <w:r>
        <w:rPr>
          <w:rFonts w:ascii="Mulish" w:hAnsi="Mulish"/>
        </w:rPr>
        <w:t>La Fundación Red y Apoyo para la Integración Sociolaboral</w:t>
      </w:r>
      <w:r w:rsidR="00C52EE5" w:rsidRPr="005E61F8">
        <w:rPr>
          <w:rFonts w:ascii="Mulish" w:hAnsi="Mulish"/>
        </w:rPr>
        <w:t xml:space="preserve"> </w:t>
      </w:r>
      <w:r w:rsidR="00124800">
        <w:rPr>
          <w:rFonts w:ascii="Mulish" w:hAnsi="Mulish"/>
        </w:rPr>
        <w:t xml:space="preserve">sólo </w:t>
      </w:r>
      <w:r w:rsidR="00C52EE5" w:rsidRPr="005E61F8">
        <w:rPr>
          <w:rFonts w:ascii="Mulish" w:hAnsi="Mulish"/>
        </w:rPr>
        <w:t xml:space="preserve">ha aplicado </w:t>
      </w:r>
      <w:r w:rsidR="0076567C" w:rsidRPr="005E61F8">
        <w:rPr>
          <w:rFonts w:ascii="Mulish" w:hAnsi="Mulish"/>
        </w:rPr>
        <w:t>una</w:t>
      </w:r>
      <w:r w:rsidR="00C52EE5" w:rsidRPr="005E61F8">
        <w:rPr>
          <w:rFonts w:ascii="Mulish" w:hAnsi="Mulish"/>
        </w:rPr>
        <w:t xml:space="preserve"> de las recomendaciones derivadas de la evaluación realizada en 202</w:t>
      </w:r>
      <w:r w:rsidR="00124800">
        <w:rPr>
          <w:rFonts w:ascii="Mulish" w:hAnsi="Mulish"/>
        </w:rPr>
        <w:t>3.</w:t>
      </w:r>
    </w:p>
    <w:p w14:paraId="51648A90" w14:textId="1A35555A" w:rsidR="00FA5AFD" w:rsidRDefault="00FA5AFD" w:rsidP="00AC4A6F">
      <w:pPr>
        <w:rPr>
          <w:rFonts w:ascii="Mulish" w:hAnsi="Mulish"/>
        </w:rPr>
      </w:pPr>
    </w:p>
    <w:p w14:paraId="0B18216F" w14:textId="70F34833" w:rsidR="006B6681" w:rsidRDefault="006B6681" w:rsidP="00AC4A6F">
      <w:pPr>
        <w:rPr>
          <w:rFonts w:ascii="Mulish" w:hAnsi="Mulish"/>
        </w:rPr>
      </w:pPr>
    </w:p>
    <w:p w14:paraId="4025AFF5" w14:textId="00DC2558" w:rsidR="005050FD" w:rsidRDefault="005050FD" w:rsidP="00AC4A6F">
      <w:pPr>
        <w:rPr>
          <w:rFonts w:ascii="Mulish" w:hAnsi="Mulish"/>
        </w:rPr>
      </w:pPr>
    </w:p>
    <w:p w14:paraId="1891648F" w14:textId="77777777" w:rsidR="005050FD" w:rsidRDefault="005050FD" w:rsidP="00AC4A6F">
      <w:pPr>
        <w:rPr>
          <w:rFonts w:ascii="Mulish" w:hAnsi="Mulish"/>
        </w:rPr>
      </w:pPr>
    </w:p>
    <w:p w14:paraId="75EB46B1" w14:textId="5E03ED75" w:rsidR="006B6681" w:rsidRDefault="006B6681" w:rsidP="00AC4A6F">
      <w:pPr>
        <w:rPr>
          <w:rFonts w:ascii="Mulish" w:hAnsi="Mulish"/>
        </w:rPr>
      </w:pPr>
    </w:p>
    <w:p w14:paraId="57B996C4" w14:textId="05D9C150" w:rsidR="006B6681" w:rsidRDefault="006B6681" w:rsidP="00AC4A6F">
      <w:pPr>
        <w:rPr>
          <w:rFonts w:ascii="Mulish" w:hAnsi="Mulish"/>
        </w:rPr>
      </w:pPr>
    </w:p>
    <w:p w14:paraId="0DD9C0F4" w14:textId="75CC0E87" w:rsidR="006B6681" w:rsidRDefault="006B6681" w:rsidP="00AC4A6F">
      <w:pPr>
        <w:rPr>
          <w:rFonts w:ascii="Mulish" w:hAnsi="Mulish"/>
        </w:rPr>
      </w:pPr>
    </w:p>
    <w:p w14:paraId="30565298" w14:textId="7AAB6D4D" w:rsidR="006B6681" w:rsidRDefault="006B6681" w:rsidP="00AC4A6F">
      <w:pPr>
        <w:rPr>
          <w:rFonts w:ascii="Mulish" w:hAnsi="Mulish"/>
        </w:rPr>
      </w:pPr>
    </w:p>
    <w:p w14:paraId="1D8D2C3E" w14:textId="4BE7175F" w:rsidR="006B6681" w:rsidRDefault="006B6681" w:rsidP="00AC4A6F">
      <w:pPr>
        <w:rPr>
          <w:rFonts w:ascii="Mulish" w:hAnsi="Mulish"/>
        </w:rPr>
      </w:pPr>
    </w:p>
    <w:p w14:paraId="7B7870F9" w14:textId="5692FC03" w:rsidR="006B6681" w:rsidRDefault="006B6681" w:rsidP="00AC4A6F">
      <w:pPr>
        <w:rPr>
          <w:rFonts w:ascii="Mulish" w:hAnsi="Mulish"/>
        </w:rPr>
      </w:pPr>
    </w:p>
    <w:p w14:paraId="5FDAED28" w14:textId="6CC91136" w:rsidR="006B6681" w:rsidRDefault="006B6681" w:rsidP="00AC4A6F">
      <w:pPr>
        <w:rPr>
          <w:rFonts w:ascii="Mulish" w:hAnsi="Mulish"/>
        </w:rPr>
      </w:pPr>
    </w:p>
    <w:p w14:paraId="78A64438" w14:textId="1D93FF13" w:rsidR="006B6681" w:rsidRDefault="006B6681" w:rsidP="00AC4A6F">
      <w:pPr>
        <w:rPr>
          <w:rFonts w:ascii="Mulish" w:hAnsi="Mulish"/>
        </w:rPr>
      </w:pPr>
    </w:p>
    <w:p w14:paraId="51AD3094" w14:textId="7C2D6BD6" w:rsidR="006B6681" w:rsidRDefault="006B6681" w:rsidP="00AC4A6F">
      <w:pPr>
        <w:rPr>
          <w:rFonts w:ascii="Mulish" w:hAnsi="Mulish"/>
        </w:rPr>
      </w:pPr>
    </w:p>
    <w:p w14:paraId="758EFB48" w14:textId="77777777" w:rsidR="006B6681" w:rsidRPr="005E61F8" w:rsidRDefault="006B6681" w:rsidP="00AC4A6F">
      <w:pPr>
        <w:rPr>
          <w:rFonts w:ascii="Mulish" w:hAnsi="Mulish"/>
        </w:rPr>
      </w:pPr>
    </w:p>
    <w:p w14:paraId="2B25550E" w14:textId="6A46DE54" w:rsidR="00FA5AFD" w:rsidRPr="005E61F8" w:rsidRDefault="00FA5AFD" w:rsidP="00AC4A6F">
      <w:pPr>
        <w:rPr>
          <w:rFonts w:ascii="Mulish" w:hAnsi="Mulish"/>
        </w:rPr>
      </w:pPr>
    </w:p>
    <w:p w14:paraId="523CD473" w14:textId="77777777" w:rsidR="003F6EDC" w:rsidRPr="0059767A" w:rsidRDefault="000D04B6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b/>
              <w:color w:val="00806F"/>
              <w:sz w:val="30"/>
              <w:szCs w:val="30"/>
            </w:rPr>
            <w:t>Valoración del grado de cumplimiento de las obligaciones de publicidad activa</w:t>
          </w:r>
          <w:r w:rsidR="00032D8A"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 (en porcentaje)</w:t>
          </w:r>
        </w:sdtContent>
      </w:sdt>
    </w:p>
    <w:p w14:paraId="49DC929D" w14:textId="4EA96869" w:rsidR="0087075A" w:rsidRDefault="0087075A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7"/>
        <w:gridCol w:w="847"/>
        <w:gridCol w:w="847"/>
        <w:gridCol w:w="847"/>
        <w:gridCol w:w="847"/>
        <w:gridCol w:w="847"/>
        <w:gridCol w:w="847"/>
        <w:gridCol w:w="841"/>
      </w:tblGrid>
      <w:tr w:rsidR="0087075A" w:rsidRPr="0087075A" w14:paraId="2E620F5B" w14:textId="77777777" w:rsidTr="0087075A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6E7F350F" w14:textId="186A877D" w:rsidR="0087075A" w:rsidRPr="0087075A" w:rsidRDefault="0087075A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123618F" w14:textId="77777777" w:rsidR="0087075A" w:rsidRPr="0087075A" w:rsidRDefault="0087075A" w:rsidP="0087075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5626E02" w14:textId="77777777" w:rsidR="0087075A" w:rsidRPr="0087075A" w:rsidRDefault="0087075A" w:rsidP="0087075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C233260" w14:textId="77777777" w:rsidR="0087075A" w:rsidRPr="0087075A" w:rsidRDefault="0087075A" w:rsidP="0087075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D5032B7" w14:textId="77777777" w:rsidR="0087075A" w:rsidRPr="0087075A" w:rsidRDefault="0087075A" w:rsidP="0087075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8B665E7" w14:textId="77777777" w:rsidR="0087075A" w:rsidRPr="0087075A" w:rsidRDefault="0087075A" w:rsidP="0087075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8703D71" w14:textId="77777777" w:rsidR="0087075A" w:rsidRPr="0087075A" w:rsidRDefault="0087075A" w:rsidP="0087075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4F1C875" w14:textId="77777777" w:rsidR="0087075A" w:rsidRPr="0087075A" w:rsidRDefault="0087075A" w:rsidP="0087075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AA3F104" w14:textId="77777777" w:rsidR="0087075A" w:rsidRPr="0087075A" w:rsidRDefault="0087075A" w:rsidP="0087075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87075A" w:rsidRPr="0087075A" w14:paraId="13DACC20" w14:textId="77777777" w:rsidTr="0087075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2F3D4ED" w14:textId="77777777" w:rsidR="0087075A" w:rsidRPr="0087075A" w:rsidRDefault="0087075A" w:rsidP="0087075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3C4AC8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0DCDD3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9DE919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044EEE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54DB0D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644C59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D1EF3E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D3C934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44,0</w:t>
            </w:r>
          </w:p>
        </w:tc>
      </w:tr>
      <w:tr w:rsidR="0087075A" w:rsidRPr="0087075A" w14:paraId="153F984F" w14:textId="77777777" w:rsidTr="0087075A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BD5A165" w14:textId="77777777" w:rsidR="0087075A" w:rsidRPr="0087075A" w:rsidRDefault="0087075A" w:rsidP="0087075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7B41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451A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E424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0FEC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9838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5AC2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AA14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A6CB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7075A" w:rsidRPr="0087075A" w14:paraId="776E4FC8" w14:textId="77777777" w:rsidTr="0087075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3C2CB04" w14:textId="77777777" w:rsidR="0087075A" w:rsidRPr="0087075A" w:rsidRDefault="0087075A" w:rsidP="0087075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87075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87075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F33AC3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220A4D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F22667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B835FA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FB9BB3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9100D1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D8FCC9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6680F8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21,4</w:t>
            </w:r>
          </w:p>
        </w:tc>
      </w:tr>
      <w:tr w:rsidR="0087075A" w:rsidRPr="0087075A" w14:paraId="57DA4E92" w14:textId="77777777" w:rsidTr="0087075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DF79382" w14:textId="77777777" w:rsidR="0087075A" w:rsidRPr="0087075A" w:rsidRDefault="0087075A" w:rsidP="0087075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C102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614F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1002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DD64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15CC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3676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1061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25F7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7075A" w:rsidRPr="0087075A" w14:paraId="6BE2D7FF" w14:textId="77777777" w:rsidTr="0087075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D0508B5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52C0781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528D487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A6E11D6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BAF33ED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B680E99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204D508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E6D5864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17,9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E4CEEB" w14:textId="77777777" w:rsidR="0087075A" w:rsidRPr="0087075A" w:rsidRDefault="0087075A" w:rsidP="0087075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7075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32,1</w:t>
            </w:r>
          </w:p>
        </w:tc>
      </w:tr>
    </w:tbl>
    <w:p w14:paraId="242DFF4A" w14:textId="223D9E89" w:rsidR="00124800" w:rsidRDefault="00124800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1192134F" w14:textId="54177057" w:rsidR="00BB3652" w:rsidRPr="005E61F8" w:rsidRDefault="004061BC" w:rsidP="00BB3652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87075A">
        <w:rPr>
          <w:rFonts w:ascii="Mulish" w:hAnsi="Mulish"/>
          <w:lang w:bidi="es-ES"/>
        </w:rPr>
        <w:t>32,1</w:t>
      </w:r>
      <w:r w:rsidRPr="005E61F8">
        <w:rPr>
          <w:rFonts w:ascii="Mulish" w:hAnsi="Mulish"/>
          <w:lang w:bidi="es-ES"/>
        </w:rPr>
        <w:t>%.</w:t>
      </w:r>
      <w:r w:rsidR="00BB3652" w:rsidRPr="005E61F8">
        <w:rPr>
          <w:rFonts w:ascii="Mulish" w:hAnsi="Mulish"/>
          <w:lang w:bidi="es-ES"/>
        </w:rPr>
        <w:t xml:space="preserve"> Respecto de 202</w:t>
      </w:r>
      <w:r w:rsidR="00124800">
        <w:rPr>
          <w:rFonts w:ascii="Mulish" w:hAnsi="Mulish"/>
          <w:lang w:bidi="es-ES"/>
        </w:rPr>
        <w:t>3</w:t>
      </w:r>
      <w:r w:rsidR="00BB3652" w:rsidRPr="005E61F8">
        <w:rPr>
          <w:rFonts w:ascii="Mulish" w:hAnsi="Mulish"/>
          <w:lang w:bidi="es-ES"/>
        </w:rPr>
        <w:t xml:space="preserve"> se produce un incremento de </w:t>
      </w:r>
      <w:r w:rsidR="0087075A">
        <w:rPr>
          <w:rFonts w:ascii="Mulish" w:hAnsi="Mulish"/>
          <w:lang w:bidi="es-ES"/>
        </w:rPr>
        <w:t>5,6</w:t>
      </w:r>
      <w:r w:rsidR="00BB3652" w:rsidRPr="005E61F8">
        <w:rPr>
          <w:rFonts w:ascii="Mulish" w:hAnsi="Mulish"/>
          <w:lang w:bidi="es-ES"/>
        </w:rPr>
        <w:t xml:space="preserve"> puntos porcentuales atribuible</w:t>
      </w:r>
      <w:r w:rsidR="0076567C" w:rsidRPr="005E61F8">
        <w:rPr>
          <w:rFonts w:ascii="Mulish" w:hAnsi="Mulish"/>
          <w:lang w:bidi="es-ES"/>
        </w:rPr>
        <w:t xml:space="preserve">s a la aplicación de una de las recomendaciones efectuadas en </w:t>
      </w:r>
      <w:r w:rsidR="005050FD">
        <w:rPr>
          <w:rFonts w:ascii="Mulish" w:hAnsi="Mulish"/>
          <w:lang w:bidi="es-ES"/>
        </w:rPr>
        <w:t>ese año</w:t>
      </w:r>
      <w:r w:rsidR="00BB3652" w:rsidRPr="005E61F8">
        <w:rPr>
          <w:rFonts w:ascii="Mulish" w:hAnsi="Mulish"/>
          <w:lang w:bidi="es-ES"/>
        </w:rPr>
        <w:t>.</w:t>
      </w:r>
    </w:p>
    <w:p w14:paraId="2BFB87F4" w14:textId="249879FF" w:rsidR="00A670E9" w:rsidRPr="005E61F8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5E61F8" w:rsidRDefault="00EB68A3" w:rsidP="00F05E2C">
      <w:pPr>
        <w:pStyle w:val="Cuerpodelboletn"/>
        <w:rPr>
          <w:rFonts w:ascii="Mulish" w:hAnsi="Mulish"/>
        </w:rPr>
        <w:sectPr w:rsidR="00EB68A3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>
        <w:rPr>
          <w:color w:val="00806F"/>
        </w:rPr>
      </w:sdtEndPr>
      <w:sdtContent>
        <w:p w14:paraId="45FF60F8" w14:textId="77777777" w:rsidR="00C259F4" w:rsidRPr="0059767A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color w:val="00806F"/>
              <w:sz w:val="30"/>
              <w:szCs w:val="30"/>
            </w:rPr>
          </w:pPr>
          <w:r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p w14:paraId="06476F7C" w14:textId="14801ED8" w:rsidR="00BB3652" w:rsidRPr="005E61F8" w:rsidRDefault="00BB3652" w:rsidP="00BB3652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>valorar 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AF1375">
        <w:rPr>
          <w:rFonts w:ascii="Mulish" w:hAnsi="Mulish"/>
        </w:rPr>
        <w:t>la Fundación Red y Apoyo para la Integración Sociolaboral</w:t>
      </w:r>
      <w:r w:rsidRPr="005E61F8">
        <w:rPr>
          <w:rFonts w:ascii="Mulish" w:hAnsi="Mulish"/>
        </w:rPr>
        <w:t xml:space="preserve">. </w:t>
      </w:r>
      <w:r w:rsidR="0076567C" w:rsidRPr="005E61F8">
        <w:rPr>
          <w:rFonts w:ascii="Mulish" w:hAnsi="Mulish"/>
        </w:rPr>
        <w:t>Sólo</w:t>
      </w:r>
      <w:r w:rsidRPr="005E61F8">
        <w:rPr>
          <w:rFonts w:ascii="Mulish" w:hAnsi="Mulish"/>
        </w:rPr>
        <w:t xml:space="preserve"> se ha aplicado </w:t>
      </w:r>
      <w:r w:rsidR="0076567C" w:rsidRPr="005E61F8">
        <w:rPr>
          <w:rFonts w:ascii="Mulish" w:hAnsi="Mulish"/>
        </w:rPr>
        <w:t>una</w:t>
      </w:r>
      <w:r w:rsidRPr="005E61F8">
        <w:rPr>
          <w:rFonts w:ascii="Mulish" w:hAnsi="Mulish"/>
        </w:rPr>
        <w:t xml:space="preserve"> de las recomendaciones efectuadas como consecuencia de la evaluación realizada en 202</w:t>
      </w:r>
      <w:r w:rsidR="00AF1375"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7D8CA51C" w14:textId="77777777" w:rsidR="004061BC" w:rsidRPr="005E61F8" w:rsidRDefault="00BB3652" w:rsidP="00A670E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>Como consecuencia de esto persisten los déficits evidenciados en dicha evaluación</w:t>
      </w:r>
      <w:r w:rsidR="00A670E9" w:rsidRPr="005E61F8">
        <w:rPr>
          <w:rFonts w:ascii="Mulish" w:hAnsi="Mulish"/>
        </w:rPr>
        <w:t xml:space="preserve">: </w:t>
      </w:r>
    </w:p>
    <w:p w14:paraId="0A786D3E" w14:textId="77777777" w:rsidR="00AF1375" w:rsidRPr="005E61F8" w:rsidRDefault="00AF1375" w:rsidP="00AF137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49039B7F" w14:textId="77777777" w:rsidR="00AF1375" w:rsidRPr="005E61F8" w:rsidRDefault="00AF1375" w:rsidP="00AF1375">
      <w:pPr>
        <w:pStyle w:val="Prrafodelista"/>
        <w:rPr>
          <w:rFonts w:ascii="Mulish" w:hAnsi="Mulish"/>
        </w:rPr>
      </w:pPr>
    </w:p>
    <w:p w14:paraId="2A7124EA" w14:textId="77777777" w:rsidR="00AF1375" w:rsidRDefault="00AF1375" w:rsidP="00AF137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1A1ED50" w14:textId="77777777" w:rsidR="00AF1375" w:rsidRDefault="00AF1375" w:rsidP="00AF1375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BB60FD7" w14:textId="77777777" w:rsidR="00AF1375" w:rsidRDefault="00AF1375" w:rsidP="00AF1375">
      <w:pPr>
        <w:numPr>
          <w:ilvl w:val="0"/>
          <w:numId w:val="22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328A6E64" w14:textId="77777777" w:rsidR="00AF1375" w:rsidRDefault="00AF1375" w:rsidP="00AF1375">
      <w:pPr>
        <w:numPr>
          <w:ilvl w:val="0"/>
          <w:numId w:val="22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 organigrama.</w:t>
      </w:r>
    </w:p>
    <w:p w14:paraId="0A8117CC" w14:textId="77777777" w:rsidR="00AF1375" w:rsidRPr="00482F49" w:rsidRDefault="00AF1375" w:rsidP="00AF1375">
      <w:pPr>
        <w:numPr>
          <w:ilvl w:val="0"/>
          <w:numId w:val="22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157A974C" w14:textId="77777777" w:rsidR="00AF1375" w:rsidRDefault="00AF1375" w:rsidP="00AF1375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0F7A1635" w14:textId="77777777" w:rsidR="00AF1375" w:rsidRDefault="00AF1375" w:rsidP="00AF137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59B2B563" w14:textId="77777777" w:rsidR="00AF1375" w:rsidRDefault="00AF1375" w:rsidP="00AF1375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7E57167" w14:textId="2D16B2E3" w:rsidR="00AF1375" w:rsidRPr="00482F49" w:rsidRDefault="00AF1375" w:rsidP="00AF1375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  <w:r w:rsidR="00DB38D2">
        <w:rPr>
          <w:rFonts w:ascii="Mulish" w:hAnsi="Mulish"/>
          <w:szCs w:val="22"/>
        </w:rPr>
        <w:t xml:space="preserve"> </w:t>
      </w:r>
      <w:bookmarkStart w:id="0" w:name="_Hlk172026567"/>
      <w:r w:rsidR="00DB38D2">
        <w:rPr>
          <w:rFonts w:ascii="Mulish" w:hAnsi="Mulish"/>
          <w:szCs w:val="22"/>
        </w:rPr>
        <w:t>Esta información debe publicarse independientemente de la memoria económica</w:t>
      </w:r>
      <w:bookmarkEnd w:id="0"/>
    </w:p>
    <w:p w14:paraId="783C5F78" w14:textId="77777777" w:rsidR="00AF1375" w:rsidRDefault="00AF1375" w:rsidP="00AF1375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3F2783BE" w14:textId="02CB6E7B" w:rsidR="00AF1375" w:rsidRPr="00482F49" w:rsidRDefault="00AF1375" w:rsidP="00AF1375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lastRenderedPageBreak/>
        <w:t>Las subvenciones recibidas.</w:t>
      </w:r>
      <w:r w:rsidR="00DB38D2">
        <w:rPr>
          <w:rFonts w:ascii="Mulish" w:hAnsi="Mulish"/>
          <w:szCs w:val="22"/>
        </w:rPr>
        <w:t xml:space="preserve"> Esta información debe publicarse independientemente de la memoria económica</w:t>
      </w:r>
    </w:p>
    <w:p w14:paraId="69F5E152" w14:textId="33554623" w:rsidR="00AF1375" w:rsidRPr="00482F49" w:rsidRDefault="00DB38D2" w:rsidP="00AF1375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="00DC603B">
        <w:rPr>
          <w:rFonts w:ascii="Mulish" w:hAnsi="Mulish"/>
          <w:szCs w:val="22"/>
        </w:rPr>
        <w:t xml:space="preserve"> presupuestos</w:t>
      </w:r>
      <w:r w:rsidR="00AF1375" w:rsidRPr="00482F49">
        <w:rPr>
          <w:rFonts w:ascii="Mulish" w:hAnsi="Mulish"/>
          <w:szCs w:val="22"/>
        </w:rPr>
        <w:t>.</w:t>
      </w:r>
    </w:p>
    <w:p w14:paraId="47192CDC" w14:textId="77777777" w:rsidR="00AF1375" w:rsidRPr="00482F49" w:rsidRDefault="00AF1375" w:rsidP="00AF1375">
      <w:pPr>
        <w:numPr>
          <w:ilvl w:val="0"/>
          <w:numId w:val="23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2BDABDCD" w14:textId="77777777" w:rsidR="00AF1375" w:rsidRDefault="00AF1375" w:rsidP="00AF1375">
      <w:pPr>
        <w:rPr>
          <w:rFonts w:ascii="Mulish" w:hAnsi="Mulish"/>
          <w:szCs w:val="22"/>
        </w:rPr>
      </w:pPr>
    </w:p>
    <w:p w14:paraId="1847B217" w14:textId="77777777" w:rsidR="004061BC" w:rsidRPr="005E61F8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</w:t>
      </w:r>
      <w:r w:rsidR="00C52EE5" w:rsidRPr="005E61F8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criterios de calidad en la publicación de la información, </w:t>
      </w:r>
      <w:r w:rsidR="0076567C" w:rsidRPr="005E61F8">
        <w:rPr>
          <w:rFonts w:ascii="Mulish" w:hAnsi="Mulish"/>
        </w:rPr>
        <w:t xml:space="preserve">gran parte de la información no está datada y </w:t>
      </w:r>
      <w:r w:rsidRPr="005E61F8">
        <w:rPr>
          <w:rFonts w:ascii="Mulish" w:hAnsi="Mulish"/>
        </w:rPr>
        <w:t xml:space="preserve">sigue sin publicarse </w:t>
      </w:r>
      <w:r w:rsidR="004D4B3E" w:rsidRPr="005E61F8">
        <w:rPr>
          <w:rFonts w:ascii="Mulish" w:hAnsi="Mulish"/>
        </w:rPr>
        <w:t xml:space="preserve">la fecha </w:t>
      </w:r>
      <w:r w:rsidRPr="005E61F8">
        <w:rPr>
          <w:rFonts w:ascii="Mulish" w:hAnsi="Mulish"/>
        </w:rPr>
        <w:t xml:space="preserve">en </w:t>
      </w:r>
      <w:r w:rsidR="004D4B3E" w:rsidRPr="005E61F8">
        <w:rPr>
          <w:rFonts w:ascii="Mulish" w:hAnsi="Mulish"/>
        </w:rPr>
        <w:t xml:space="preserve">que se revisó o actualizó por última vez </w:t>
      </w:r>
      <w:r w:rsidR="00CC3B31" w:rsidRPr="005E61F8">
        <w:rPr>
          <w:rFonts w:ascii="Mulish" w:hAnsi="Mulish"/>
        </w:rPr>
        <w:t>la información obligatoria publicada en el Portal de Transparencia o en la web de la entidad.</w:t>
      </w:r>
    </w:p>
    <w:p w14:paraId="1187CF89" w14:textId="77777777" w:rsidR="004D4B3E" w:rsidRPr="005E61F8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1AD500C1" w:rsidR="004061BC" w:rsidRPr="005E61F8" w:rsidRDefault="004061BC" w:rsidP="0087075A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DB38D2">
        <w:rPr>
          <w:rFonts w:ascii="Mulish" w:hAnsi="Mulish"/>
        </w:rPr>
        <w:t>julio</w:t>
      </w:r>
      <w:r w:rsidR="00DC603B">
        <w:rPr>
          <w:rFonts w:ascii="Mulish" w:hAnsi="Mulish"/>
        </w:rPr>
        <w:t xml:space="preserve"> de 2024</w:t>
      </w:r>
    </w:p>
    <w:p w14:paraId="5DB8548C" w14:textId="77777777" w:rsidR="00C259F4" w:rsidRPr="005E61F8" w:rsidRDefault="00C259F4" w:rsidP="00965C69">
      <w:pPr>
        <w:pStyle w:val="Cuerpodelboletn"/>
        <w:rPr>
          <w:rFonts w:ascii="Mulish" w:hAnsi="Mulish"/>
        </w:rPr>
        <w:sectPr w:rsidR="00C259F4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185655A" w:rsidR="00DC603B" w:rsidRDefault="00DC603B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0449542E" w14:textId="667F52C6" w:rsidR="009654DA" w:rsidRPr="0059767A" w:rsidRDefault="000D04B6" w:rsidP="00A56942">
      <w:p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>
          <w:rPr>
            <w:color w:val="00806F"/>
          </w:rPr>
        </w:sdtEndPr>
        <w:sdtContent>
          <w:r w:rsidR="009654DA" w:rsidRPr="0059767A">
            <w:rPr>
              <w:rFonts w:ascii="Mulish" w:hAnsi="Mulish"/>
              <w:b/>
              <w:color w:val="00806F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84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1603"/>
        <w:gridCol w:w="2641"/>
        <w:gridCol w:w="704"/>
        <w:gridCol w:w="3630"/>
      </w:tblGrid>
      <w:tr w:rsidR="009654DA" w:rsidRPr="005E61F8" w14:paraId="01EFBF17" w14:textId="77777777" w:rsidTr="0059767A">
        <w:trPr>
          <w:trHeight w:val="416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C2F16D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58D184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10E9C05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72840A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4E85E6B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5E61F8" w14:paraId="3C0F5703" w14:textId="77777777" w:rsidTr="006475A7">
        <w:trPr>
          <w:trHeight w:val="514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5E61F8" w14:paraId="1C240016" w14:textId="77777777" w:rsidTr="006475A7">
        <w:trPr>
          <w:trHeight w:val="3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5E61F8" w14:paraId="24115DC4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5E61F8" w14:paraId="5E562B90" w14:textId="77777777" w:rsidTr="006475A7">
        <w:trPr>
          <w:trHeight w:val="419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5E61F8" w14:paraId="49A5F111" w14:textId="77777777" w:rsidTr="006475A7">
        <w:trPr>
          <w:trHeight w:val="41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5E61F8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5E61F8" w14:paraId="12D761CE" w14:textId="77777777" w:rsidTr="006475A7">
        <w:trPr>
          <w:trHeight w:val="416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5E61F8" w14:paraId="141A174C" w14:textId="77777777" w:rsidTr="006475A7">
        <w:trPr>
          <w:trHeight w:val="42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5E61F8" w14:paraId="3502C611" w14:textId="77777777" w:rsidTr="006475A7">
        <w:trPr>
          <w:trHeight w:val="300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5E61F8" w14:paraId="17B7A78E" w14:textId="77777777" w:rsidTr="006475A7">
        <w:trPr>
          <w:trHeight w:val="1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5E61F8" w14:paraId="4C8B028E" w14:textId="77777777" w:rsidTr="006475A7">
        <w:trPr>
          <w:trHeight w:val="24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5E61F8" w14:paraId="11E34754" w14:textId="77777777" w:rsidTr="006475A7">
        <w:trPr>
          <w:trHeight w:val="26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5E61F8" w14:paraId="34F4487E" w14:textId="77777777" w:rsidTr="006475A7">
        <w:trPr>
          <w:trHeight w:val="28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5E61F8" w14:paraId="11F7C4ED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5E61F8" w14:paraId="66FD4854" w14:textId="77777777" w:rsidTr="006475A7">
        <w:trPr>
          <w:trHeight w:val="13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5E61F8" w14:paraId="7F4AE3DF" w14:textId="77777777" w:rsidTr="006475A7">
        <w:trPr>
          <w:trHeight w:val="20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5E61F8" w14:paraId="2578265D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5E61F8" w14:paraId="69DB26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5E61F8" w14:paraId="694BCAD7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5E61F8" w14:paraId="288E77D6" w14:textId="77777777" w:rsidTr="006475A7">
        <w:trPr>
          <w:trHeight w:val="26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5E61F8" w14:paraId="67F971BF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0472B5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5E61F8" w14:paraId="5DE56D90" w14:textId="77777777" w:rsidTr="006475A7">
        <w:trPr>
          <w:trHeight w:val="25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65619E9E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5E61F8" w14:paraId="3988FBEA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5FD73F21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5E61F8" w14:paraId="3C32E689" w14:textId="77777777" w:rsidTr="006475A7">
        <w:trPr>
          <w:trHeight w:val="18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78C8A3F3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5E61F8" w14:paraId="0998C544" w14:textId="77777777" w:rsidTr="006475A7">
        <w:trPr>
          <w:trHeight w:val="24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370B78C8" w14:textId="77777777" w:rsidTr="006475A7">
        <w:trPr>
          <w:trHeight w:val="1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5E61F8" w14:paraId="23E14A9C" w14:textId="77777777" w:rsidTr="006475A7">
        <w:trPr>
          <w:trHeight w:val="57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5E61F8" w14:paraId="0EF44626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5E61F8" w14:paraId="0FC0E589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5E61F8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5E61F8" w14:paraId="007F3BDF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5E61F8" w14:paraId="4A9FE084" w14:textId="77777777" w:rsidTr="006475A7">
        <w:trPr>
          <w:trHeight w:val="343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5E61F8" w14:paraId="7B357DBC" w14:textId="77777777" w:rsidTr="006475A7">
        <w:trPr>
          <w:trHeight w:val="36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5E61F8" w14:paraId="1389FC43" w14:textId="77777777" w:rsidTr="006475A7">
        <w:trPr>
          <w:trHeight w:val="6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sectPr w:rsidR="00965C69" w:rsidRPr="005E61F8" w:rsidSect="00804174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214A" w14:textId="77777777" w:rsidR="00F47DDE" w:rsidRDefault="00F47DDE" w:rsidP="00F31BC3">
      <w:r>
        <w:separator/>
      </w:r>
    </w:p>
  </w:endnote>
  <w:endnote w:type="continuationSeparator" w:id="0">
    <w:p w14:paraId="4B4F214B" w14:textId="77777777" w:rsidR="00F47DDE" w:rsidRDefault="00F47DD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8713" w14:textId="77777777" w:rsidR="00F47DDE" w:rsidRDefault="00F47DDE" w:rsidP="00F31BC3">
      <w:r>
        <w:separator/>
      </w:r>
    </w:p>
  </w:footnote>
  <w:footnote w:type="continuationSeparator" w:id="0">
    <w:p w14:paraId="3C8B9976" w14:textId="77777777" w:rsidR="00F47DDE" w:rsidRDefault="00F47DD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7310AC7C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1B60555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036D832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0E5E30"/>
    <w:multiLevelType w:val="hybridMultilevel"/>
    <w:tmpl w:val="9252CD66"/>
    <w:lvl w:ilvl="0" w:tplc="64D2430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0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9"/>
  </w:num>
  <w:num w:numId="12">
    <w:abstractNumId w:val="12"/>
  </w:num>
  <w:num w:numId="13">
    <w:abstractNumId w:val="8"/>
  </w:num>
  <w:num w:numId="14">
    <w:abstractNumId w:val="20"/>
  </w:num>
  <w:num w:numId="15">
    <w:abstractNumId w:val="2"/>
  </w:num>
  <w:num w:numId="16">
    <w:abstractNumId w:val="21"/>
  </w:num>
  <w:num w:numId="17">
    <w:abstractNumId w:val="11"/>
  </w:num>
  <w:num w:numId="18">
    <w:abstractNumId w:val="6"/>
  </w:num>
  <w:num w:numId="19">
    <w:abstractNumId w:val="5"/>
  </w:num>
  <w:num w:numId="20">
    <w:abstractNumId w:val="15"/>
  </w:num>
  <w:num w:numId="21">
    <w:abstractNumId w:val="16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04B6"/>
    <w:rsid w:val="000D3907"/>
    <w:rsid w:val="000D5417"/>
    <w:rsid w:val="000E0A9E"/>
    <w:rsid w:val="000F0DA5"/>
    <w:rsid w:val="00104DE9"/>
    <w:rsid w:val="00104E94"/>
    <w:rsid w:val="001149B1"/>
    <w:rsid w:val="00124800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6083D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50FD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7613"/>
    <w:rsid w:val="00623CFC"/>
    <w:rsid w:val="006253FA"/>
    <w:rsid w:val="006266A5"/>
    <w:rsid w:val="00633EAA"/>
    <w:rsid w:val="006475A7"/>
    <w:rsid w:val="0069673B"/>
    <w:rsid w:val="006B2C2E"/>
    <w:rsid w:val="006B6681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0401"/>
    <w:rsid w:val="007C65C5"/>
    <w:rsid w:val="007D1701"/>
    <w:rsid w:val="007D5CBF"/>
    <w:rsid w:val="007D69D9"/>
    <w:rsid w:val="007F1D56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47C03"/>
    <w:rsid w:val="008514EC"/>
    <w:rsid w:val="00853CB9"/>
    <w:rsid w:val="00855E09"/>
    <w:rsid w:val="00865E5A"/>
    <w:rsid w:val="008707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53726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375"/>
    <w:rsid w:val="00AF196B"/>
    <w:rsid w:val="00AF5151"/>
    <w:rsid w:val="00B1184C"/>
    <w:rsid w:val="00B2108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3FB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B38D2"/>
    <w:rsid w:val="00DC5B52"/>
    <w:rsid w:val="00DC603B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7DDE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E1BEF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garsi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4873beb7-5857-4685-be1f-d57550cc96cc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171</TotalTime>
  <Pages>5</Pages>
  <Words>1162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7</cp:revision>
  <cp:lastPrinted>2008-09-26T23:14:00Z</cp:lastPrinted>
  <dcterms:created xsi:type="dcterms:W3CDTF">2024-05-28T12:00:00Z</dcterms:created>
  <dcterms:modified xsi:type="dcterms:W3CDTF">2024-09-18T12:22:00Z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