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298EF22" w14:textId="77777777" w:rsidR="00D73044" w:rsidRPr="005E61F8" w:rsidRDefault="00D73044" w:rsidP="00D73044">
      <w:pPr>
        <w:rPr>
          <w:rFonts w:ascii="Mulish" w:hAnsi="Mulish"/>
        </w:rPr>
      </w:pPr>
    </w:p>
    <w:p w14:paraId="001AC8DE" w14:textId="77777777" w:rsidR="00D73044" w:rsidRPr="005E61F8" w:rsidRDefault="00D73044" w:rsidP="00D73044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D73044" w:rsidRPr="005E61F8" w14:paraId="7430C24F" w14:textId="77777777" w:rsidTr="00ED7F1C">
        <w:tc>
          <w:tcPr>
            <w:tcW w:w="3625" w:type="dxa"/>
          </w:tcPr>
          <w:p w14:paraId="1E98AB24" w14:textId="77777777" w:rsidR="00D73044" w:rsidRPr="005E61F8" w:rsidRDefault="00D73044" w:rsidP="00ED7F1C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1EA4A49" w14:textId="77777777" w:rsidR="00D73044" w:rsidRPr="005E61F8" w:rsidRDefault="00D73044" w:rsidP="00ED7F1C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Grupo Inversor Hesperia S.A.</w:t>
            </w:r>
          </w:p>
        </w:tc>
      </w:tr>
      <w:tr w:rsidR="00D73044" w:rsidRPr="005E61F8" w14:paraId="6F46F2D0" w14:textId="77777777" w:rsidTr="00ED7F1C">
        <w:tc>
          <w:tcPr>
            <w:tcW w:w="3625" w:type="dxa"/>
          </w:tcPr>
          <w:p w14:paraId="0D9B5134" w14:textId="77777777" w:rsidR="00D73044" w:rsidRPr="005E61F8" w:rsidRDefault="00D73044" w:rsidP="00ED7F1C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1A86FF26" w14:textId="77777777" w:rsidR="00D73044" w:rsidRPr="005E61F8" w:rsidRDefault="00D73044" w:rsidP="00ED7F1C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16/05/2024</w:t>
            </w:r>
          </w:p>
          <w:p w14:paraId="47F724AE" w14:textId="5BF6002D" w:rsidR="00D73044" w:rsidRPr="005E61F8" w:rsidRDefault="00D73044" w:rsidP="00ED7F1C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1C7E50">
              <w:rPr>
                <w:rFonts w:ascii="Mulish" w:hAnsi="Mulish"/>
                <w:sz w:val="24"/>
              </w:rPr>
              <w:t>11/07/2024</w:t>
            </w:r>
          </w:p>
        </w:tc>
      </w:tr>
      <w:tr w:rsidR="00D73044" w:rsidRPr="005E61F8" w14:paraId="0275E255" w14:textId="77777777" w:rsidTr="00ED7F1C">
        <w:tc>
          <w:tcPr>
            <w:tcW w:w="3625" w:type="dxa"/>
          </w:tcPr>
          <w:p w14:paraId="0FDDF9F8" w14:textId="77777777" w:rsidR="00D73044" w:rsidRPr="005E61F8" w:rsidRDefault="00D73044" w:rsidP="00ED7F1C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51CB61DB" w14:textId="77777777" w:rsidR="00D73044" w:rsidRPr="00595EE4" w:rsidRDefault="00864459" w:rsidP="00ED7F1C">
            <w:pPr>
              <w:rPr>
                <w:rFonts w:ascii="Mulish" w:hAnsi="Mulish"/>
                <w:sz w:val="24"/>
              </w:rPr>
            </w:pPr>
            <w:hyperlink r:id="rId14" w:history="1">
              <w:r w:rsidR="00D73044" w:rsidRPr="00595EE4">
                <w:rPr>
                  <w:rStyle w:val="Hipervnculo"/>
                  <w:rFonts w:ascii="Mulish" w:hAnsi="Mulish"/>
                  <w:sz w:val="24"/>
                </w:rPr>
                <w:t>https://www.hesperia.com</w:t>
              </w:r>
            </w:hyperlink>
          </w:p>
        </w:tc>
      </w:tr>
    </w:tbl>
    <w:p w14:paraId="7F788D33" w14:textId="77777777" w:rsidR="00D73044" w:rsidRPr="005E61F8" w:rsidRDefault="00D73044" w:rsidP="00D73044">
      <w:pPr>
        <w:rPr>
          <w:rFonts w:ascii="Mulish" w:hAnsi="Mulish"/>
        </w:rPr>
      </w:pPr>
    </w:p>
    <w:p w14:paraId="4ECDD1D1" w14:textId="77777777" w:rsidR="00D73044" w:rsidRPr="005E61F8" w:rsidRDefault="00D73044" w:rsidP="00D73044">
      <w:pPr>
        <w:rPr>
          <w:rFonts w:ascii="Mulish" w:hAnsi="Mulish"/>
        </w:rPr>
      </w:pPr>
    </w:p>
    <w:p w14:paraId="48F72C3F" w14:textId="77777777" w:rsidR="00D73044" w:rsidRPr="005E61F8" w:rsidRDefault="00864459" w:rsidP="00D73044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745559643E374D9F828EA296645D57AC"/>
          </w:placeholder>
        </w:sdtPr>
        <w:sdtEndPr>
          <w:rPr>
            <w:color w:val="50866C"/>
          </w:rPr>
        </w:sdtEndPr>
        <w:sdtContent>
          <w:r w:rsidR="00D73044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4D694740" w14:textId="77777777" w:rsidR="00D73044" w:rsidRPr="005E61F8" w:rsidRDefault="00D73044" w:rsidP="00D73044">
      <w:pPr>
        <w:rPr>
          <w:rFonts w:ascii="Mulish" w:hAnsi="Mulish"/>
        </w:rPr>
      </w:pPr>
    </w:p>
    <w:p w14:paraId="5ADF3E56" w14:textId="77777777" w:rsidR="00D73044" w:rsidRPr="005E61F8" w:rsidRDefault="00D73044" w:rsidP="00D73044">
      <w:pPr>
        <w:pStyle w:val="Cuerpodelboletn"/>
        <w:rPr>
          <w:rFonts w:ascii="Mulish" w:hAnsi="Mulish"/>
        </w:rPr>
        <w:sectPr w:rsidR="00D73044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D73044" w:rsidRPr="005E61F8" w14:paraId="1EFADB8C" w14:textId="77777777" w:rsidTr="00ED7F1C">
        <w:trPr>
          <w:tblHeader/>
        </w:trPr>
        <w:tc>
          <w:tcPr>
            <w:tcW w:w="1661" w:type="dxa"/>
            <w:shd w:val="clear" w:color="auto" w:fill="3C8378"/>
          </w:tcPr>
          <w:p w14:paraId="41674C26" w14:textId="77777777" w:rsidR="00D73044" w:rsidRPr="005E61F8" w:rsidRDefault="00D73044" w:rsidP="00ED7F1C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32E11EA7" w14:textId="77777777" w:rsidR="00D73044" w:rsidRPr="005E61F8" w:rsidRDefault="00D73044" w:rsidP="00ED7F1C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0161C623" w14:textId="77777777" w:rsidR="00D73044" w:rsidRPr="005E61F8" w:rsidRDefault="00D73044" w:rsidP="00ED7F1C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3044" w:rsidRPr="005E61F8" w14:paraId="4C0BF15C" w14:textId="77777777" w:rsidTr="00ED7F1C">
        <w:tc>
          <w:tcPr>
            <w:tcW w:w="1661" w:type="dxa"/>
            <w:vMerge w:val="restart"/>
            <w:vAlign w:val="center"/>
          </w:tcPr>
          <w:p w14:paraId="18C5517F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64D426A0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39DAB423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63D6302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39E169A8" w14:textId="77777777" w:rsidTr="00ED7F1C">
        <w:tc>
          <w:tcPr>
            <w:tcW w:w="1661" w:type="dxa"/>
            <w:vMerge/>
          </w:tcPr>
          <w:p w14:paraId="013721A7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12C53B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5A253FCD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20D78D5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79D3C450" w14:textId="77777777" w:rsidTr="00ED7F1C">
        <w:tc>
          <w:tcPr>
            <w:tcW w:w="1661" w:type="dxa"/>
            <w:vMerge/>
          </w:tcPr>
          <w:p w14:paraId="179F298D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009BFB1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10BCF5B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D1E98AB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5566B61A" w14:textId="77777777" w:rsidTr="00ED7F1C">
        <w:trPr>
          <w:trHeight w:val="451"/>
        </w:trPr>
        <w:tc>
          <w:tcPr>
            <w:tcW w:w="1661" w:type="dxa"/>
            <w:vMerge/>
          </w:tcPr>
          <w:p w14:paraId="4C1F3C5B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55B3C4F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782586F3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2B719D4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2F5B21F2" w14:textId="77777777" w:rsidTr="00ED7F1C">
        <w:trPr>
          <w:trHeight w:val="263"/>
        </w:trPr>
        <w:tc>
          <w:tcPr>
            <w:tcW w:w="1661" w:type="dxa"/>
            <w:vMerge w:val="restart"/>
            <w:vAlign w:val="center"/>
          </w:tcPr>
          <w:p w14:paraId="6064E65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19E5DB8C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22243CF6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3437E8F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4F885ED8" w14:textId="77777777" w:rsidTr="00ED7F1C">
        <w:tc>
          <w:tcPr>
            <w:tcW w:w="1661" w:type="dxa"/>
            <w:vMerge/>
            <w:vAlign w:val="center"/>
          </w:tcPr>
          <w:p w14:paraId="56320D44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933C710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2689717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17924DE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049AEE95" w14:textId="77777777" w:rsidTr="00ED7F1C">
        <w:tc>
          <w:tcPr>
            <w:tcW w:w="1661" w:type="dxa"/>
            <w:vMerge/>
            <w:vAlign w:val="center"/>
          </w:tcPr>
          <w:p w14:paraId="3DAB6A9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425392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530EC1F8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342C78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5E53075F" w14:textId="77777777" w:rsidTr="00ED7F1C">
        <w:tc>
          <w:tcPr>
            <w:tcW w:w="1661" w:type="dxa"/>
            <w:vMerge/>
            <w:vAlign w:val="center"/>
          </w:tcPr>
          <w:p w14:paraId="46BF8EB0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DD1D77F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3644E9A5" w14:textId="3F2C5839" w:rsidR="00D73044" w:rsidRPr="0077755E" w:rsidRDefault="00D73044" w:rsidP="0077755E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CC435DD" w14:textId="3F7323AC" w:rsidR="00D73044" w:rsidRPr="005E61F8" w:rsidRDefault="0077755E" w:rsidP="00ED7F1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73044" w:rsidRPr="005E61F8" w14:paraId="78DDCDC0" w14:textId="77777777" w:rsidTr="00ED7F1C">
        <w:tc>
          <w:tcPr>
            <w:tcW w:w="1661" w:type="dxa"/>
            <w:vMerge/>
            <w:vAlign w:val="center"/>
          </w:tcPr>
          <w:p w14:paraId="324EA82C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E965F9A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39DE5297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11334D0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1B62F6FB" w14:textId="77777777" w:rsidTr="00ED7F1C">
        <w:tc>
          <w:tcPr>
            <w:tcW w:w="1661" w:type="dxa"/>
            <w:vMerge/>
            <w:vAlign w:val="center"/>
          </w:tcPr>
          <w:p w14:paraId="702B35CF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4BC382A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03C387BE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F3B2763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3366E9E8" w14:textId="77777777" w:rsidTr="00ED7F1C">
        <w:tc>
          <w:tcPr>
            <w:tcW w:w="1661" w:type="dxa"/>
            <w:vMerge/>
            <w:vAlign w:val="center"/>
          </w:tcPr>
          <w:p w14:paraId="3EA9B1F5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F1CD561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032A7C1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25A75D3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51771A1D" w14:textId="77777777" w:rsidTr="00ED7F1C">
        <w:tc>
          <w:tcPr>
            <w:tcW w:w="1661" w:type="dxa"/>
            <w:vMerge/>
            <w:vAlign w:val="center"/>
          </w:tcPr>
          <w:p w14:paraId="0E28435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9AC6D8C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26F360E3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1D8B3D0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0BC9E83E" w14:textId="77777777" w:rsidTr="00ED7F1C">
        <w:tc>
          <w:tcPr>
            <w:tcW w:w="1661" w:type="dxa"/>
            <w:vMerge/>
            <w:vAlign w:val="center"/>
          </w:tcPr>
          <w:p w14:paraId="6131A56C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8A406BC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57A346B8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DDCD451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4B19C635" w14:textId="77777777" w:rsidTr="00ED7F1C">
        <w:tc>
          <w:tcPr>
            <w:tcW w:w="1661" w:type="dxa"/>
            <w:vMerge/>
            <w:vAlign w:val="center"/>
          </w:tcPr>
          <w:p w14:paraId="5BDF4A92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03C97C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4F97BE34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0B68B5F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29133BAD" w14:textId="77777777" w:rsidTr="00ED7F1C">
        <w:tc>
          <w:tcPr>
            <w:tcW w:w="1661" w:type="dxa"/>
            <w:vMerge/>
            <w:vAlign w:val="center"/>
          </w:tcPr>
          <w:p w14:paraId="36D5B44C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F72A7AB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2C971FB7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CA88C18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0174D70C" w14:textId="77777777" w:rsidTr="00ED7F1C">
        <w:tc>
          <w:tcPr>
            <w:tcW w:w="1661" w:type="dxa"/>
            <w:vMerge/>
            <w:vAlign w:val="center"/>
          </w:tcPr>
          <w:p w14:paraId="61E53636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15D91B5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6DAB894B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8BEF974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5D8502E6" w14:textId="77777777" w:rsidTr="00ED7F1C">
        <w:tc>
          <w:tcPr>
            <w:tcW w:w="1661" w:type="dxa"/>
            <w:vMerge/>
            <w:vAlign w:val="center"/>
          </w:tcPr>
          <w:p w14:paraId="7A6A9D28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71BF167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8FB1F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196B406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77E874FC" w14:textId="77777777" w:rsidTr="00ED7F1C">
        <w:tc>
          <w:tcPr>
            <w:tcW w:w="1661" w:type="dxa"/>
            <w:vMerge/>
            <w:vAlign w:val="center"/>
          </w:tcPr>
          <w:p w14:paraId="52CD1EA6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1DB221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68475E13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4F0E0B0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640C7360" w14:textId="77777777" w:rsidTr="00ED7F1C">
        <w:tc>
          <w:tcPr>
            <w:tcW w:w="1661" w:type="dxa"/>
            <w:vMerge/>
            <w:vAlign w:val="center"/>
          </w:tcPr>
          <w:p w14:paraId="2BDCD877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691CE1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585C0CD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74242E1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4D0B723D" w14:textId="77777777" w:rsidTr="00ED7F1C">
        <w:tc>
          <w:tcPr>
            <w:tcW w:w="1661" w:type="dxa"/>
            <w:vMerge/>
            <w:vAlign w:val="center"/>
          </w:tcPr>
          <w:p w14:paraId="4CB30836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4ECD65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92A63FF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A4B1258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045CB98F" w14:textId="77777777" w:rsidTr="00ED7F1C">
        <w:tc>
          <w:tcPr>
            <w:tcW w:w="1661" w:type="dxa"/>
            <w:vMerge/>
            <w:vAlign w:val="center"/>
          </w:tcPr>
          <w:p w14:paraId="4B2A77CF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7431E63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24F17BCE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F275E62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15BF84F0" w14:textId="77777777" w:rsidTr="00ED7F1C">
        <w:tc>
          <w:tcPr>
            <w:tcW w:w="1661" w:type="dxa"/>
            <w:vMerge/>
            <w:vAlign w:val="center"/>
          </w:tcPr>
          <w:p w14:paraId="74476243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19190D5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786E3C2D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80793D8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711CDFF6" w14:textId="77777777" w:rsidTr="00ED7F1C">
        <w:tc>
          <w:tcPr>
            <w:tcW w:w="1661" w:type="dxa"/>
            <w:vMerge/>
            <w:vAlign w:val="center"/>
          </w:tcPr>
          <w:p w14:paraId="6F5B98E4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8055B64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08FC8D7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718E52D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15AFF44D" w14:textId="77777777" w:rsidTr="00ED7F1C">
        <w:tc>
          <w:tcPr>
            <w:tcW w:w="1661" w:type="dxa"/>
            <w:vMerge/>
            <w:vAlign w:val="center"/>
          </w:tcPr>
          <w:p w14:paraId="7BC8E0CA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464B27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061FA700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75652B7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61AD89E8" w14:textId="77777777" w:rsidTr="00ED7F1C">
        <w:tc>
          <w:tcPr>
            <w:tcW w:w="1661" w:type="dxa"/>
            <w:vMerge/>
            <w:vAlign w:val="center"/>
          </w:tcPr>
          <w:p w14:paraId="1A3BDBD5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56D3427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76715E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FE7FBA3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6B03CA2C" w14:textId="77777777" w:rsidTr="00ED7F1C">
        <w:tc>
          <w:tcPr>
            <w:tcW w:w="1661" w:type="dxa"/>
            <w:vMerge/>
            <w:vAlign w:val="center"/>
          </w:tcPr>
          <w:p w14:paraId="5990867C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8430E5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2547F9C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B042EA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48E7C39D" w14:textId="77777777" w:rsidTr="00ED7F1C">
        <w:tc>
          <w:tcPr>
            <w:tcW w:w="1661" w:type="dxa"/>
            <w:vMerge/>
            <w:vAlign w:val="center"/>
          </w:tcPr>
          <w:p w14:paraId="0B6FD88C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D32F53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CB7365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16C748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7D2CFC2D" w14:textId="77777777" w:rsidTr="00ED7F1C">
        <w:tc>
          <w:tcPr>
            <w:tcW w:w="1661" w:type="dxa"/>
            <w:vMerge/>
            <w:vAlign w:val="center"/>
          </w:tcPr>
          <w:p w14:paraId="7E48292F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160F765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FFFB953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075AAF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206A9003" w14:textId="77777777" w:rsidTr="00ED7F1C">
        <w:tc>
          <w:tcPr>
            <w:tcW w:w="1661" w:type="dxa"/>
            <w:vMerge/>
            <w:vAlign w:val="center"/>
          </w:tcPr>
          <w:p w14:paraId="41D355DD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391E184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6E8563CF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E52FAC2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3044" w:rsidRPr="005E61F8" w14:paraId="6927DD8D" w14:textId="77777777" w:rsidTr="00ED7F1C">
        <w:tc>
          <w:tcPr>
            <w:tcW w:w="1661" w:type="dxa"/>
            <w:vMerge/>
            <w:vAlign w:val="center"/>
          </w:tcPr>
          <w:p w14:paraId="33238B06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599270A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F7B9DE0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4645BF1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3044" w:rsidRPr="005E61F8" w14:paraId="365EDF93" w14:textId="77777777" w:rsidTr="00ED7F1C">
        <w:tc>
          <w:tcPr>
            <w:tcW w:w="1661" w:type="dxa"/>
            <w:vMerge/>
            <w:vAlign w:val="center"/>
          </w:tcPr>
          <w:p w14:paraId="396B627C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7ADF6FA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7E8BD0C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6A9423C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3044" w:rsidRPr="005E61F8" w14:paraId="3D74C365" w14:textId="77777777" w:rsidTr="00ED7F1C">
        <w:tc>
          <w:tcPr>
            <w:tcW w:w="1661" w:type="dxa"/>
            <w:vMerge/>
            <w:vAlign w:val="center"/>
          </w:tcPr>
          <w:p w14:paraId="70B3D3D4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DD26C85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4C99F193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8D56447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6EAB57C1" w14:textId="77777777" w:rsidTr="00ED7F1C">
        <w:tc>
          <w:tcPr>
            <w:tcW w:w="1661" w:type="dxa"/>
            <w:vMerge/>
            <w:vAlign w:val="center"/>
          </w:tcPr>
          <w:p w14:paraId="4378DE18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EED27D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B1E5D3D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6EBC9D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25F00D10" w14:textId="77777777" w:rsidTr="00ED7F1C">
        <w:tc>
          <w:tcPr>
            <w:tcW w:w="1661" w:type="dxa"/>
            <w:vMerge/>
            <w:vAlign w:val="center"/>
          </w:tcPr>
          <w:p w14:paraId="3E5283B8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940660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0FC59D98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B3B887E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484D8E83" w14:textId="77777777" w:rsidTr="00ED7F1C">
        <w:tc>
          <w:tcPr>
            <w:tcW w:w="1661" w:type="dxa"/>
            <w:vMerge/>
            <w:vAlign w:val="center"/>
          </w:tcPr>
          <w:p w14:paraId="0531D6A3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403EB0D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55D48A3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6B852CE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26C84662" w14:textId="77777777" w:rsidTr="00ED7F1C">
        <w:tc>
          <w:tcPr>
            <w:tcW w:w="1661" w:type="dxa"/>
            <w:vMerge/>
            <w:vAlign w:val="center"/>
          </w:tcPr>
          <w:p w14:paraId="62612416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3B23A6E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27787105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294853D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676DDD8B" w14:textId="77777777" w:rsidTr="00ED7F1C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C40F38B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12CC0273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3786BF6F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76ACE01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381D79DE" w14:textId="77777777" w:rsidTr="00ED7F1C">
        <w:tc>
          <w:tcPr>
            <w:tcW w:w="1661" w:type="dxa"/>
            <w:vMerge/>
          </w:tcPr>
          <w:p w14:paraId="7CD90DE3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DF6A8FD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6ABDBE8F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C446D30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32A1016F" w14:textId="77777777" w:rsidTr="00ED7F1C">
        <w:tc>
          <w:tcPr>
            <w:tcW w:w="1661" w:type="dxa"/>
            <w:vMerge/>
          </w:tcPr>
          <w:p w14:paraId="5DD912A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ADD581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06E4963A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A63D2F7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1985C7CB" w14:textId="77777777" w:rsidTr="00ED7F1C">
        <w:tc>
          <w:tcPr>
            <w:tcW w:w="1661" w:type="dxa"/>
            <w:vMerge/>
          </w:tcPr>
          <w:p w14:paraId="65C0BF8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E80DE29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20D79A3F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A452414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04E42399" w14:textId="77777777" w:rsidTr="00ED7F1C">
        <w:tc>
          <w:tcPr>
            <w:tcW w:w="1661" w:type="dxa"/>
            <w:vMerge/>
          </w:tcPr>
          <w:p w14:paraId="3C4E76E3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33A886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3DD4F026" w14:textId="77777777" w:rsidR="00D73044" w:rsidRPr="005E61F8" w:rsidRDefault="00D73044" w:rsidP="00ED7F1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D0DC8FC" w14:textId="77777777" w:rsidR="00D73044" w:rsidRPr="005E61F8" w:rsidRDefault="00D73044" w:rsidP="00ED7F1C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3044" w:rsidRPr="005E61F8" w14:paraId="6F205E1A" w14:textId="77777777" w:rsidTr="00ED7F1C">
        <w:tc>
          <w:tcPr>
            <w:tcW w:w="7056" w:type="dxa"/>
            <w:gridSpan w:val="2"/>
          </w:tcPr>
          <w:p w14:paraId="3F3652F7" w14:textId="77777777" w:rsidR="00D73044" w:rsidRPr="005E61F8" w:rsidRDefault="00D73044" w:rsidP="00ED7F1C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221991EB" w14:textId="77777777" w:rsidR="00D73044" w:rsidRPr="005E61F8" w:rsidRDefault="00D73044" w:rsidP="00ED7F1C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2709" w:type="dxa"/>
          </w:tcPr>
          <w:p w14:paraId="49FFA316" w14:textId="77777777" w:rsidR="00D73044" w:rsidRPr="005E61F8" w:rsidRDefault="00D73044" w:rsidP="00ED7F1C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47C706DA" w14:textId="77777777" w:rsidR="00D73044" w:rsidRPr="005E61F8" w:rsidRDefault="00D73044" w:rsidP="00D73044">
      <w:pPr>
        <w:rPr>
          <w:rFonts w:ascii="Mulish" w:hAnsi="Mulish"/>
        </w:rPr>
      </w:pPr>
    </w:p>
    <w:p w14:paraId="395EB954" w14:textId="77777777" w:rsidR="00D73044" w:rsidRPr="005E61F8" w:rsidRDefault="00D73044" w:rsidP="00D73044">
      <w:pPr>
        <w:jc w:val="both"/>
        <w:rPr>
          <w:rFonts w:ascii="Mulish" w:hAnsi="Mulish"/>
        </w:rPr>
      </w:pPr>
    </w:p>
    <w:p w14:paraId="01F8A715" w14:textId="79A26DF4" w:rsidR="00D73044" w:rsidRPr="005E61F8" w:rsidRDefault="00D73044" w:rsidP="00D73044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El </w:t>
      </w:r>
      <w:r w:rsidRPr="00F4753E">
        <w:rPr>
          <w:rFonts w:ascii="Mulish" w:hAnsi="Mulish"/>
        </w:rPr>
        <w:t>Grupo Inversor Hesperia S.A.</w:t>
      </w:r>
      <w:r w:rsidRPr="005E61F8">
        <w:rPr>
          <w:rFonts w:ascii="Mulish" w:hAnsi="Mulish"/>
        </w:rPr>
        <w:t xml:space="preserve"> ha aplicado 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3B2E82C2" w14:textId="77777777" w:rsidR="00D73044" w:rsidRPr="005E61F8" w:rsidRDefault="00D73044" w:rsidP="00D73044">
      <w:pPr>
        <w:rPr>
          <w:rFonts w:ascii="Mulish" w:hAnsi="Mulish"/>
        </w:rPr>
      </w:pPr>
    </w:p>
    <w:p w14:paraId="025B13D1" w14:textId="77777777" w:rsidR="00D73044" w:rsidRPr="005E61F8" w:rsidRDefault="00D73044" w:rsidP="00D73044">
      <w:pPr>
        <w:rPr>
          <w:rFonts w:ascii="Mulish" w:hAnsi="Mulish"/>
        </w:rPr>
      </w:pPr>
    </w:p>
    <w:p w14:paraId="7B13DA0A" w14:textId="77777777" w:rsidR="00D73044" w:rsidRPr="005E61F8" w:rsidRDefault="00864459" w:rsidP="00D73044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8B31C5C4E0094F60830FB77081E4AF99"/>
          </w:placeholder>
        </w:sdtPr>
        <w:sdtEndPr/>
        <w:sdtContent>
          <w:r w:rsidR="00D73044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43A0BCC7" w14:textId="012C08CB" w:rsidR="00D73044" w:rsidRDefault="00D73044" w:rsidP="00D73044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0B1E1FFF" w14:textId="46D3BBDF" w:rsidR="0077755E" w:rsidRDefault="0077755E" w:rsidP="00D73044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77755E" w:rsidRPr="0077755E" w14:paraId="0F7A33C8" w14:textId="77777777" w:rsidTr="0077755E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1F32CCDC" w14:textId="6A599E63" w:rsidR="0077755E" w:rsidRPr="0077755E" w:rsidRDefault="0077755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775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AE9C3F3" w14:textId="77777777" w:rsidR="0077755E" w:rsidRPr="0077755E" w:rsidRDefault="0077755E" w:rsidP="0077755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50F2BAC" w14:textId="77777777" w:rsidR="0077755E" w:rsidRPr="0077755E" w:rsidRDefault="0077755E" w:rsidP="0077755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20B62FD" w14:textId="77777777" w:rsidR="0077755E" w:rsidRPr="0077755E" w:rsidRDefault="0077755E" w:rsidP="0077755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9E16756" w14:textId="77777777" w:rsidR="0077755E" w:rsidRPr="0077755E" w:rsidRDefault="0077755E" w:rsidP="0077755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7464FDF" w14:textId="77777777" w:rsidR="0077755E" w:rsidRPr="0077755E" w:rsidRDefault="0077755E" w:rsidP="0077755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F72DAA1" w14:textId="77777777" w:rsidR="0077755E" w:rsidRPr="0077755E" w:rsidRDefault="0077755E" w:rsidP="0077755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43A2A4D" w14:textId="77777777" w:rsidR="0077755E" w:rsidRPr="0077755E" w:rsidRDefault="0077755E" w:rsidP="0077755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675C7AE" w14:textId="77777777" w:rsidR="0077755E" w:rsidRPr="0077755E" w:rsidRDefault="0077755E" w:rsidP="0077755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77755E" w:rsidRPr="0077755E" w14:paraId="1141CDE6" w14:textId="77777777" w:rsidTr="0077755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E2143C4" w14:textId="77777777" w:rsidR="0077755E" w:rsidRPr="0077755E" w:rsidRDefault="0077755E" w:rsidP="0077755E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319450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13A04C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F95847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BC7F60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6F48B7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4548DB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08D21F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71E3ED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77755E" w:rsidRPr="0077755E" w14:paraId="076BA2A5" w14:textId="77777777" w:rsidTr="0077755E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4849905" w14:textId="77777777" w:rsidR="0077755E" w:rsidRPr="0077755E" w:rsidRDefault="0077755E" w:rsidP="0077755E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0B98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713B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A1F3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C5FD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452B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3652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CE5D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B940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7755E" w:rsidRPr="0077755E" w14:paraId="20B78054" w14:textId="77777777" w:rsidTr="0077755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74B57FA" w14:textId="77777777" w:rsidR="0077755E" w:rsidRPr="0077755E" w:rsidRDefault="0077755E" w:rsidP="0077755E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7AE8F7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4808B8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837580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3F96AE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844942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FB3DB9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7BBD66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1DA7B5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</w:tr>
      <w:tr w:rsidR="0077755E" w:rsidRPr="0077755E" w14:paraId="2A36896A" w14:textId="77777777" w:rsidTr="0077755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AC2EB7C" w14:textId="77777777" w:rsidR="0077755E" w:rsidRPr="0077755E" w:rsidRDefault="0077755E" w:rsidP="0077755E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CD23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906D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A832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7715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3035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10FB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6214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4B2B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7755E" w:rsidRPr="0077755E" w14:paraId="5DB13926" w14:textId="77777777" w:rsidTr="0077755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942645A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310970D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7FBD11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850BDE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25238F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7D1EB9B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B487E2A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71CD778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882D1A3" w14:textId="77777777" w:rsidR="0077755E" w:rsidRPr="0077755E" w:rsidRDefault="0077755E" w:rsidP="0077755E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77755E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70,4</w:t>
            </w:r>
          </w:p>
        </w:tc>
      </w:tr>
    </w:tbl>
    <w:p w14:paraId="0D2C0BE6" w14:textId="115A0DE5" w:rsidR="00D73044" w:rsidRPr="005E61F8" w:rsidRDefault="00D73044" w:rsidP="00D73044">
      <w:pPr>
        <w:pStyle w:val="Cuerpodelboletn"/>
        <w:rPr>
          <w:rFonts w:ascii="Mulish" w:hAnsi="Mulish"/>
          <w:lang w:bidi="es-ES"/>
        </w:rPr>
      </w:pPr>
    </w:p>
    <w:p w14:paraId="6DD128FB" w14:textId="2840072E" w:rsidR="00D73044" w:rsidRPr="005E61F8" w:rsidRDefault="00D73044" w:rsidP="00D73044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77755E">
        <w:rPr>
          <w:rFonts w:ascii="Mulish" w:hAnsi="Mulish"/>
          <w:lang w:bidi="es-ES"/>
        </w:rPr>
        <w:t>70</w:t>
      </w:r>
      <w:r w:rsidR="001A268D">
        <w:rPr>
          <w:rFonts w:ascii="Mulish" w:hAnsi="Mulish"/>
          <w:lang w:bidi="es-ES"/>
        </w:rPr>
        <w:t>,4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</w:t>
      </w:r>
      <w:r>
        <w:rPr>
          <w:rFonts w:ascii="Mulish" w:hAnsi="Mulish"/>
          <w:lang w:bidi="es-ES"/>
        </w:rPr>
        <w:t>de</w:t>
      </w:r>
      <w:r w:rsidRPr="005E61F8">
        <w:rPr>
          <w:rFonts w:ascii="Mulish" w:hAnsi="Mulish"/>
          <w:lang w:bidi="es-ES"/>
        </w:rPr>
        <w:t xml:space="preserve">cremento de </w:t>
      </w:r>
      <w:r w:rsidR="001A268D">
        <w:rPr>
          <w:rFonts w:ascii="Mulish" w:hAnsi="Mulish"/>
          <w:lang w:bidi="es-ES"/>
        </w:rPr>
        <w:t>9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>.</w:t>
      </w:r>
    </w:p>
    <w:p w14:paraId="0C1E0864" w14:textId="77777777" w:rsidR="00D73044" w:rsidRDefault="00D73044" w:rsidP="00D73044">
      <w:pPr>
        <w:pStyle w:val="Cuerpodelboletn"/>
        <w:rPr>
          <w:rFonts w:ascii="Mulish" w:hAnsi="Mulish"/>
        </w:rPr>
      </w:pPr>
    </w:p>
    <w:p w14:paraId="7734AAAF" w14:textId="77777777" w:rsidR="00D73044" w:rsidRDefault="00D73044" w:rsidP="00D73044">
      <w:pPr>
        <w:pStyle w:val="Cuerpodelboletn"/>
        <w:rPr>
          <w:rFonts w:ascii="Mulish" w:hAnsi="Mulish"/>
        </w:rPr>
      </w:pPr>
    </w:p>
    <w:p w14:paraId="3A84EAEB" w14:textId="77777777" w:rsidR="00D73044" w:rsidRPr="005E61F8" w:rsidRDefault="00D73044" w:rsidP="00D73044">
      <w:pPr>
        <w:pStyle w:val="Cuerpodelboletn"/>
        <w:rPr>
          <w:rFonts w:ascii="Mulish" w:hAnsi="Mulish"/>
        </w:rPr>
        <w:sectPr w:rsidR="00D73044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983842F021A34AA59939455FCFBD77D6"/>
        </w:placeholder>
      </w:sdtPr>
      <w:sdtEndPr/>
      <w:sdtContent>
        <w:p w14:paraId="18351037" w14:textId="77777777" w:rsidR="00D73044" w:rsidRPr="005E61F8" w:rsidRDefault="00D73044" w:rsidP="00D73044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46BBD576" w14:textId="77777777" w:rsidR="00D73044" w:rsidRPr="005E61F8" w:rsidRDefault="00D73044" w:rsidP="00D73044">
      <w:pPr>
        <w:pStyle w:val="Cuerpodelboletn"/>
        <w:rPr>
          <w:rFonts w:ascii="Mulish" w:hAnsi="Mulish"/>
        </w:rPr>
      </w:pPr>
    </w:p>
    <w:p w14:paraId="1FCE438C" w14:textId="5FDE4BA0" w:rsidR="00D73044" w:rsidRPr="005E61F8" w:rsidRDefault="001A268D" w:rsidP="00D73044">
      <w:pPr>
        <w:pStyle w:val="Cuerpodelboletn"/>
        <w:rPr>
          <w:rFonts w:ascii="Mulish" w:hAnsi="Mulish"/>
        </w:rPr>
      </w:pPr>
      <w:r>
        <w:rPr>
          <w:rFonts w:ascii="Mulish" w:hAnsi="Mulish"/>
        </w:rPr>
        <w:lastRenderedPageBreak/>
        <w:t xml:space="preserve">Aunque el Índice de Cumplimiento evoluciona positivamente, no es menos cierto que existe margen de mejora para que el </w:t>
      </w:r>
      <w:r w:rsidR="00643130">
        <w:rPr>
          <w:rFonts w:ascii="Mulish" w:hAnsi="Mulish"/>
        </w:rPr>
        <w:t>Grupo Inversor Hesperia logre el pleno cumplimiento de la LTAIBG</w:t>
      </w:r>
      <w:r w:rsidR="00D73044">
        <w:rPr>
          <w:rFonts w:ascii="Mulish" w:hAnsi="Mulish"/>
        </w:rPr>
        <w:t>.</w:t>
      </w:r>
      <w:r w:rsidR="00D73044" w:rsidRPr="005E61F8">
        <w:rPr>
          <w:rFonts w:ascii="Mulish" w:hAnsi="Mulish"/>
        </w:rPr>
        <w:t xml:space="preserve"> </w:t>
      </w:r>
      <w:r w:rsidR="00643130">
        <w:rPr>
          <w:rFonts w:ascii="Mulish" w:hAnsi="Mulish"/>
        </w:rPr>
        <w:t>Sólo</w:t>
      </w:r>
      <w:r w:rsidR="00D73044">
        <w:rPr>
          <w:rFonts w:ascii="Mulish" w:hAnsi="Mulish"/>
        </w:rPr>
        <w:t xml:space="preserve"> </w:t>
      </w:r>
      <w:r w:rsidR="00D73044" w:rsidRPr="005E61F8">
        <w:rPr>
          <w:rFonts w:ascii="Mulish" w:hAnsi="Mulish"/>
        </w:rPr>
        <w:t>se ha aplicado una de las recomendaciones efectuadas como consecuencia de la evaluación realizada en 202</w:t>
      </w:r>
      <w:r w:rsidR="00D73044">
        <w:rPr>
          <w:rFonts w:ascii="Mulish" w:hAnsi="Mulish"/>
        </w:rPr>
        <w:t>3</w:t>
      </w:r>
      <w:r w:rsidR="00643130">
        <w:rPr>
          <w:rFonts w:ascii="Mulish" w:hAnsi="Mulish"/>
        </w:rPr>
        <w:t xml:space="preserve"> y, c</w:t>
      </w:r>
      <w:r w:rsidR="00D73044" w:rsidRPr="005E61F8">
        <w:rPr>
          <w:rFonts w:ascii="Mulish" w:hAnsi="Mulish"/>
        </w:rPr>
        <w:t>omo consecuencia de esto</w:t>
      </w:r>
      <w:r w:rsidR="00643130">
        <w:rPr>
          <w:rFonts w:ascii="Mulish" w:hAnsi="Mulish"/>
        </w:rPr>
        <w:t>,</w:t>
      </w:r>
      <w:r w:rsidR="00D73044" w:rsidRPr="005E61F8">
        <w:rPr>
          <w:rFonts w:ascii="Mulish" w:hAnsi="Mulish"/>
        </w:rPr>
        <w:t xml:space="preserve"> persisten los déficits evidenciados en dicha evaluación: </w:t>
      </w:r>
    </w:p>
    <w:p w14:paraId="47021106" w14:textId="77777777" w:rsidR="00D73044" w:rsidRPr="005E61F8" w:rsidRDefault="00D73044" w:rsidP="00D73044">
      <w:pPr>
        <w:pStyle w:val="Sinespaciado"/>
        <w:spacing w:line="276" w:lineRule="auto"/>
        <w:jc w:val="both"/>
        <w:rPr>
          <w:rFonts w:ascii="Mulish" w:hAnsi="Mulish"/>
        </w:rPr>
      </w:pPr>
    </w:p>
    <w:p w14:paraId="3553F1BD" w14:textId="77777777" w:rsidR="00D73044" w:rsidRPr="005E61F8" w:rsidRDefault="00D73044" w:rsidP="00D73044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706DC257" w14:textId="77777777" w:rsidR="00D73044" w:rsidRPr="005E61F8" w:rsidRDefault="00D73044" w:rsidP="00D73044">
      <w:pPr>
        <w:pStyle w:val="Prrafodelista"/>
        <w:rPr>
          <w:rFonts w:ascii="Mulish" w:hAnsi="Mulish"/>
        </w:rPr>
      </w:pPr>
    </w:p>
    <w:p w14:paraId="0DAE85BE" w14:textId="6E081177" w:rsidR="00D73044" w:rsidRPr="005E61F8" w:rsidRDefault="00D73044" w:rsidP="00D73044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7B4D8776" w14:textId="77777777" w:rsidR="00D73044" w:rsidRDefault="00D73044" w:rsidP="00D73044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Dentro d</w:t>
      </w:r>
      <w:r w:rsidRPr="005E61F8">
        <w:rPr>
          <w:rFonts w:ascii="Mulish" w:hAnsi="Mulish"/>
        </w:rPr>
        <w:t>el bloque de información económica</w:t>
      </w:r>
      <w:r>
        <w:rPr>
          <w:rFonts w:ascii="Mulish" w:hAnsi="Mulish"/>
        </w:rPr>
        <w:t>:</w:t>
      </w:r>
    </w:p>
    <w:p w14:paraId="6852B7F8" w14:textId="77777777" w:rsidR="00D73044" w:rsidRDefault="00D73044" w:rsidP="00D73044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486899E8" w14:textId="77777777" w:rsidR="00D73044" w:rsidRDefault="00D73044" w:rsidP="00D73044">
      <w:pPr>
        <w:pStyle w:val="Sinespaciado"/>
        <w:numPr>
          <w:ilvl w:val="0"/>
          <w:numId w:val="26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Las cuentas anuales en el Portal de Transparencia de la sociedad.</w:t>
      </w:r>
    </w:p>
    <w:p w14:paraId="6FE539F0" w14:textId="77777777" w:rsidR="00D73044" w:rsidRDefault="00D73044" w:rsidP="00D73044">
      <w:pPr>
        <w:pStyle w:val="Sinespaciado"/>
        <w:numPr>
          <w:ilvl w:val="0"/>
          <w:numId w:val="26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Los informes de auditoría de cuentas en el Portal de Transparencia de la sociedad.</w:t>
      </w:r>
    </w:p>
    <w:p w14:paraId="47EC922A" w14:textId="77777777" w:rsidR="00D73044" w:rsidRPr="0054568A" w:rsidRDefault="00D73044" w:rsidP="00D73044">
      <w:pPr>
        <w:pStyle w:val="Sinespaciado"/>
        <w:numPr>
          <w:ilvl w:val="0"/>
          <w:numId w:val="26"/>
        </w:numPr>
        <w:spacing w:line="276" w:lineRule="auto"/>
        <w:jc w:val="both"/>
        <w:rPr>
          <w:rFonts w:ascii="Mulish" w:hAnsi="Mulish"/>
        </w:rPr>
      </w:pPr>
      <w:r w:rsidRPr="0054568A">
        <w:rPr>
          <w:rFonts w:ascii="Mulish" w:hAnsi="Mulish"/>
        </w:rPr>
        <w:t>La</w:t>
      </w:r>
      <w:r>
        <w:rPr>
          <w:rFonts w:ascii="Mulish" w:hAnsi="Mulish"/>
        </w:rPr>
        <w:t>s</w:t>
      </w:r>
      <w:r w:rsidRPr="0054568A">
        <w:rPr>
          <w:rFonts w:ascii="Mulish" w:hAnsi="Mulish"/>
        </w:rPr>
        <w:t xml:space="preserve"> retribuciones anuales percibidas por sus máximos responsables.</w:t>
      </w:r>
    </w:p>
    <w:p w14:paraId="59B03756" w14:textId="77777777" w:rsidR="00D73044" w:rsidRPr="0054568A" w:rsidRDefault="00D73044" w:rsidP="00D73044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5847D587" w14:textId="77777777" w:rsidR="00D73044" w:rsidRPr="005E61F8" w:rsidRDefault="00D73044" w:rsidP="00D73044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56D77C7A" w14:textId="17FB3E05" w:rsidR="00D73044" w:rsidRPr="005E61F8" w:rsidRDefault="00D73044" w:rsidP="00D73044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643130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23CF2565" w14:textId="77777777" w:rsidR="00D73044" w:rsidRPr="005E61F8" w:rsidRDefault="00D73044" w:rsidP="00D73044">
      <w:pPr>
        <w:pStyle w:val="Cuerpodelboletn"/>
        <w:rPr>
          <w:rFonts w:ascii="Mulish" w:hAnsi="Mulish"/>
        </w:rPr>
        <w:sectPr w:rsidR="00D73044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5CDA5BB2" w14:textId="77777777" w:rsidR="00D73044" w:rsidRPr="005E61F8" w:rsidRDefault="00D73044" w:rsidP="00D73044">
      <w:pPr>
        <w:pStyle w:val="Sinespaciado"/>
        <w:spacing w:line="276" w:lineRule="auto"/>
        <w:jc w:val="both"/>
        <w:rPr>
          <w:rFonts w:ascii="Mulish" w:hAnsi="Mulish"/>
        </w:rPr>
      </w:pPr>
    </w:p>
    <w:p w14:paraId="3FFCAADC" w14:textId="77777777" w:rsidR="00D73044" w:rsidRDefault="00D73044" w:rsidP="00D73044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5B3382AD" w14:textId="77777777" w:rsidR="00D73044" w:rsidRPr="005E61F8" w:rsidRDefault="00D73044" w:rsidP="00D73044">
      <w:pPr>
        <w:pStyle w:val="Sinespaciado"/>
        <w:spacing w:line="276" w:lineRule="auto"/>
        <w:jc w:val="both"/>
        <w:rPr>
          <w:rFonts w:ascii="Mulish" w:hAnsi="Mulish"/>
        </w:rPr>
      </w:pPr>
    </w:p>
    <w:p w14:paraId="62290EFF" w14:textId="77777777" w:rsidR="00D73044" w:rsidRDefault="00D73044" w:rsidP="00D73044">
      <w:pPr>
        <w:rPr>
          <w:rFonts w:ascii="Mulish" w:hAnsi="Mulish"/>
        </w:rPr>
      </w:pPr>
    </w:p>
    <w:p w14:paraId="5C3138E8" w14:textId="77777777" w:rsidR="00D73044" w:rsidRPr="005E61F8" w:rsidRDefault="00864459" w:rsidP="00D73044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41BAF5E0BEA94D3D9C113E0CEF2E12B6"/>
          </w:placeholder>
        </w:sdtPr>
        <w:sdtEndPr/>
        <w:sdtContent>
          <w:r w:rsidR="00D73044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D73044" w:rsidRPr="005E61F8" w14:paraId="17359029" w14:textId="77777777" w:rsidTr="00ED7F1C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761082D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08395C5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3155DDE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5BEC314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24E76F0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D73044" w:rsidRPr="005E61F8" w14:paraId="5CAD4077" w14:textId="77777777" w:rsidTr="00ED7F1C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67F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D06B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37F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64E5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8326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D73044" w:rsidRPr="005E61F8" w14:paraId="7189E4A1" w14:textId="77777777" w:rsidTr="00ED7F1C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F237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11C7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EB6A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1F8A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EFC3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D73044" w:rsidRPr="005E61F8" w14:paraId="0D2B5414" w14:textId="77777777" w:rsidTr="00ED7F1C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7B1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E07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52A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0C96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B667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D73044" w:rsidRPr="005E61F8" w14:paraId="617F964C" w14:textId="77777777" w:rsidTr="00ED7F1C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41C1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75AF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9BFB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CB1D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1D0E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D73044" w:rsidRPr="005E61F8" w14:paraId="0F9ECC13" w14:textId="77777777" w:rsidTr="00ED7F1C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D752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4C57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80A6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0804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65A3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D73044" w:rsidRPr="005E61F8" w14:paraId="18DC70D7" w14:textId="77777777" w:rsidTr="00ED7F1C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AEAC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D80B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1CD9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9E99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57C2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D73044" w:rsidRPr="005E61F8" w14:paraId="6411E0D1" w14:textId="77777777" w:rsidTr="00ED7F1C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A6E5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8145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2B5B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FC22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4F11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D73044" w:rsidRPr="005E61F8" w14:paraId="1AC09994" w14:textId="77777777" w:rsidTr="00ED7F1C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11F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B04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09B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605E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C99F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D73044" w:rsidRPr="005E61F8" w14:paraId="233DB97B" w14:textId="77777777" w:rsidTr="00ED7F1C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7ACF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524E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64E3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1754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DA91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D73044" w:rsidRPr="005E61F8" w14:paraId="78A01042" w14:textId="77777777" w:rsidTr="00ED7F1C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5E21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E58A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B8E5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1A42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337D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D73044" w:rsidRPr="005E61F8" w14:paraId="57F36BFC" w14:textId="77777777" w:rsidTr="00ED7F1C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CA99E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CCC5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6827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57B0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EBA1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D73044" w:rsidRPr="005E61F8" w14:paraId="0AFDE7FD" w14:textId="77777777" w:rsidTr="00ED7F1C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27CFD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B29B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9CBA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8327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6B79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D73044" w:rsidRPr="005E61F8" w14:paraId="1152CE06" w14:textId="77777777" w:rsidTr="00ED7F1C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7F18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9FAC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6F29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6478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0AB6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D73044" w:rsidRPr="005E61F8" w14:paraId="02D4E21E" w14:textId="77777777" w:rsidTr="00ED7F1C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70DB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4FA2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DE08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AD20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84C2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D73044" w:rsidRPr="005E61F8" w14:paraId="7F232E42" w14:textId="77777777" w:rsidTr="00ED7F1C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51FF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66DB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810E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B0FC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69AE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D73044" w:rsidRPr="005E61F8" w14:paraId="0E09A800" w14:textId="77777777" w:rsidTr="00ED7F1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28DAB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9DFA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7D41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DCCA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F15F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D73044" w:rsidRPr="005E61F8" w14:paraId="4445A59C" w14:textId="77777777" w:rsidTr="00ED7F1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EBD5A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E5C2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28EE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0A0E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7B86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D73044" w:rsidRPr="005E61F8" w14:paraId="25758AEB" w14:textId="77777777" w:rsidTr="00ED7F1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3B05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177D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0D1A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4722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AF08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D73044" w:rsidRPr="005E61F8" w14:paraId="6FD006D4" w14:textId="77777777" w:rsidTr="00ED7F1C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F1803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F3C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9F5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B20E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74E9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D73044" w:rsidRPr="005E61F8" w14:paraId="37732610" w14:textId="77777777" w:rsidTr="00ED7F1C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DA58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2806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6804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226A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28DB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73044" w:rsidRPr="005E61F8" w14:paraId="176651B7" w14:textId="77777777" w:rsidTr="00ED7F1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F8BF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956D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2880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8F4A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ED16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D73044" w:rsidRPr="005E61F8" w14:paraId="10F261F9" w14:textId="77777777" w:rsidTr="00ED7F1C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A276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5F8F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D0DC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4E95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689F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73044" w:rsidRPr="005E61F8" w14:paraId="2CD2FBD2" w14:textId="77777777" w:rsidTr="00ED7F1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54880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3570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C27B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DCC0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7317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D73044" w:rsidRPr="005E61F8" w14:paraId="5BB857F0" w14:textId="77777777" w:rsidTr="00ED7F1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35F30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7B3F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EC50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9D64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E77C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73044" w:rsidRPr="005E61F8" w14:paraId="00AFBB67" w14:textId="77777777" w:rsidTr="00ED7F1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6E80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F5F3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2FC4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266D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1498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D73044" w:rsidRPr="005E61F8" w14:paraId="38513A27" w14:textId="77777777" w:rsidTr="00ED7F1C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50A06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7D71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47C6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23D0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B4D6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73044" w:rsidRPr="005E61F8" w14:paraId="4FA7319F" w14:textId="77777777" w:rsidTr="00ED7F1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0BDCA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BD22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9785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9ED0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4EB4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D73044" w:rsidRPr="005E61F8" w14:paraId="0D61104F" w14:textId="77777777" w:rsidTr="00ED7F1C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77F9F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CEF3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3877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EE32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BA27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D73044" w:rsidRPr="005E61F8" w14:paraId="30B061DE" w14:textId="77777777" w:rsidTr="00ED7F1C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6BA2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03E3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F3BB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25BA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0D69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D73044" w:rsidRPr="005E61F8" w14:paraId="0138A1CD" w14:textId="77777777" w:rsidTr="00ED7F1C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61A1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517B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60D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5DAB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4728" w14:textId="77777777" w:rsidR="00D73044" w:rsidRPr="005E61F8" w:rsidRDefault="00D73044" w:rsidP="00ED7F1C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D73044" w:rsidRPr="005E61F8" w14:paraId="46A7A881" w14:textId="77777777" w:rsidTr="00ED7F1C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E7E6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445C3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51BBC" w14:textId="77777777" w:rsidR="00D73044" w:rsidRPr="005E61F8" w:rsidRDefault="00D73044" w:rsidP="00ED7F1C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E997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2E15" w14:textId="77777777" w:rsidR="00D73044" w:rsidRPr="005E61F8" w:rsidRDefault="00D73044" w:rsidP="00ED7F1C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D73044" w:rsidRPr="005E61F8" w14:paraId="0FF76652" w14:textId="77777777" w:rsidTr="00ED7F1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844A4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102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3DE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32D4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DE49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D73044" w:rsidRPr="005E61F8" w14:paraId="65C40050" w14:textId="77777777" w:rsidTr="00ED7F1C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1C6D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43C2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523A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5284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4475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D73044" w:rsidRPr="005E61F8" w14:paraId="5004096E" w14:textId="77777777" w:rsidTr="00ED7F1C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5AA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41D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FB5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9E0F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6DFA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D73044" w:rsidRPr="005E61F8" w14:paraId="5D9FAE25" w14:textId="77777777" w:rsidTr="00ED7F1C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934F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0914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13C3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1553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0A29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D73044" w:rsidRPr="005E61F8" w14:paraId="74FD5C10" w14:textId="77777777" w:rsidTr="00ED7F1C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8A6F8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56A7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2759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63A4" w14:textId="77777777" w:rsidR="00D73044" w:rsidRPr="005E61F8" w:rsidRDefault="00D73044" w:rsidP="00ED7F1C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4A0A" w14:textId="77777777" w:rsidR="00D73044" w:rsidRPr="005E61F8" w:rsidRDefault="00D73044" w:rsidP="00ED7F1C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36C1CA86" w14:textId="77777777" w:rsidR="00D73044" w:rsidRPr="005E61F8" w:rsidRDefault="00D73044" w:rsidP="00D73044">
      <w:pPr>
        <w:pStyle w:val="Cuerpodelboletn"/>
        <w:rPr>
          <w:rFonts w:ascii="Mulish" w:hAnsi="Mulish"/>
        </w:rPr>
      </w:pPr>
    </w:p>
    <w:p w14:paraId="7325BAC0" w14:textId="77777777" w:rsidR="003E5399" w:rsidRPr="005E61F8" w:rsidRDefault="003E5399" w:rsidP="003E5399">
      <w:pPr>
        <w:rPr>
          <w:rFonts w:ascii="Mulish" w:hAnsi="Mulish"/>
        </w:rPr>
      </w:pPr>
    </w:p>
    <w:sectPr w:rsidR="003E5399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4B9B38C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329F64D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4D774C5F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6133BBE"/>
    <w:multiLevelType w:val="hybridMultilevel"/>
    <w:tmpl w:val="4A64618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C6322"/>
    <w:multiLevelType w:val="hybridMultilevel"/>
    <w:tmpl w:val="17AECD32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0"/>
  </w:num>
  <w:num w:numId="5">
    <w:abstractNumId w:val="18"/>
  </w:num>
  <w:num w:numId="6">
    <w:abstractNumId w:val="20"/>
  </w:num>
  <w:num w:numId="7">
    <w:abstractNumId w:val="17"/>
  </w:num>
  <w:num w:numId="8">
    <w:abstractNumId w:val="1"/>
  </w:num>
  <w:num w:numId="9">
    <w:abstractNumId w:val="4"/>
  </w:num>
  <w:num w:numId="10">
    <w:abstractNumId w:val="3"/>
  </w:num>
  <w:num w:numId="11">
    <w:abstractNumId w:val="23"/>
  </w:num>
  <w:num w:numId="12">
    <w:abstractNumId w:val="16"/>
  </w:num>
  <w:num w:numId="13">
    <w:abstractNumId w:val="9"/>
  </w:num>
  <w:num w:numId="14">
    <w:abstractNumId w:val="24"/>
  </w:num>
  <w:num w:numId="15">
    <w:abstractNumId w:val="2"/>
  </w:num>
  <w:num w:numId="16">
    <w:abstractNumId w:val="25"/>
  </w:num>
  <w:num w:numId="17">
    <w:abstractNumId w:val="14"/>
  </w:num>
  <w:num w:numId="18">
    <w:abstractNumId w:val="7"/>
  </w:num>
  <w:num w:numId="19">
    <w:abstractNumId w:val="6"/>
  </w:num>
  <w:num w:numId="20">
    <w:abstractNumId w:val="19"/>
  </w:num>
  <w:num w:numId="21">
    <w:abstractNumId w:val="5"/>
  </w:num>
  <w:num w:numId="22">
    <w:abstractNumId w:val="22"/>
  </w:num>
  <w:num w:numId="23">
    <w:abstractNumId w:val="10"/>
  </w:num>
  <w:num w:numId="24">
    <w:abstractNumId w:val="8"/>
  </w:num>
  <w:num w:numId="25">
    <w:abstractNumId w:val="26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268D"/>
    <w:rsid w:val="001A5305"/>
    <w:rsid w:val="001C01C2"/>
    <w:rsid w:val="001C2217"/>
    <w:rsid w:val="001C3E2F"/>
    <w:rsid w:val="001C4509"/>
    <w:rsid w:val="001C7C78"/>
    <w:rsid w:val="001C7D84"/>
    <w:rsid w:val="001C7E50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3130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55E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445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B20C2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3044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speria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5559643E374D9F828EA296645D5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A5CB-8F98-4433-BEF8-786DFD2920FA}"/>
      </w:docPartPr>
      <w:docPartBody>
        <w:p w:rsidR="0014465A" w:rsidRDefault="00BF1F08" w:rsidP="00BF1F08">
          <w:pPr>
            <w:pStyle w:val="745559643E374D9F828EA296645D57A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31C5C4E0094F60830FB77081E4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8199D-3692-4556-B03C-864616438166}"/>
      </w:docPartPr>
      <w:docPartBody>
        <w:p w:rsidR="0014465A" w:rsidRDefault="00BF1F08" w:rsidP="00BF1F08">
          <w:pPr>
            <w:pStyle w:val="8B31C5C4E0094F60830FB77081E4AF9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3842F021A34AA59939455FCFBD7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2A29B-A9FC-4AF6-88E4-7D740DFDD122}"/>
      </w:docPartPr>
      <w:docPartBody>
        <w:p w:rsidR="0014465A" w:rsidRDefault="00BF1F08" w:rsidP="00BF1F08">
          <w:pPr>
            <w:pStyle w:val="983842F021A34AA59939455FCFBD77D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1BAF5E0BEA94D3D9C113E0CEF2E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A0D5-3D77-4766-B614-D50C829A79F2}"/>
      </w:docPartPr>
      <w:docPartBody>
        <w:p w:rsidR="0014465A" w:rsidRDefault="00BF1F08" w:rsidP="00BF1F08">
          <w:pPr>
            <w:pStyle w:val="41BAF5E0BEA94D3D9C113E0CEF2E12B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14465A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BF1F08"/>
    <w:rsid w:val="00C32372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F08"/>
    <w:rPr>
      <w:color w:val="808080"/>
    </w:rPr>
  </w:style>
  <w:style w:type="paragraph" w:customStyle="1" w:styleId="745559643E374D9F828EA296645D57AC">
    <w:name w:val="745559643E374D9F828EA296645D57AC"/>
    <w:rsid w:val="00BF1F08"/>
    <w:pPr>
      <w:spacing w:after="160" w:line="259" w:lineRule="auto"/>
    </w:pPr>
  </w:style>
  <w:style w:type="paragraph" w:customStyle="1" w:styleId="8B31C5C4E0094F60830FB77081E4AF99">
    <w:name w:val="8B31C5C4E0094F60830FB77081E4AF99"/>
    <w:rsid w:val="00BF1F08"/>
    <w:pPr>
      <w:spacing w:after="160" w:line="259" w:lineRule="auto"/>
    </w:pPr>
  </w:style>
  <w:style w:type="paragraph" w:customStyle="1" w:styleId="983842F021A34AA59939455FCFBD77D6">
    <w:name w:val="983842F021A34AA59939455FCFBD77D6"/>
    <w:rsid w:val="00BF1F08"/>
    <w:pPr>
      <w:spacing w:after="160" w:line="259" w:lineRule="auto"/>
    </w:pPr>
  </w:style>
  <w:style w:type="paragraph" w:customStyle="1" w:styleId="41BAF5E0BEA94D3D9C113E0CEF2E12B6">
    <w:name w:val="41BAF5E0BEA94D3D9C113E0CEF2E12B6"/>
    <w:rsid w:val="00BF1F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</TotalTime>
  <Pages>5</Pages>
  <Words>898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5</cp:revision>
  <cp:lastPrinted>2008-09-26T23:14:00Z</cp:lastPrinted>
  <dcterms:created xsi:type="dcterms:W3CDTF">2024-06-10T10:46:00Z</dcterms:created>
  <dcterms:modified xsi:type="dcterms:W3CDTF">2024-09-17T08:29:00Z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