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2F5B7646" w:rsidR="006F17B5" w:rsidRPr="00CB4447" w:rsidRDefault="006F17B5" w:rsidP="001B16D9">
      <w:pPr>
        <w:pStyle w:val="Ttulo1"/>
        <w:jc w:val="both"/>
        <w:rPr>
          <w:color w:val="079386"/>
        </w:rPr>
      </w:pPr>
      <w:r w:rsidRPr="00CB4447">
        <w:rPr>
          <w:color w:val="079386"/>
        </w:rPr>
        <w:t xml:space="preserve">INFORME RELATIVO A LAS OBSERVACIONES REMITIDAS POR </w:t>
      </w:r>
      <w:r w:rsidR="00190952">
        <w:rPr>
          <w:color w:val="079386"/>
        </w:rPr>
        <w:t xml:space="preserve">LA </w:t>
      </w:r>
      <w:r w:rsidR="00366779">
        <w:rPr>
          <w:color w:val="079386"/>
        </w:rPr>
        <w:t xml:space="preserve">FUNDACIÓN AYUDA EN ACCIÓN </w:t>
      </w:r>
      <w:r w:rsidRPr="00CB4447">
        <w:rPr>
          <w:color w:val="079386"/>
        </w:rPr>
        <w:t>EN RELACIÓN CON EL INFORME DEL CTBG SOBRE CUMPLIMIENTO DE LAS OBLIGACIONES DE PUBLICIDAD ACTIVA ESTABLECIDAS POR LA LTAIBG</w:t>
      </w:r>
    </w:p>
    <w:p w14:paraId="093557A1" w14:textId="77777777" w:rsidR="006F17B5" w:rsidRPr="006F17B5" w:rsidRDefault="006F17B5" w:rsidP="006F17B5">
      <w:pPr>
        <w:jc w:val="center"/>
        <w:rPr>
          <w:rFonts w:asciiTheme="minorHAnsi" w:hAnsiTheme="minorHAnsi" w:cstheme="minorHAnsi"/>
          <w:szCs w:val="24"/>
        </w:rPr>
      </w:pPr>
    </w:p>
    <w:p w14:paraId="5E6F6CF0" w14:textId="4D699438"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w:t>
      </w:r>
      <w:r w:rsidR="00190952">
        <w:rPr>
          <w:rFonts w:asciiTheme="minorHAnsi" w:hAnsiTheme="minorHAnsi" w:cstheme="minorHAnsi"/>
          <w:szCs w:val="24"/>
        </w:rPr>
        <w:t xml:space="preserve">escrito </w:t>
      </w:r>
      <w:r w:rsidR="00565608">
        <w:rPr>
          <w:rFonts w:asciiTheme="minorHAnsi" w:hAnsiTheme="minorHAnsi" w:cstheme="minorHAnsi"/>
          <w:szCs w:val="24"/>
        </w:rPr>
        <w:t xml:space="preserve">de fecha </w:t>
      </w:r>
      <w:r w:rsidR="00EA5D68">
        <w:rPr>
          <w:rFonts w:asciiTheme="minorHAnsi" w:hAnsiTheme="minorHAnsi" w:cstheme="minorHAnsi"/>
          <w:szCs w:val="24"/>
        </w:rPr>
        <w:t>29 d</w:t>
      </w:r>
      <w:r w:rsidRPr="002C000A">
        <w:rPr>
          <w:rFonts w:asciiTheme="minorHAnsi" w:hAnsiTheme="minorHAnsi" w:cstheme="minorHAnsi"/>
          <w:szCs w:val="24"/>
        </w:rPr>
        <w:t xml:space="preserve">e </w:t>
      </w:r>
      <w:r w:rsidR="00743C99">
        <w:rPr>
          <w:rFonts w:asciiTheme="minorHAnsi" w:hAnsiTheme="minorHAnsi" w:cstheme="minorHAnsi"/>
          <w:szCs w:val="24"/>
        </w:rPr>
        <w:t>julio</w:t>
      </w:r>
      <w:r w:rsidR="00743C99" w:rsidRPr="002C000A">
        <w:rPr>
          <w:rFonts w:asciiTheme="minorHAnsi" w:hAnsiTheme="minorHAnsi" w:cstheme="minorHAnsi"/>
          <w:szCs w:val="24"/>
        </w:rPr>
        <w:t xml:space="preserve"> </w:t>
      </w:r>
      <w:r w:rsidRPr="002C000A">
        <w:rPr>
          <w:rFonts w:asciiTheme="minorHAnsi" w:hAnsiTheme="minorHAnsi" w:cstheme="minorHAnsi"/>
          <w:szCs w:val="24"/>
        </w:rPr>
        <w:t>de 202</w:t>
      </w:r>
      <w:r w:rsidR="00FA580C">
        <w:rPr>
          <w:rFonts w:asciiTheme="minorHAnsi" w:hAnsiTheme="minorHAnsi" w:cstheme="minorHAnsi"/>
          <w:szCs w:val="24"/>
        </w:rPr>
        <w:t>4</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14:paraId="73B32EE4" w14:textId="77777777"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14:paraId="3C1ADCC3" w14:textId="24243559" w:rsidR="007704A4" w:rsidRDefault="00FA580C"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aceptan las siguientes observaciones</w:t>
      </w:r>
      <w:r w:rsidR="007704A4">
        <w:rPr>
          <w:rFonts w:asciiTheme="minorHAnsi" w:hAnsiTheme="minorHAnsi" w:cstheme="minorHAnsi"/>
          <w:b/>
          <w:szCs w:val="24"/>
        </w:rPr>
        <w:t>.</w:t>
      </w:r>
    </w:p>
    <w:p w14:paraId="1C1F6A48" w14:textId="599B8686" w:rsidR="00FA580C" w:rsidRDefault="00D13833" w:rsidP="00FA580C">
      <w:pPr>
        <w:pStyle w:val="Prrafodelista"/>
        <w:numPr>
          <w:ilvl w:val="1"/>
          <w:numId w:val="11"/>
        </w:numPr>
        <w:tabs>
          <w:tab w:val="left" w:pos="284"/>
        </w:tabs>
        <w:spacing w:before="120" w:after="120" w:line="312" w:lineRule="auto"/>
        <w:jc w:val="both"/>
        <w:rPr>
          <w:rFonts w:asciiTheme="minorHAnsi" w:hAnsiTheme="minorHAnsi" w:cstheme="minorHAnsi"/>
          <w:bCs/>
          <w:szCs w:val="24"/>
        </w:rPr>
      </w:pPr>
      <w:r>
        <w:rPr>
          <w:rFonts w:asciiTheme="minorHAnsi" w:hAnsiTheme="minorHAnsi" w:cstheme="minorHAnsi"/>
          <w:bCs/>
          <w:szCs w:val="24"/>
        </w:rPr>
        <w:t>La observación relativa a la organización de la información del Portal de Transparencia conforme al patrón de la LTAIBG</w:t>
      </w:r>
      <w:r w:rsidR="000E409B">
        <w:rPr>
          <w:rFonts w:asciiTheme="minorHAnsi" w:hAnsiTheme="minorHAnsi" w:cstheme="minorHAnsi"/>
          <w:bCs/>
          <w:szCs w:val="24"/>
        </w:rPr>
        <w:t>.</w:t>
      </w:r>
    </w:p>
    <w:p w14:paraId="3E84A330" w14:textId="4EEB8C2C" w:rsidR="002569C2" w:rsidRDefault="002569C2" w:rsidP="00FA580C">
      <w:pPr>
        <w:pStyle w:val="Prrafodelista"/>
        <w:numPr>
          <w:ilvl w:val="1"/>
          <w:numId w:val="11"/>
        </w:numPr>
        <w:tabs>
          <w:tab w:val="left" w:pos="284"/>
        </w:tabs>
        <w:spacing w:before="120" w:after="120" w:line="312" w:lineRule="auto"/>
        <w:jc w:val="both"/>
        <w:rPr>
          <w:rFonts w:asciiTheme="minorHAnsi" w:hAnsiTheme="minorHAnsi" w:cstheme="minorHAnsi"/>
          <w:bCs/>
          <w:szCs w:val="24"/>
        </w:rPr>
      </w:pPr>
      <w:r>
        <w:rPr>
          <w:rFonts w:asciiTheme="minorHAnsi" w:hAnsiTheme="minorHAnsi" w:cstheme="minorHAnsi"/>
          <w:bCs/>
          <w:szCs w:val="24"/>
        </w:rPr>
        <w:t xml:space="preserve">La relativa a la publicación de los convenios. No obstante, </w:t>
      </w:r>
      <w:r w:rsidR="009952C4">
        <w:rPr>
          <w:rFonts w:asciiTheme="minorHAnsi" w:hAnsiTheme="minorHAnsi" w:cstheme="minorHAnsi"/>
          <w:bCs/>
          <w:szCs w:val="24"/>
        </w:rPr>
        <w:t>la información publicada no recoge todos los ítems informativos que establece el artículo 8.1.b) para esta obligación: no se informa sobre la duración del convenio ni tampoco sobre posibles modificaciones de convenios suscritos.</w:t>
      </w:r>
      <w:r>
        <w:rPr>
          <w:rFonts w:asciiTheme="minorHAnsi" w:hAnsiTheme="minorHAnsi" w:cstheme="minorHAnsi"/>
          <w:bCs/>
          <w:szCs w:val="24"/>
        </w:rPr>
        <w:t xml:space="preserve"> </w:t>
      </w:r>
    </w:p>
    <w:p w14:paraId="7888F7A4" w14:textId="77777777" w:rsidR="00073E04" w:rsidRDefault="00073E04" w:rsidP="00073E04">
      <w:pPr>
        <w:pStyle w:val="Prrafodelista"/>
        <w:tabs>
          <w:tab w:val="left" w:pos="284"/>
        </w:tabs>
        <w:spacing w:before="120" w:after="120" w:line="312" w:lineRule="auto"/>
        <w:ind w:left="1440"/>
        <w:jc w:val="both"/>
        <w:rPr>
          <w:rFonts w:asciiTheme="minorHAnsi" w:hAnsiTheme="minorHAnsi" w:cstheme="minorHAnsi"/>
          <w:bCs/>
          <w:szCs w:val="24"/>
        </w:rPr>
      </w:pPr>
    </w:p>
    <w:p w14:paraId="23979D1D" w14:textId="68D3457D" w:rsidR="009952C4" w:rsidRPr="001F6338" w:rsidRDefault="009952C4" w:rsidP="00070950">
      <w:pPr>
        <w:pStyle w:val="Prrafodelista"/>
        <w:numPr>
          <w:ilvl w:val="0"/>
          <w:numId w:val="11"/>
        </w:numPr>
        <w:tabs>
          <w:tab w:val="left" w:pos="284"/>
        </w:tabs>
        <w:spacing w:before="120" w:after="120" w:line="312" w:lineRule="auto"/>
        <w:jc w:val="both"/>
        <w:rPr>
          <w:rFonts w:asciiTheme="minorHAnsi" w:hAnsiTheme="minorHAnsi" w:cstheme="minorHAnsi"/>
          <w:b/>
          <w:szCs w:val="24"/>
        </w:rPr>
      </w:pPr>
      <w:bookmarkStart w:id="0" w:name="_Hlk173234536"/>
      <w:r w:rsidRPr="001F6338">
        <w:rPr>
          <w:rFonts w:asciiTheme="minorHAnsi" w:hAnsiTheme="minorHAnsi" w:cstheme="minorHAnsi"/>
          <w:b/>
          <w:szCs w:val="24"/>
        </w:rPr>
        <w:t>No se admiten las siguientes observaciones</w:t>
      </w:r>
    </w:p>
    <w:p w14:paraId="0C1DCA38" w14:textId="4BA76571" w:rsidR="009952C4" w:rsidRDefault="001F6338" w:rsidP="009952C4">
      <w:pPr>
        <w:pStyle w:val="Prrafodelista"/>
        <w:numPr>
          <w:ilvl w:val="1"/>
          <w:numId w:val="11"/>
        </w:numPr>
        <w:tabs>
          <w:tab w:val="left" w:pos="284"/>
        </w:tabs>
        <w:spacing w:before="120" w:after="120" w:line="312" w:lineRule="auto"/>
        <w:jc w:val="both"/>
        <w:rPr>
          <w:rFonts w:asciiTheme="minorHAnsi" w:hAnsiTheme="minorHAnsi" w:cstheme="minorHAnsi"/>
          <w:bCs/>
          <w:szCs w:val="24"/>
        </w:rPr>
      </w:pPr>
      <w:r>
        <w:rPr>
          <w:rFonts w:asciiTheme="minorHAnsi" w:hAnsiTheme="minorHAnsi" w:cstheme="minorHAnsi"/>
          <w:bCs/>
          <w:szCs w:val="24"/>
        </w:rPr>
        <w:t xml:space="preserve">La relativa a los contratos adjudicados por administraciones públicas. Indica Ayuda </w:t>
      </w:r>
      <w:r w:rsidR="00B266EC">
        <w:rPr>
          <w:rFonts w:asciiTheme="minorHAnsi" w:hAnsiTheme="minorHAnsi" w:cstheme="minorHAnsi"/>
          <w:bCs/>
          <w:szCs w:val="24"/>
        </w:rPr>
        <w:t>en Acción</w:t>
      </w:r>
      <w:r>
        <w:rPr>
          <w:rFonts w:asciiTheme="minorHAnsi" w:hAnsiTheme="minorHAnsi" w:cstheme="minorHAnsi"/>
          <w:bCs/>
          <w:szCs w:val="24"/>
        </w:rPr>
        <w:t xml:space="preserve"> en sus observaciones que la Fundación no es adjudicataria de contratos públicos. </w:t>
      </w:r>
      <w:r w:rsidR="00B266EC">
        <w:rPr>
          <w:rFonts w:asciiTheme="minorHAnsi" w:hAnsiTheme="minorHAnsi" w:cstheme="minorHAnsi"/>
          <w:bCs/>
          <w:szCs w:val="24"/>
        </w:rPr>
        <w:t>Como se indicó</w:t>
      </w:r>
      <w:r w:rsidR="004F5136">
        <w:rPr>
          <w:rFonts w:asciiTheme="minorHAnsi" w:hAnsiTheme="minorHAnsi" w:cstheme="minorHAnsi"/>
          <w:bCs/>
          <w:szCs w:val="24"/>
        </w:rPr>
        <w:t xml:space="preserve"> tanto en el informe de evaluación 2023 como </w:t>
      </w:r>
      <w:r w:rsidR="00B266EC">
        <w:rPr>
          <w:rFonts w:asciiTheme="minorHAnsi" w:hAnsiTheme="minorHAnsi" w:cstheme="minorHAnsi"/>
          <w:bCs/>
          <w:szCs w:val="24"/>
        </w:rPr>
        <w:t xml:space="preserve">en el informe de valoración de las observaciones remitidas por Ayuda en Acción </w:t>
      </w:r>
      <w:r w:rsidR="006D6D52">
        <w:rPr>
          <w:rFonts w:asciiTheme="minorHAnsi" w:hAnsiTheme="minorHAnsi" w:cstheme="minorHAnsi"/>
          <w:bCs/>
          <w:szCs w:val="24"/>
        </w:rPr>
        <w:t>ese mismo año</w:t>
      </w:r>
      <w:r w:rsidR="00B266EC">
        <w:rPr>
          <w:rFonts w:asciiTheme="minorHAnsi" w:hAnsiTheme="minorHAnsi" w:cstheme="minorHAnsi"/>
          <w:bCs/>
          <w:szCs w:val="24"/>
        </w:rPr>
        <w:t xml:space="preserve">, en el supuesto </w:t>
      </w:r>
      <w:r w:rsidR="004F5136">
        <w:rPr>
          <w:rFonts w:asciiTheme="minorHAnsi" w:hAnsiTheme="minorHAnsi" w:cstheme="minorHAnsi"/>
          <w:bCs/>
          <w:szCs w:val="24"/>
        </w:rPr>
        <w:t xml:space="preserve">de que para una determinada obligación no haya existido actividad, como es el caso, debe informarse expresamente de esta circunstancia. Sólo de esta manera es posible distinguir si la falta de publicación </w:t>
      </w:r>
      <w:r w:rsidR="006D6D52">
        <w:rPr>
          <w:rFonts w:asciiTheme="minorHAnsi" w:hAnsiTheme="minorHAnsi" w:cstheme="minorHAnsi"/>
          <w:bCs/>
          <w:szCs w:val="24"/>
        </w:rPr>
        <w:t>se debe a una omisión de la obligación de publicar o a que no existe información que publicar por no haberse producido actividad en ese ámbito.</w:t>
      </w:r>
    </w:p>
    <w:p w14:paraId="06AD3397" w14:textId="76BD5C24" w:rsidR="00BE7FB3" w:rsidRPr="00BE7FB3" w:rsidRDefault="006D6D52" w:rsidP="00BE7FB3">
      <w:pPr>
        <w:pStyle w:val="Prrafodelista"/>
        <w:numPr>
          <w:ilvl w:val="1"/>
          <w:numId w:val="11"/>
        </w:numPr>
        <w:tabs>
          <w:tab w:val="left" w:pos="284"/>
        </w:tabs>
        <w:spacing w:before="120" w:after="120" w:line="312" w:lineRule="auto"/>
        <w:jc w:val="both"/>
        <w:rPr>
          <w:rFonts w:asciiTheme="minorHAnsi" w:hAnsiTheme="minorHAnsi" w:cstheme="minorHAnsi"/>
          <w:bCs/>
          <w:szCs w:val="24"/>
        </w:rPr>
      </w:pPr>
      <w:r>
        <w:rPr>
          <w:rFonts w:asciiTheme="minorHAnsi" w:hAnsiTheme="minorHAnsi" w:cstheme="minorHAnsi"/>
          <w:bCs/>
          <w:szCs w:val="24"/>
        </w:rPr>
        <w:t xml:space="preserve">La relativa a la publicación de las retribuciones de los máximos responsables en las cuentas anuales. </w:t>
      </w:r>
      <w:r w:rsidR="00BE7FB3">
        <w:rPr>
          <w:rFonts w:asciiTheme="minorHAnsi" w:hAnsiTheme="minorHAnsi" w:cstheme="minorHAnsi"/>
          <w:bCs/>
          <w:szCs w:val="24"/>
        </w:rPr>
        <w:t>E</w:t>
      </w:r>
      <w:r w:rsidR="00BE7FB3" w:rsidRPr="00BE7FB3">
        <w:rPr>
          <w:rFonts w:asciiTheme="minorHAnsi" w:hAnsiTheme="minorHAnsi" w:cstheme="minorHAnsi"/>
          <w:bCs/>
          <w:szCs w:val="24"/>
        </w:rPr>
        <w:t>ste CTBG recuerda que, de la misma manera que la LTAIBG distingue y enumera todas y cada una de las obligaciones de publicidad activa, la publicación de las informaciones relativas a estas obligaciones debe realizarse manera individualizada.</w:t>
      </w:r>
    </w:p>
    <w:p w14:paraId="6FEB6E46" w14:textId="5158BB36" w:rsidR="006D6D52" w:rsidRDefault="00BE7FB3" w:rsidP="00BE7FB3">
      <w:pPr>
        <w:pStyle w:val="Prrafodelista"/>
        <w:tabs>
          <w:tab w:val="left" w:pos="284"/>
        </w:tabs>
        <w:spacing w:before="120" w:after="120" w:line="312" w:lineRule="auto"/>
        <w:ind w:left="1440"/>
        <w:jc w:val="both"/>
        <w:rPr>
          <w:rFonts w:asciiTheme="minorHAnsi" w:hAnsiTheme="minorHAnsi" w:cstheme="minorHAnsi"/>
          <w:bCs/>
          <w:szCs w:val="24"/>
        </w:rPr>
      </w:pPr>
      <w:r w:rsidRPr="00BE7FB3">
        <w:rPr>
          <w:rFonts w:asciiTheme="minorHAnsi" w:hAnsiTheme="minorHAnsi" w:cstheme="minorHAnsi"/>
          <w:bCs/>
          <w:szCs w:val="24"/>
        </w:rPr>
        <w:t xml:space="preserve">Además, la publicación de diferentes informaciones de naturaleza económica por remisión a las cuentas anuales presenta serios inconvenientes. El primer problema que plantea esta forma de publicar la información, es la dificultad de comprensión que documentos como las cuentas anuales, pueden tener para personas no especializadas. A ello se añade una segunda dificultad, que es la localización de una información obligatoria concreta en un documento tan amplio y prolijo como las cuentas anuales. Este Consejo </w:t>
      </w:r>
      <w:r w:rsidRPr="00BE7FB3">
        <w:rPr>
          <w:rFonts w:asciiTheme="minorHAnsi" w:hAnsiTheme="minorHAnsi" w:cstheme="minorHAnsi"/>
          <w:bCs/>
          <w:szCs w:val="24"/>
        </w:rPr>
        <w:lastRenderedPageBreak/>
        <w:t xml:space="preserve">recuerda que la claridad y la accesibilidad, son dos atributos relativos a la calidad en la publicación de la información obligatoria, que establece la LTAIBG en su artículo 5.4.  </w:t>
      </w:r>
    </w:p>
    <w:p w14:paraId="5412F3F0" w14:textId="77777777" w:rsidR="00514FB9" w:rsidRDefault="00514FB9" w:rsidP="00BE7FB3">
      <w:pPr>
        <w:pStyle w:val="Prrafodelista"/>
        <w:tabs>
          <w:tab w:val="left" w:pos="284"/>
        </w:tabs>
        <w:spacing w:before="120" w:after="120" w:line="312" w:lineRule="auto"/>
        <w:ind w:left="1440"/>
        <w:jc w:val="both"/>
        <w:rPr>
          <w:rFonts w:asciiTheme="minorHAnsi" w:hAnsiTheme="minorHAnsi" w:cstheme="minorHAnsi"/>
          <w:bCs/>
          <w:szCs w:val="24"/>
        </w:rPr>
      </w:pPr>
    </w:p>
    <w:p w14:paraId="1FB294A8" w14:textId="0FD77AAF" w:rsidR="000A7C47" w:rsidRPr="00173960" w:rsidRDefault="00743C99" w:rsidP="00070950">
      <w:pPr>
        <w:pStyle w:val="Prrafodelista"/>
        <w:numPr>
          <w:ilvl w:val="0"/>
          <w:numId w:val="11"/>
        </w:numPr>
        <w:tabs>
          <w:tab w:val="left" w:pos="284"/>
        </w:tabs>
        <w:spacing w:before="120" w:after="120" w:line="312" w:lineRule="auto"/>
        <w:jc w:val="both"/>
        <w:rPr>
          <w:rFonts w:asciiTheme="minorHAnsi" w:hAnsiTheme="minorHAnsi" w:cstheme="minorHAnsi"/>
          <w:bCs/>
          <w:szCs w:val="24"/>
        </w:rPr>
      </w:pPr>
      <w:r>
        <w:rPr>
          <w:rFonts w:asciiTheme="minorHAnsi" w:hAnsiTheme="minorHAnsi" w:cstheme="minorHAnsi"/>
          <w:bCs/>
          <w:szCs w:val="24"/>
        </w:rPr>
        <w:t xml:space="preserve">En relación con las recomendaciones aplicadas durante el periodo de observaciones, este Consejo mantiene el criterio de no modificar los Índices de Cumplimiento cuando se da esta </w:t>
      </w:r>
      <w:r w:rsidR="00C702C2">
        <w:rPr>
          <w:rFonts w:asciiTheme="minorHAnsi" w:hAnsiTheme="minorHAnsi" w:cstheme="minorHAnsi"/>
          <w:bCs/>
          <w:szCs w:val="24"/>
        </w:rPr>
        <w:t>circunstancia</w:t>
      </w:r>
      <w:r>
        <w:rPr>
          <w:rFonts w:asciiTheme="minorHAnsi" w:hAnsiTheme="minorHAnsi" w:cstheme="minorHAnsi"/>
          <w:bCs/>
          <w:szCs w:val="24"/>
        </w:rPr>
        <w:t xml:space="preserve">. En primer lugar, porque el alcance temporal de la </w:t>
      </w:r>
      <w:r w:rsidR="00C702C2">
        <w:rPr>
          <w:rFonts w:asciiTheme="minorHAnsi" w:hAnsiTheme="minorHAnsi" w:cstheme="minorHAnsi"/>
          <w:bCs/>
          <w:szCs w:val="24"/>
        </w:rPr>
        <w:t>evolución</w:t>
      </w:r>
      <w:r>
        <w:rPr>
          <w:rFonts w:asciiTheme="minorHAnsi" w:hAnsiTheme="minorHAnsi" w:cstheme="minorHAnsi"/>
          <w:bCs/>
          <w:szCs w:val="24"/>
        </w:rPr>
        <w:t xml:space="preserve"> finaliza el día que se envían los informes provisionales para observaciones</w:t>
      </w:r>
      <w:r w:rsidR="00D2204E">
        <w:rPr>
          <w:rFonts w:asciiTheme="minorHAnsi" w:hAnsiTheme="minorHAnsi" w:cstheme="minorHAnsi"/>
          <w:bCs/>
          <w:szCs w:val="24"/>
        </w:rPr>
        <w:t xml:space="preserve">. No delimitar este alcance implicaría mantener permanentemente abiertos los procesos de evaluación. </w:t>
      </w:r>
      <w:r w:rsidR="00514FB9">
        <w:rPr>
          <w:rFonts w:asciiTheme="minorHAnsi" w:hAnsiTheme="minorHAnsi" w:cstheme="minorHAnsi"/>
          <w:bCs/>
          <w:szCs w:val="24"/>
        </w:rPr>
        <w:t>Y,</w:t>
      </w:r>
      <w:r w:rsidR="00D2204E">
        <w:rPr>
          <w:rFonts w:asciiTheme="minorHAnsi" w:hAnsiTheme="minorHAnsi" w:cstheme="minorHAnsi"/>
          <w:bCs/>
          <w:szCs w:val="24"/>
        </w:rPr>
        <w:t xml:space="preserve"> en segundo término, porque mantener la </w:t>
      </w:r>
      <w:r w:rsidR="00EB16C5">
        <w:rPr>
          <w:rFonts w:asciiTheme="minorHAnsi" w:hAnsiTheme="minorHAnsi" w:cstheme="minorHAnsi"/>
          <w:bCs/>
          <w:szCs w:val="24"/>
        </w:rPr>
        <w:t>posición</w:t>
      </w:r>
      <w:r w:rsidR="00D2204E">
        <w:rPr>
          <w:rFonts w:asciiTheme="minorHAnsi" w:hAnsiTheme="minorHAnsi" w:cstheme="minorHAnsi"/>
          <w:bCs/>
          <w:szCs w:val="24"/>
        </w:rPr>
        <w:t xml:space="preserve"> </w:t>
      </w:r>
      <w:r w:rsidR="00EB16C5">
        <w:rPr>
          <w:rFonts w:asciiTheme="minorHAnsi" w:hAnsiTheme="minorHAnsi" w:cstheme="minorHAnsi"/>
          <w:bCs/>
          <w:szCs w:val="24"/>
        </w:rPr>
        <w:t>contraria</w:t>
      </w:r>
      <w:r w:rsidR="00D2204E">
        <w:rPr>
          <w:rFonts w:asciiTheme="minorHAnsi" w:hAnsiTheme="minorHAnsi" w:cstheme="minorHAnsi"/>
          <w:bCs/>
          <w:szCs w:val="24"/>
        </w:rPr>
        <w:t xml:space="preserve"> – </w:t>
      </w:r>
      <w:r w:rsidR="00EB16C5">
        <w:rPr>
          <w:rFonts w:asciiTheme="minorHAnsi" w:hAnsiTheme="minorHAnsi" w:cstheme="minorHAnsi"/>
          <w:bCs/>
          <w:szCs w:val="24"/>
        </w:rPr>
        <w:t>recalcular</w:t>
      </w:r>
      <w:r w:rsidR="00D2204E">
        <w:rPr>
          <w:rFonts w:asciiTheme="minorHAnsi" w:hAnsiTheme="minorHAnsi" w:cstheme="minorHAnsi"/>
          <w:bCs/>
          <w:szCs w:val="24"/>
        </w:rPr>
        <w:t xml:space="preserve"> los índices de cumplimiento a la vista de las recomendaciones aplicadas durante esta fase – implicaría favorecer a aquellas organizaciones con mayor capacidad tecnológica frente a aquellas </w:t>
      </w:r>
      <w:r w:rsidR="00EB16C5">
        <w:rPr>
          <w:rFonts w:asciiTheme="minorHAnsi" w:hAnsiTheme="minorHAnsi" w:cstheme="minorHAnsi"/>
          <w:bCs/>
          <w:szCs w:val="24"/>
        </w:rPr>
        <w:t>otras</w:t>
      </w:r>
      <w:r w:rsidR="00D2204E">
        <w:rPr>
          <w:rFonts w:asciiTheme="minorHAnsi" w:hAnsiTheme="minorHAnsi" w:cstheme="minorHAnsi"/>
          <w:bCs/>
          <w:szCs w:val="24"/>
        </w:rPr>
        <w:t xml:space="preserve"> que no la tienen.</w:t>
      </w:r>
      <w:r w:rsidR="000A7C47">
        <w:rPr>
          <w:rFonts w:asciiTheme="minorHAnsi" w:hAnsiTheme="minorHAnsi" w:cstheme="minorHAnsi"/>
          <w:bCs/>
          <w:szCs w:val="24"/>
        </w:rPr>
        <w:t xml:space="preserve"> </w:t>
      </w:r>
    </w:p>
    <w:bookmarkEnd w:id="0"/>
    <w:p w14:paraId="14EC4196" w14:textId="77777777" w:rsidR="0049491F" w:rsidRDefault="0049491F" w:rsidP="0049491F">
      <w:pPr>
        <w:pStyle w:val="Prrafodelista"/>
        <w:tabs>
          <w:tab w:val="left" w:pos="284"/>
        </w:tabs>
        <w:spacing w:before="120" w:after="120" w:line="312" w:lineRule="auto"/>
        <w:ind w:left="1440"/>
        <w:jc w:val="both"/>
        <w:rPr>
          <w:rFonts w:asciiTheme="minorHAnsi" w:hAnsiTheme="minorHAnsi" w:cstheme="minorHAnsi"/>
          <w:szCs w:val="24"/>
        </w:rPr>
      </w:pPr>
    </w:p>
    <w:p w14:paraId="049EF239" w14:textId="0D7017F0" w:rsidR="006F5AFB" w:rsidRPr="00FA580C" w:rsidRDefault="006F5AFB" w:rsidP="006F5AFB">
      <w:pPr>
        <w:pStyle w:val="Prrafodelista"/>
        <w:numPr>
          <w:ilvl w:val="0"/>
          <w:numId w:val="17"/>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Tras </w:t>
      </w:r>
      <w:r w:rsidR="00D91A37">
        <w:rPr>
          <w:rFonts w:asciiTheme="minorHAnsi" w:hAnsiTheme="minorHAnsi" w:cstheme="minorHAnsi"/>
          <w:szCs w:val="24"/>
        </w:rPr>
        <w:t>la</w:t>
      </w:r>
      <w:r>
        <w:rPr>
          <w:rFonts w:asciiTheme="minorHAnsi" w:hAnsiTheme="minorHAnsi" w:cstheme="minorHAnsi"/>
          <w:szCs w:val="24"/>
        </w:rPr>
        <w:t xml:space="preserve"> revisión</w:t>
      </w:r>
      <w:r w:rsidR="00D91A37">
        <w:rPr>
          <w:rFonts w:asciiTheme="minorHAnsi" w:hAnsiTheme="minorHAnsi" w:cstheme="minorHAnsi"/>
          <w:szCs w:val="24"/>
        </w:rPr>
        <w:t xml:space="preserve"> efectuada</w:t>
      </w:r>
      <w:r w:rsidR="00AF587E">
        <w:rPr>
          <w:rFonts w:asciiTheme="minorHAnsi" w:hAnsiTheme="minorHAnsi" w:cstheme="minorHAnsi"/>
          <w:szCs w:val="24"/>
        </w:rPr>
        <w:t>,</w:t>
      </w:r>
      <w:r>
        <w:rPr>
          <w:rFonts w:asciiTheme="minorHAnsi" w:hAnsiTheme="minorHAnsi" w:cstheme="minorHAnsi"/>
          <w:szCs w:val="24"/>
        </w:rPr>
        <w:t xml:space="preserve"> el Índice de Cumplimiento obtenido por </w:t>
      </w:r>
      <w:r w:rsidR="00AF587E">
        <w:rPr>
          <w:rFonts w:asciiTheme="minorHAnsi" w:hAnsiTheme="minorHAnsi" w:cstheme="minorHAnsi"/>
          <w:szCs w:val="24"/>
        </w:rPr>
        <w:t xml:space="preserve">la </w:t>
      </w:r>
      <w:r w:rsidR="00514FB9">
        <w:rPr>
          <w:rFonts w:asciiTheme="minorHAnsi" w:hAnsiTheme="minorHAnsi" w:cstheme="minorHAnsi"/>
          <w:szCs w:val="24"/>
        </w:rPr>
        <w:t>Fundación Ayuda en Acción</w:t>
      </w:r>
      <w:r>
        <w:rPr>
          <w:rFonts w:asciiTheme="minorHAnsi" w:hAnsiTheme="minorHAnsi" w:cstheme="minorHAnsi"/>
          <w:szCs w:val="24"/>
        </w:rPr>
        <w:t xml:space="preserve"> se sitúa en el </w:t>
      </w:r>
      <w:r w:rsidR="00514FB9">
        <w:rPr>
          <w:rFonts w:asciiTheme="minorHAnsi" w:hAnsiTheme="minorHAnsi" w:cstheme="minorHAnsi"/>
          <w:szCs w:val="24"/>
        </w:rPr>
        <w:t>69,6</w:t>
      </w:r>
      <w:r>
        <w:rPr>
          <w:rFonts w:asciiTheme="minorHAnsi" w:hAnsiTheme="minorHAnsi" w:cstheme="minorHAnsi"/>
          <w:szCs w:val="24"/>
        </w:rPr>
        <w:t>%.</w:t>
      </w:r>
    </w:p>
    <w:p w14:paraId="7CA8D920" w14:textId="77777777" w:rsidR="007704A4" w:rsidRDefault="007704A4" w:rsidP="007704A4">
      <w:pPr>
        <w:pStyle w:val="Prrafodelista"/>
        <w:tabs>
          <w:tab w:val="left" w:pos="284"/>
        </w:tabs>
        <w:spacing w:before="120" w:after="120" w:line="312" w:lineRule="auto"/>
        <w:jc w:val="both"/>
        <w:rPr>
          <w:rFonts w:asciiTheme="minorHAnsi" w:hAnsiTheme="minorHAnsi" w:cstheme="minorHAnsi"/>
          <w:szCs w:val="24"/>
        </w:rPr>
      </w:pPr>
    </w:p>
    <w:p w14:paraId="5B401E42" w14:textId="1000C29B"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563008">
        <w:rPr>
          <w:rFonts w:asciiTheme="minorHAnsi" w:hAnsiTheme="minorHAnsi" w:cstheme="minorHAnsi"/>
          <w:szCs w:val="24"/>
        </w:rPr>
        <w:t>julio</w:t>
      </w:r>
      <w:r w:rsidRPr="002C000A">
        <w:rPr>
          <w:rFonts w:asciiTheme="minorHAnsi" w:hAnsiTheme="minorHAnsi" w:cstheme="minorHAnsi"/>
          <w:szCs w:val="24"/>
        </w:rPr>
        <w:t xml:space="preserve"> de 202</w:t>
      </w:r>
      <w:r w:rsidR="001C701F">
        <w:rPr>
          <w:rFonts w:asciiTheme="minorHAnsi" w:hAnsiTheme="minorHAnsi" w:cstheme="minorHAnsi"/>
          <w:szCs w:val="24"/>
        </w:rPr>
        <w:t>4</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0" type="#_x0000_t75" style="width:11.25pt;height:11.25pt" o:bullet="t">
        <v:imagedata r:id="rId1" o:title="BD14529_"/>
      </v:shape>
    </w:pict>
  </w:numPicBullet>
  <w:numPicBullet w:numPicBulletId="1">
    <w:pict>
      <v:shape id="_x0000_i1891"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1380"/>
    <w:rsid w:val="000234B9"/>
    <w:rsid w:val="00033E75"/>
    <w:rsid w:val="00034F48"/>
    <w:rsid w:val="00036A5D"/>
    <w:rsid w:val="0005249D"/>
    <w:rsid w:val="00070294"/>
    <w:rsid w:val="00070950"/>
    <w:rsid w:val="00073E04"/>
    <w:rsid w:val="00074030"/>
    <w:rsid w:val="000A7C47"/>
    <w:rsid w:val="000B3139"/>
    <w:rsid w:val="000D4422"/>
    <w:rsid w:val="000E409B"/>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1F6338"/>
    <w:rsid w:val="00235A40"/>
    <w:rsid w:val="00251194"/>
    <w:rsid w:val="002569C2"/>
    <w:rsid w:val="00292806"/>
    <w:rsid w:val="002A4771"/>
    <w:rsid w:val="002A7933"/>
    <w:rsid w:val="002C000A"/>
    <w:rsid w:val="002F5D0B"/>
    <w:rsid w:val="003245B8"/>
    <w:rsid w:val="003259B9"/>
    <w:rsid w:val="00344FE7"/>
    <w:rsid w:val="00351475"/>
    <w:rsid w:val="003656B1"/>
    <w:rsid w:val="00366779"/>
    <w:rsid w:val="003B5DE7"/>
    <w:rsid w:val="003D2C6C"/>
    <w:rsid w:val="003D52DF"/>
    <w:rsid w:val="003F0972"/>
    <w:rsid w:val="003F38BD"/>
    <w:rsid w:val="004108BB"/>
    <w:rsid w:val="004124E7"/>
    <w:rsid w:val="0045134F"/>
    <w:rsid w:val="00466973"/>
    <w:rsid w:val="00470F02"/>
    <w:rsid w:val="0049491F"/>
    <w:rsid w:val="004B15B8"/>
    <w:rsid w:val="004D4EF1"/>
    <w:rsid w:val="004F5136"/>
    <w:rsid w:val="00514FB9"/>
    <w:rsid w:val="00525FCA"/>
    <w:rsid w:val="0055202A"/>
    <w:rsid w:val="00563008"/>
    <w:rsid w:val="00565608"/>
    <w:rsid w:val="005B1C12"/>
    <w:rsid w:val="005F0570"/>
    <w:rsid w:val="005F4305"/>
    <w:rsid w:val="00614890"/>
    <w:rsid w:val="00620AB5"/>
    <w:rsid w:val="00636FF6"/>
    <w:rsid w:val="006615ED"/>
    <w:rsid w:val="006D6D52"/>
    <w:rsid w:val="006F17B5"/>
    <w:rsid w:val="006F5890"/>
    <w:rsid w:val="006F5AFB"/>
    <w:rsid w:val="0071472F"/>
    <w:rsid w:val="007342F2"/>
    <w:rsid w:val="00743C99"/>
    <w:rsid w:val="00745E83"/>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10EC2"/>
    <w:rsid w:val="00950524"/>
    <w:rsid w:val="009557B1"/>
    <w:rsid w:val="009952C4"/>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66EC"/>
    <w:rsid w:val="00B2797F"/>
    <w:rsid w:val="00B31F84"/>
    <w:rsid w:val="00B35A53"/>
    <w:rsid w:val="00B4112D"/>
    <w:rsid w:val="00B81EE6"/>
    <w:rsid w:val="00BC7A82"/>
    <w:rsid w:val="00BE33B9"/>
    <w:rsid w:val="00BE5B82"/>
    <w:rsid w:val="00BE7FB3"/>
    <w:rsid w:val="00C01613"/>
    <w:rsid w:val="00C0201F"/>
    <w:rsid w:val="00C119CE"/>
    <w:rsid w:val="00C13C51"/>
    <w:rsid w:val="00C23F36"/>
    <w:rsid w:val="00C25FA5"/>
    <w:rsid w:val="00C305B6"/>
    <w:rsid w:val="00C3135F"/>
    <w:rsid w:val="00C702C2"/>
    <w:rsid w:val="00C736B9"/>
    <w:rsid w:val="00C82AB2"/>
    <w:rsid w:val="00C87BC3"/>
    <w:rsid w:val="00CB4447"/>
    <w:rsid w:val="00CD334A"/>
    <w:rsid w:val="00CF0704"/>
    <w:rsid w:val="00D13833"/>
    <w:rsid w:val="00D2204E"/>
    <w:rsid w:val="00D23111"/>
    <w:rsid w:val="00D445A4"/>
    <w:rsid w:val="00D44E9D"/>
    <w:rsid w:val="00D55DED"/>
    <w:rsid w:val="00D72EF9"/>
    <w:rsid w:val="00D76BB6"/>
    <w:rsid w:val="00D847B0"/>
    <w:rsid w:val="00D91A37"/>
    <w:rsid w:val="00DA126F"/>
    <w:rsid w:val="00DB21EC"/>
    <w:rsid w:val="00DB2CB4"/>
    <w:rsid w:val="00DB2CCC"/>
    <w:rsid w:val="00DD07B5"/>
    <w:rsid w:val="00DD49EF"/>
    <w:rsid w:val="00DF5982"/>
    <w:rsid w:val="00E03C82"/>
    <w:rsid w:val="00E35741"/>
    <w:rsid w:val="00E4386D"/>
    <w:rsid w:val="00E475B6"/>
    <w:rsid w:val="00E5135F"/>
    <w:rsid w:val="00E64F85"/>
    <w:rsid w:val="00EA5D68"/>
    <w:rsid w:val="00EB16C5"/>
    <w:rsid w:val="00EB7058"/>
    <w:rsid w:val="00EB79A4"/>
    <w:rsid w:val="00EC3AAE"/>
    <w:rsid w:val="00ED6FD3"/>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2024-07-30T11:11:00Z</dcterms:created>
  <dcterms:modified xsi:type="dcterms:W3CDTF">2024-07-30T11:11:00Z</dcterms:modified>
</cp:coreProperties>
</file>