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12E9" w14:textId="3AC7C0CD" w:rsidR="006F17B5" w:rsidRPr="00406F06" w:rsidRDefault="006F17B5" w:rsidP="001B16D9">
      <w:pPr>
        <w:pStyle w:val="Ttulo1"/>
        <w:jc w:val="both"/>
        <w:rPr>
          <w:rFonts w:ascii="Mulish" w:hAnsi="Mulish"/>
          <w:color w:val="079386"/>
        </w:rPr>
      </w:pPr>
      <w:r w:rsidRPr="00406F06">
        <w:rPr>
          <w:rFonts w:ascii="Mulish" w:hAnsi="Mulish"/>
          <w:color w:val="079386"/>
        </w:rPr>
        <w:t xml:space="preserve">INFORME RELATIVO A LAS OBSERVACIONES REMITIDAS POR </w:t>
      </w:r>
      <w:r w:rsidR="000B704A">
        <w:rPr>
          <w:rFonts w:ascii="Mulish" w:hAnsi="Mulish"/>
          <w:color w:val="079386"/>
        </w:rPr>
        <w:t>LA FUNDACIÓN JAVIER MATÍA</w:t>
      </w:r>
      <w:r w:rsidR="00897210">
        <w:rPr>
          <w:rFonts w:ascii="Mulish" w:hAnsi="Mulish"/>
          <w:color w:val="079386"/>
        </w:rPr>
        <w:t xml:space="preserve"> CALVO</w:t>
      </w:r>
      <w:r w:rsidR="004D148D">
        <w:rPr>
          <w:rFonts w:ascii="Mulish" w:hAnsi="Mulish"/>
          <w:color w:val="079386"/>
        </w:rPr>
        <w:t xml:space="preserve"> </w:t>
      </w:r>
      <w:r w:rsidRPr="00406F06">
        <w:rPr>
          <w:rFonts w:ascii="Mulish" w:hAnsi="Mulish"/>
          <w:color w:val="079386"/>
        </w:rPr>
        <w:t>EN RELACIÓN CON EL INFORME DEL CTBG SOBRE CUMPLIMIENTO DE LAS OBLIGACIONES DE PUBLICIDAD ACTIVA ESTABLECIDAS POR LA LTAIBG</w:t>
      </w:r>
    </w:p>
    <w:p w14:paraId="093557A1" w14:textId="77777777" w:rsidR="006F17B5" w:rsidRPr="00406F06" w:rsidRDefault="006F17B5" w:rsidP="006F17B5">
      <w:pPr>
        <w:jc w:val="center"/>
        <w:rPr>
          <w:rFonts w:ascii="Mulish" w:hAnsi="Mulish" w:cstheme="minorHAnsi"/>
          <w:szCs w:val="24"/>
        </w:rPr>
      </w:pPr>
    </w:p>
    <w:p w14:paraId="5E6F6CF0" w14:textId="38E62225" w:rsidR="00D23111" w:rsidRPr="00406F06" w:rsidRDefault="00D23111" w:rsidP="009E16B5">
      <w:pPr>
        <w:tabs>
          <w:tab w:val="left" w:pos="284"/>
        </w:tabs>
        <w:spacing w:before="120" w:after="120" w:line="312" w:lineRule="auto"/>
        <w:contextualSpacing/>
        <w:jc w:val="both"/>
        <w:rPr>
          <w:rFonts w:ascii="Mulish" w:hAnsi="Mulish" w:cstheme="minorHAnsi"/>
          <w:szCs w:val="24"/>
        </w:rPr>
      </w:pPr>
      <w:r w:rsidRPr="00406F06">
        <w:rPr>
          <w:rFonts w:ascii="Mulish" w:hAnsi="Mulish" w:cstheme="minorHAnsi"/>
          <w:szCs w:val="24"/>
        </w:rPr>
        <w:t>En contestación a su</w:t>
      </w:r>
      <w:r w:rsidR="00C25FA5" w:rsidRPr="00406F06">
        <w:rPr>
          <w:rFonts w:ascii="Mulish" w:hAnsi="Mulish" w:cstheme="minorHAnsi"/>
          <w:szCs w:val="24"/>
        </w:rPr>
        <w:t xml:space="preserve"> </w:t>
      </w:r>
      <w:r w:rsidR="00C506D3" w:rsidRPr="00406F06">
        <w:rPr>
          <w:rFonts w:ascii="Mulish" w:hAnsi="Mulish" w:cstheme="minorHAnsi"/>
          <w:szCs w:val="24"/>
        </w:rPr>
        <w:t>escrito</w:t>
      </w:r>
      <w:r w:rsidR="00190952" w:rsidRPr="00406F06">
        <w:rPr>
          <w:rFonts w:ascii="Mulish" w:hAnsi="Mulish" w:cstheme="minorHAnsi"/>
          <w:szCs w:val="24"/>
        </w:rPr>
        <w:t xml:space="preserve"> </w:t>
      </w:r>
      <w:r w:rsidR="00565608" w:rsidRPr="00406F06">
        <w:rPr>
          <w:rFonts w:ascii="Mulish" w:hAnsi="Mulish" w:cstheme="minorHAnsi"/>
          <w:szCs w:val="24"/>
        </w:rPr>
        <w:t xml:space="preserve">de fecha </w:t>
      </w:r>
      <w:r w:rsidR="00406F06">
        <w:rPr>
          <w:rFonts w:ascii="Mulish" w:hAnsi="Mulish" w:cstheme="minorHAnsi"/>
          <w:szCs w:val="24"/>
        </w:rPr>
        <w:t>2</w:t>
      </w:r>
      <w:r w:rsidR="004D148D">
        <w:rPr>
          <w:rFonts w:ascii="Mulish" w:hAnsi="Mulish" w:cstheme="minorHAnsi"/>
          <w:szCs w:val="24"/>
        </w:rPr>
        <w:t>4</w:t>
      </w:r>
      <w:r w:rsidRPr="00406F06">
        <w:rPr>
          <w:rFonts w:ascii="Mulish" w:hAnsi="Mulish" w:cstheme="minorHAnsi"/>
          <w:szCs w:val="24"/>
        </w:rPr>
        <w:t xml:space="preserve"> de </w:t>
      </w:r>
      <w:r w:rsidR="00FA580C" w:rsidRPr="00406F06">
        <w:rPr>
          <w:rFonts w:ascii="Mulish" w:hAnsi="Mulish" w:cstheme="minorHAnsi"/>
          <w:szCs w:val="24"/>
        </w:rPr>
        <w:t>abril</w:t>
      </w:r>
      <w:r w:rsidRPr="00406F06">
        <w:rPr>
          <w:rFonts w:ascii="Mulish" w:hAnsi="Mulish" w:cstheme="minorHAnsi"/>
          <w:szCs w:val="24"/>
        </w:rPr>
        <w:t xml:space="preserve"> de 202</w:t>
      </w:r>
      <w:r w:rsidR="00FA580C" w:rsidRPr="00406F06">
        <w:rPr>
          <w:rFonts w:ascii="Mulish" w:hAnsi="Mulish" w:cstheme="minorHAnsi"/>
          <w:szCs w:val="24"/>
        </w:rPr>
        <w:t>4</w:t>
      </w:r>
      <w:r w:rsidR="00C119CE" w:rsidRPr="00406F06">
        <w:rPr>
          <w:rFonts w:ascii="Mulish" w:hAnsi="Mulish" w:cstheme="minorHAnsi"/>
          <w:szCs w:val="24"/>
        </w:rPr>
        <w:t>,</w:t>
      </w:r>
      <w:r w:rsidR="005B1C12" w:rsidRPr="00406F06">
        <w:rPr>
          <w:rFonts w:ascii="Mulish" w:hAnsi="Mulish" w:cstheme="minorHAnsi"/>
          <w:szCs w:val="24"/>
        </w:rPr>
        <w:t xml:space="preserve"> </w:t>
      </w:r>
      <w:r w:rsidRPr="00406F06">
        <w:rPr>
          <w:rFonts w:ascii="Mulish" w:hAnsi="Mulish" w:cstheme="minorHAnsi"/>
          <w:szCs w:val="24"/>
        </w:rPr>
        <w:t xml:space="preserve">una vez analizadas </w:t>
      </w:r>
      <w:r w:rsidR="00C119CE" w:rsidRPr="00406F06">
        <w:rPr>
          <w:rFonts w:ascii="Mulish" w:hAnsi="Mulish" w:cstheme="minorHAnsi"/>
          <w:szCs w:val="24"/>
        </w:rPr>
        <w:t xml:space="preserve">todas </w:t>
      </w:r>
      <w:r w:rsidRPr="00406F06">
        <w:rPr>
          <w:rFonts w:ascii="Mulish" w:hAnsi="Mulish" w:cstheme="minorHAnsi"/>
          <w:szCs w:val="24"/>
        </w:rPr>
        <w:t xml:space="preserve">las observaciones realizadas al borrador de informe de evaluación </w:t>
      </w:r>
      <w:r w:rsidR="00B81EE6" w:rsidRPr="00406F06">
        <w:rPr>
          <w:rFonts w:ascii="Mulish" w:hAnsi="Mulish" w:cstheme="minorHAnsi"/>
          <w:szCs w:val="24"/>
        </w:rPr>
        <w:t xml:space="preserve">relativo al </w:t>
      </w:r>
      <w:r w:rsidRPr="00406F06">
        <w:rPr>
          <w:rFonts w:ascii="Mulish" w:hAnsi="Mulish" w:cstheme="minorHAnsi"/>
          <w:szCs w:val="24"/>
        </w:rPr>
        <w:t xml:space="preserve">cumplimiento de las obligaciones de publicidad activa por parte de esa </w:t>
      </w:r>
      <w:r w:rsidR="00855ECA" w:rsidRPr="00406F06">
        <w:rPr>
          <w:rFonts w:ascii="Mulish" w:hAnsi="Mulish" w:cstheme="minorHAnsi"/>
          <w:szCs w:val="24"/>
        </w:rPr>
        <w:t>Institución</w:t>
      </w:r>
      <w:r w:rsidRPr="00406F06">
        <w:rPr>
          <w:rFonts w:ascii="Mulish" w:hAnsi="Mulish" w:cstheme="minorHAnsi"/>
          <w:szCs w:val="24"/>
        </w:rPr>
        <w:t>, este CTBG efectúa las siguientes consideraciones:</w:t>
      </w:r>
    </w:p>
    <w:p w14:paraId="73B32EE4" w14:textId="77777777" w:rsidR="00855ECA" w:rsidRPr="00406F06" w:rsidRDefault="00855ECA" w:rsidP="009E16B5">
      <w:pPr>
        <w:tabs>
          <w:tab w:val="left" w:pos="284"/>
        </w:tabs>
        <w:spacing w:before="120" w:after="120" w:line="312" w:lineRule="auto"/>
        <w:contextualSpacing/>
        <w:jc w:val="both"/>
        <w:rPr>
          <w:rFonts w:ascii="Mulish" w:hAnsi="Mulish" w:cstheme="minorHAnsi"/>
          <w:szCs w:val="24"/>
        </w:rPr>
      </w:pPr>
    </w:p>
    <w:p w14:paraId="1A7242C0" w14:textId="00DE0BE6" w:rsidR="00406F06" w:rsidRDefault="00406F06" w:rsidP="00D847B0">
      <w:pPr>
        <w:pStyle w:val="Prrafodelista"/>
        <w:numPr>
          <w:ilvl w:val="0"/>
          <w:numId w:val="11"/>
        </w:numPr>
        <w:tabs>
          <w:tab w:val="left" w:pos="284"/>
        </w:tabs>
        <w:spacing w:before="120" w:after="120" w:line="312" w:lineRule="auto"/>
        <w:jc w:val="both"/>
        <w:rPr>
          <w:rFonts w:ascii="Mulish" w:hAnsi="Mulish" w:cstheme="minorHAnsi"/>
          <w:b/>
          <w:szCs w:val="24"/>
        </w:rPr>
      </w:pPr>
      <w:r>
        <w:rPr>
          <w:rFonts w:ascii="Mulish" w:hAnsi="Mulish" w:cstheme="minorHAnsi"/>
          <w:b/>
          <w:szCs w:val="24"/>
        </w:rPr>
        <w:t>Se aceptan las siguientes observaciones:</w:t>
      </w:r>
    </w:p>
    <w:p w14:paraId="2F2CA4CD" w14:textId="2BE4E67A" w:rsidR="00661ECA" w:rsidRDefault="00897210" w:rsidP="00406F06">
      <w:pPr>
        <w:pStyle w:val="Prrafodelista"/>
        <w:numPr>
          <w:ilvl w:val="1"/>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 xml:space="preserve">La relativa a la publicación de la </w:t>
      </w:r>
      <w:r w:rsidR="00D44D27">
        <w:rPr>
          <w:rFonts w:ascii="Mulish" w:hAnsi="Mulish" w:cstheme="minorHAnsi"/>
          <w:bCs/>
          <w:szCs w:val="24"/>
        </w:rPr>
        <w:t>información sobre retribuciones de los máximos responsables.</w:t>
      </w:r>
    </w:p>
    <w:p w14:paraId="076A97BD" w14:textId="5DF1CF91" w:rsidR="00D44D27" w:rsidRDefault="00D44D27" w:rsidP="00406F06">
      <w:pPr>
        <w:pStyle w:val="Prrafodelista"/>
        <w:numPr>
          <w:ilvl w:val="1"/>
          <w:numId w:val="11"/>
        </w:numPr>
        <w:tabs>
          <w:tab w:val="left" w:pos="284"/>
        </w:tabs>
        <w:spacing w:before="120" w:after="120" w:line="312" w:lineRule="auto"/>
        <w:jc w:val="both"/>
        <w:rPr>
          <w:rFonts w:ascii="Mulish" w:hAnsi="Mulish" w:cstheme="minorHAnsi"/>
          <w:bCs/>
          <w:szCs w:val="24"/>
        </w:rPr>
      </w:pPr>
      <w:r>
        <w:rPr>
          <w:rFonts w:ascii="Mulish" w:hAnsi="Mulish" w:cstheme="minorHAnsi"/>
          <w:bCs/>
          <w:szCs w:val="24"/>
        </w:rPr>
        <w:t xml:space="preserve">Parcialmente, la relativa a la publicación de los contratos adjudicados por administraciones públicas. </w:t>
      </w:r>
      <w:r w:rsidR="00932252">
        <w:rPr>
          <w:rFonts w:ascii="Mulish" w:hAnsi="Mulish" w:cstheme="minorHAnsi"/>
          <w:bCs/>
          <w:szCs w:val="24"/>
        </w:rPr>
        <w:t>Aunque se ha subsanado el problema con el enlace a esta información, la información publicada no está completa, ya que no se informa sobre el importe de adjudicación.</w:t>
      </w:r>
    </w:p>
    <w:p w14:paraId="6E0359F5" w14:textId="5C8AE79A" w:rsidR="00897F59" w:rsidRPr="00905D70" w:rsidRDefault="00C84A98" w:rsidP="00905D70">
      <w:pPr>
        <w:pStyle w:val="Prrafodelista"/>
        <w:numPr>
          <w:ilvl w:val="0"/>
          <w:numId w:val="11"/>
        </w:numPr>
        <w:tabs>
          <w:tab w:val="left" w:pos="284"/>
        </w:tabs>
        <w:spacing w:before="120" w:after="120" w:line="312" w:lineRule="auto"/>
        <w:ind w:left="709"/>
        <w:jc w:val="both"/>
        <w:rPr>
          <w:rFonts w:ascii="Mulish" w:hAnsi="Mulish" w:cstheme="minorHAnsi"/>
          <w:bCs/>
          <w:szCs w:val="24"/>
        </w:rPr>
      </w:pPr>
      <w:r w:rsidRPr="00905D70">
        <w:rPr>
          <w:rFonts w:ascii="Mulish" w:hAnsi="Mulish" w:cstheme="minorHAnsi"/>
          <w:bCs/>
          <w:szCs w:val="24"/>
        </w:rPr>
        <w:t>En su informe de observaciones, indica la Fundación que se ha eliminado el apartado convenios de su Portal de Transparencia porque no se han suscrito convenios con organizaciones públicas. En este caso, para considerar cumplida la obligación, debe informarse expresamente de esta circunstancia</w:t>
      </w:r>
      <w:r w:rsidR="00905D70" w:rsidRPr="00905D70">
        <w:rPr>
          <w:rFonts w:ascii="Mulish" w:hAnsi="Mulish" w:cstheme="minorHAnsi"/>
          <w:bCs/>
          <w:szCs w:val="24"/>
        </w:rPr>
        <w:t>, dado que</w:t>
      </w:r>
      <w:r w:rsidRPr="00905D70">
        <w:rPr>
          <w:rFonts w:ascii="Mulish" w:hAnsi="Mulish" w:cstheme="minorHAnsi"/>
          <w:bCs/>
          <w:szCs w:val="24"/>
        </w:rPr>
        <w:t xml:space="preserve"> </w:t>
      </w:r>
      <w:r w:rsidR="00905D70" w:rsidRPr="00905D70">
        <w:rPr>
          <w:rFonts w:ascii="Mulish" w:hAnsi="Mulish" w:cstheme="minorHAnsi"/>
          <w:bCs/>
          <w:szCs w:val="24"/>
        </w:rPr>
        <w:t xml:space="preserve">la única manera de distinguir - por los ciudadanos y también por los evaluadores -,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 es que se indique expresamente tal circunstancia. </w:t>
      </w:r>
    </w:p>
    <w:p w14:paraId="43EBEDCA" w14:textId="5191333C" w:rsidR="00753179" w:rsidRDefault="00753179" w:rsidP="00C84A98">
      <w:pPr>
        <w:pStyle w:val="Prrafodelista"/>
        <w:numPr>
          <w:ilvl w:val="0"/>
          <w:numId w:val="11"/>
        </w:numPr>
        <w:tabs>
          <w:tab w:val="left" w:pos="284"/>
        </w:tabs>
        <w:spacing w:before="120" w:after="120" w:line="312" w:lineRule="auto"/>
        <w:jc w:val="both"/>
        <w:rPr>
          <w:rFonts w:ascii="Mulish" w:hAnsi="Mulish" w:cstheme="minorHAnsi"/>
          <w:szCs w:val="24"/>
        </w:rPr>
      </w:pPr>
      <w:r w:rsidRPr="00406F06">
        <w:rPr>
          <w:rFonts w:ascii="Mulish" w:hAnsi="Mulish" w:cstheme="minorHAnsi"/>
          <w:szCs w:val="24"/>
        </w:rPr>
        <w:t xml:space="preserve">Tras </w:t>
      </w:r>
      <w:r w:rsidR="00EF173E">
        <w:rPr>
          <w:rFonts w:ascii="Mulish" w:hAnsi="Mulish" w:cstheme="minorHAnsi"/>
          <w:szCs w:val="24"/>
        </w:rPr>
        <w:t>la revisión efectuada</w:t>
      </w:r>
      <w:r w:rsidRPr="00406F06">
        <w:rPr>
          <w:rFonts w:ascii="Mulish" w:hAnsi="Mulish" w:cstheme="minorHAnsi"/>
          <w:szCs w:val="24"/>
        </w:rPr>
        <w:t xml:space="preserve">, el Índice de Cumplimiento de </w:t>
      </w:r>
      <w:r w:rsidR="00932252">
        <w:rPr>
          <w:rFonts w:ascii="Mulish" w:hAnsi="Mulish" w:cstheme="minorHAnsi"/>
          <w:szCs w:val="24"/>
        </w:rPr>
        <w:t>la Fundación</w:t>
      </w:r>
      <w:r w:rsidRPr="00406F06">
        <w:rPr>
          <w:rFonts w:ascii="Mulish" w:hAnsi="Mulish" w:cstheme="minorHAnsi"/>
          <w:szCs w:val="24"/>
        </w:rPr>
        <w:t xml:space="preserve"> se sitúa en el </w:t>
      </w:r>
      <w:r w:rsidR="00763312">
        <w:rPr>
          <w:rFonts w:ascii="Mulish" w:hAnsi="Mulish" w:cstheme="minorHAnsi"/>
          <w:szCs w:val="24"/>
        </w:rPr>
        <w:t>61,6</w:t>
      </w:r>
      <w:r w:rsidRPr="00406F06">
        <w:rPr>
          <w:rFonts w:ascii="Mulish" w:hAnsi="Mulish" w:cstheme="minorHAnsi"/>
          <w:szCs w:val="24"/>
        </w:rPr>
        <w:t>%.</w:t>
      </w:r>
    </w:p>
    <w:p w14:paraId="6DF90766" w14:textId="69CF6C41" w:rsidR="009E6E79" w:rsidRPr="009E6E79" w:rsidRDefault="009E6E79" w:rsidP="009E6E79">
      <w:pPr>
        <w:tabs>
          <w:tab w:val="left" w:pos="284"/>
        </w:tabs>
        <w:spacing w:before="120" w:after="120" w:line="312" w:lineRule="auto"/>
        <w:jc w:val="both"/>
        <w:rPr>
          <w:rFonts w:ascii="Mulish" w:hAnsi="Mulish" w:cstheme="minorHAnsi"/>
          <w:szCs w:val="24"/>
        </w:rPr>
      </w:pPr>
      <w:r>
        <w:rPr>
          <w:rFonts w:ascii="Mulish" w:hAnsi="Mulish" w:cstheme="minorHAnsi"/>
          <w:szCs w:val="24"/>
        </w:rPr>
        <w:t xml:space="preserve">Este Consejo valora muy positivamente la disposición de </w:t>
      </w:r>
      <w:r w:rsidR="00C86710">
        <w:rPr>
          <w:rFonts w:ascii="Mulish" w:hAnsi="Mulish" w:cstheme="minorHAnsi"/>
          <w:szCs w:val="24"/>
        </w:rPr>
        <w:t xml:space="preserve">la Fundación Javier </w:t>
      </w:r>
      <w:proofErr w:type="spellStart"/>
      <w:r w:rsidR="00C86710">
        <w:rPr>
          <w:rFonts w:ascii="Mulish" w:hAnsi="Mulish" w:cstheme="minorHAnsi"/>
          <w:szCs w:val="24"/>
        </w:rPr>
        <w:t>Matía</w:t>
      </w:r>
      <w:proofErr w:type="spellEnd"/>
      <w:r>
        <w:rPr>
          <w:rFonts w:ascii="Mulish" w:hAnsi="Mulish" w:cstheme="minorHAnsi"/>
          <w:szCs w:val="24"/>
        </w:rPr>
        <w:t xml:space="preserve"> a aplicar las recomendaciones derivadas de la evaluación. </w:t>
      </w:r>
      <w:r w:rsidR="00C86710">
        <w:rPr>
          <w:rFonts w:ascii="Mulish" w:hAnsi="Mulish" w:cstheme="minorHAnsi"/>
          <w:szCs w:val="24"/>
        </w:rPr>
        <w:t xml:space="preserve">Algunas de estas mejoras se han aplicado durante el periodo de observaciones. El criterio que mantiene este Consejo es no tomar en consideración estas mejoras para efectuar un nuevo cálculo del Índice de Cumplimiento. </w:t>
      </w:r>
      <w:r w:rsidR="00931C5F">
        <w:rPr>
          <w:rFonts w:ascii="Mulish" w:hAnsi="Mulish" w:cstheme="minorHAnsi"/>
          <w:szCs w:val="24"/>
        </w:rPr>
        <w:t xml:space="preserve">No </w:t>
      </w:r>
      <w:r w:rsidR="00905D70">
        <w:rPr>
          <w:rFonts w:ascii="Mulish" w:hAnsi="Mulish" w:cstheme="minorHAnsi"/>
          <w:szCs w:val="24"/>
        </w:rPr>
        <w:t>obstante,</w:t>
      </w:r>
      <w:r w:rsidR="00931C5F">
        <w:rPr>
          <w:rFonts w:ascii="Mulish" w:hAnsi="Mulish" w:cstheme="minorHAnsi"/>
          <w:szCs w:val="24"/>
        </w:rPr>
        <w:t xml:space="preserve"> estas mejoras se reflejan en un informe específico que se publica junto a los informes de evaluación.</w:t>
      </w:r>
      <w:r w:rsidR="00905D70">
        <w:rPr>
          <w:rFonts w:ascii="Mulish" w:hAnsi="Mulish" w:cstheme="minorHAnsi"/>
          <w:szCs w:val="24"/>
        </w:rPr>
        <w:t xml:space="preserve"> </w:t>
      </w:r>
      <w:r w:rsidR="00356887">
        <w:rPr>
          <w:rFonts w:ascii="Mulish" w:hAnsi="Mulish" w:cstheme="minorHAnsi"/>
          <w:szCs w:val="24"/>
        </w:rPr>
        <w:t xml:space="preserve">Las mejoras que se </w:t>
      </w:r>
      <w:r w:rsidR="00356887">
        <w:rPr>
          <w:rFonts w:ascii="Mulish" w:hAnsi="Mulish" w:cstheme="minorHAnsi"/>
          <w:szCs w:val="24"/>
        </w:rPr>
        <w:lastRenderedPageBreak/>
        <w:t>introduzcan se reflejarán en un mayor nivel de cumplimiento de las obligaciones, cuando, en 2025, se efectúe por parte de este Consejo una nueva evaluación de cumplimiento</w:t>
      </w:r>
      <w:r>
        <w:rPr>
          <w:rFonts w:ascii="Mulish" w:hAnsi="Mulish" w:cstheme="minorHAnsi"/>
          <w:szCs w:val="24"/>
        </w:rPr>
        <w:t>.</w:t>
      </w:r>
    </w:p>
    <w:p w14:paraId="7CA8D920" w14:textId="77777777" w:rsidR="007704A4" w:rsidRPr="00406F06" w:rsidRDefault="007704A4" w:rsidP="007704A4">
      <w:pPr>
        <w:pStyle w:val="Prrafodelista"/>
        <w:tabs>
          <w:tab w:val="left" w:pos="284"/>
        </w:tabs>
        <w:spacing w:before="120" w:after="120" w:line="312" w:lineRule="auto"/>
        <w:jc w:val="both"/>
        <w:rPr>
          <w:rFonts w:ascii="Mulish" w:hAnsi="Mulish" w:cstheme="minorHAnsi"/>
          <w:szCs w:val="24"/>
        </w:rPr>
      </w:pPr>
    </w:p>
    <w:p w14:paraId="5B401E42" w14:textId="65DCFFA3" w:rsidR="006F17B5" w:rsidRPr="00406F06" w:rsidRDefault="006F17B5" w:rsidP="009557B1">
      <w:pPr>
        <w:autoSpaceDE w:val="0"/>
        <w:autoSpaceDN w:val="0"/>
        <w:adjustRightInd w:val="0"/>
        <w:spacing w:after="0"/>
        <w:jc w:val="right"/>
        <w:rPr>
          <w:rFonts w:ascii="Mulish" w:hAnsi="Mulish"/>
          <w:szCs w:val="24"/>
        </w:rPr>
      </w:pPr>
      <w:r w:rsidRPr="00406F06">
        <w:rPr>
          <w:rFonts w:ascii="Mulish" w:hAnsi="Mulish" w:cstheme="minorHAnsi"/>
          <w:szCs w:val="24"/>
        </w:rPr>
        <w:t xml:space="preserve">Madrid, </w:t>
      </w:r>
      <w:r w:rsidR="00905D70">
        <w:rPr>
          <w:rFonts w:ascii="Mulish" w:hAnsi="Mulish" w:cstheme="minorHAnsi"/>
          <w:szCs w:val="24"/>
        </w:rPr>
        <w:t>agosto</w:t>
      </w:r>
      <w:r w:rsidRPr="00406F06">
        <w:rPr>
          <w:rFonts w:ascii="Mulish" w:hAnsi="Mulish" w:cstheme="minorHAnsi"/>
          <w:szCs w:val="24"/>
        </w:rPr>
        <w:t xml:space="preserve"> de 202</w:t>
      </w:r>
      <w:r w:rsidR="001C701F" w:rsidRPr="00406F06">
        <w:rPr>
          <w:rFonts w:ascii="Mulish" w:hAnsi="Mulish" w:cstheme="minorHAnsi"/>
          <w:szCs w:val="24"/>
        </w:rPr>
        <w:t>4</w:t>
      </w:r>
    </w:p>
    <w:sectPr w:rsidR="006F17B5" w:rsidRPr="00406F06"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040E" w14:textId="77777777" w:rsidR="001B7352" w:rsidRDefault="001B7352" w:rsidP="00344FE7">
      <w:pPr>
        <w:spacing w:after="0" w:line="240" w:lineRule="auto"/>
      </w:pPr>
      <w:r>
        <w:separator/>
      </w:r>
    </w:p>
  </w:endnote>
  <w:endnote w:type="continuationSeparator" w:id="0">
    <w:p w14:paraId="168507A7" w14:textId="77777777"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0167"/>
      <w:docPartObj>
        <w:docPartGallery w:val="Page Numbers (Bottom of Page)"/>
        <w:docPartUnique/>
      </w:docPartObj>
    </w:sdtPr>
    <w:sdtEndPr>
      <w:rPr>
        <w:sz w:val="20"/>
        <w:szCs w:val="20"/>
      </w:rPr>
    </w:sdtEndPr>
    <w:sdtContent>
      <w:p w14:paraId="711E53FC" w14:textId="77777777"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DD3" w14:textId="77777777" w:rsidR="001B7352" w:rsidRDefault="001B7352" w:rsidP="00344FE7">
      <w:pPr>
        <w:spacing w:after="0" w:line="240" w:lineRule="auto"/>
      </w:pPr>
      <w:r>
        <w:separator/>
      </w:r>
    </w:p>
  </w:footnote>
  <w:footnote w:type="continuationSeparator" w:id="0">
    <w:p w14:paraId="3FE3DA04" w14:textId="77777777" w:rsidR="001B7352" w:rsidRDefault="001B7352" w:rsidP="0034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C53" w14:textId="77777777" w:rsidR="001B7352" w:rsidRDefault="001B7352">
    <w:pPr>
      <w:pStyle w:val="Encabezado"/>
    </w:pPr>
    <w:r>
      <w:rPr>
        <w:noProof/>
        <w:lang w:eastAsia="es-ES"/>
      </w:rPr>
      <w:drawing>
        <wp:anchor distT="0" distB="0" distL="0" distR="0" simplePos="0" relativeHeight="251670528" behindDoc="0" locked="0" layoutInCell="1" allowOverlap="0" wp14:anchorId="7EE23A25" wp14:editId="47DDA104">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14:paraId="167267D5" w14:textId="77777777" w:rsidR="001B7352" w:rsidRDefault="001B7352">
    <w:pPr>
      <w:pStyle w:val="Encabezado"/>
    </w:pPr>
  </w:p>
  <w:p w14:paraId="3E061B63" w14:textId="77777777" w:rsidR="001B7352" w:rsidRDefault="001B7352" w:rsidP="00344FE7">
    <w:pPr>
      <w:pStyle w:val="Encabezado"/>
    </w:pPr>
  </w:p>
  <w:p w14:paraId="0B5589F9" w14:textId="77777777" w:rsidR="001B7352" w:rsidRDefault="001B7352" w:rsidP="00344FE7">
    <w:pPr>
      <w:pStyle w:val="Encabezado"/>
    </w:pPr>
  </w:p>
  <w:p w14:paraId="6B9AC33C" w14:textId="77777777" w:rsidR="001B7352" w:rsidRDefault="001B7352" w:rsidP="00344F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6B5" w14:textId="77777777"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1C76EECC" wp14:editId="19B3C182">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201350F3" wp14:editId="20154103">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29_"/>
      </v:shape>
    </w:pict>
  </w:numPicBullet>
  <w:numPicBullet w:numPicBulletId="1">
    <w:pict>
      <v:shape id="_x0000_i1027" type="#_x0000_t75" style="width:11.25pt;height:11.25pt" o:bullet="t">
        <v:imagedata r:id="rId2" o:title="BD14654_"/>
      </v:shape>
    </w:pict>
  </w:numPicBullet>
  <w:abstractNum w:abstractNumId="0" w15:restartNumberingAfterBreak="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9B24A2"/>
    <w:multiLevelType w:val="hybridMultilevel"/>
    <w:tmpl w:val="5FC2F3A2"/>
    <w:lvl w:ilvl="0" w:tplc="6B807E7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C880BB4"/>
    <w:multiLevelType w:val="hybridMultilevel"/>
    <w:tmpl w:val="59B626CA"/>
    <w:lvl w:ilvl="0" w:tplc="2B4445C0">
      <w:start w:val="3"/>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15:restartNumberingAfterBreak="0">
    <w:nsid w:val="33E35655"/>
    <w:multiLevelType w:val="hybridMultilevel"/>
    <w:tmpl w:val="C1C4FD7E"/>
    <w:lvl w:ilvl="0" w:tplc="6652D48A">
      <w:start w:val="1"/>
      <w:numFmt w:val="decimal"/>
      <w:lvlText w:val="%1."/>
      <w:lvlJc w:val="left"/>
      <w:pPr>
        <w:ind w:left="720" w:hanging="360"/>
      </w:pPr>
      <w:rPr>
        <w:rFonts w:hint="default"/>
      </w:rPr>
    </w:lvl>
    <w:lvl w:ilvl="1" w:tplc="60FC3B96">
      <w:start w:val="1"/>
      <w:numFmt w:val="lowerLetter"/>
      <w:lvlText w:val="%2."/>
      <w:lvlJc w:val="left"/>
      <w:pPr>
        <w:ind w:left="1440" w:hanging="360"/>
      </w:pPr>
      <w:rPr>
        <w:rFonts w:hint="default"/>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454A7109"/>
    <w:multiLevelType w:val="hybridMultilevel"/>
    <w:tmpl w:val="54A23FFC"/>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10"/>
  </w:num>
  <w:num w:numId="12">
    <w:abstractNumId w:val="13"/>
  </w:num>
  <w:num w:numId="13">
    <w:abstractNumId w:val="14"/>
  </w:num>
  <w:num w:numId="14">
    <w:abstractNumId w:val="16"/>
  </w:num>
  <w:num w:numId="15">
    <w:abstractNumId w:val="8"/>
  </w:num>
  <w:num w:numId="16">
    <w:abstractNumId w:val="9"/>
  </w:num>
  <w:num w:numId="17">
    <w:abstractNumId w:val="5"/>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E7"/>
    <w:rsid w:val="00003EA5"/>
    <w:rsid w:val="00006776"/>
    <w:rsid w:val="000234B9"/>
    <w:rsid w:val="00033E75"/>
    <w:rsid w:val="00034F48"/>
    <w:rsid w:val="00036A5D"/>
    <w:rsid w:val="0005249D"/>
    <w:rsid w:val="00070294"/>
    <w:rsid w:val="00070950"/>
    <w:rsid w:val="00073E04"/>
    <w:rsid w:val="00074030"/>
    <w:rsid w:val="00077DEC"/>
    <w:rsid w:val="000A41DA"/>
    <w:rsid w:val="000A7C47"/>
    <w:rsid w:val="000B3139"/>
    <w:rsid w:val="000B704A"/>
    <w:rsid w:val="000D4422"/>
    <w:rsid w:val="000E5D1F"/>
    <w:rsid w:val="001257F9"/>
    <w:rsid w:val="0013625B"/>
    <w:rsid w:val="0014196C"/>
    <w:rsid w:val="001428E1"/>
    <w:rsid w:val="00151290"/>
    <w:rsid w:val="0016439B"/>
    <w:rsid w:val="00173960"/>
    <w:rsid w:val="001750A8"/>
    <w:rsid w:val="00175D6C"/>
    <w:rsid w:val="0018324C"/>
    <w:rsid w:val="00186B56"/>
    <w:rsid w:val="00190952"/>
    <w:rsid w:val="00192060"/>
    <w:rsid w:val="0019362B"/>
    <w:rsid w:val="00194E05"/>
    <w:rsid w:val="001B16D9"/>
    <w:rsid w:val="001B7352"/>
    <w:rsid w:val="001C701F"/>
    <w:rsid w:val="001E44BC"/>
    <w:rsid w:val="001F290B"/>
    <w:rsid w:val="00235A40"/>
    <w:rsid w:val="00251194"/>
    <w:rsid w:val="00292806"/>
    <w:rsid w:val="002A4771"/>
    <w:rsid w:val="002A7933"/>
    <w:rsid w:val="002B66C7"/>
    <w:rsid w:val="002C000A"/>
    <w:rsid w:val="002F5D0B"/>
    <w:rsid w:val="003245B8"/>
    <w:rsid w:val="003259B9"/>
    <w:rsid w:val="00344FE7"/>
    <w:rsid w:val="00351475"/>
    <w:rsid w:val="00356887"/>
    <w:rsid w:val="003656B1"/>
    <w:rsid w:val="003B0948"/>
    <w:rsid w:val="003B5DE7"/>
    <w:rsid w:val="003D2C6C"/>
    <w:rsid w:val="003D52DF"/>
    <w:rsid w:val="003F0972"/>
    <w:rsid w:val="003F38BD"/>
    <w:rsid w:val="00406F06"/>
    <w:rsid w:val="004108BB"/>
    <w:rsid w:val="004124E7"/>
    <w:rsid w:val="00431713"/>
    <w:rsid w:val="0045134F"/>
    <w:rsid w:val="00466973"/>
    <w:rsid w:val="00470F02"/>
    <w:rsid w:val="0049491F"/>
    <w:rsid w:val="004A7D09"/>
    <w:rsid w:val="004B15B8"/>
    <w:rsid w:val="004D148D"/>
    <w:rsid w:val="004D4EF1"/>
    <w:rsid w:val="00511BED"/>
    <w:rsid w:val="00525FCA"/>
    <w:rsid w:val="0055202A"/>
    <w:rsid w:val="00565608"/>
    <w:rsid w:val="005B1C12"/>
    <w:rsid w:val="005E2370"/>
    <w:rsid w:val="005F0570"/>
    <w:rsid w:val="005F4305"/>
    <w:rsid w:val="005F59A5"/>
    <w:rsid w:val="00614890"/>
    <w:rsid w:val="00620AB5"/>
    <w:rsid w:val="00636FF6"/>
    <w:rsid w:val="006615ED"/>
    <w:rsid w:val="00661ECA"/>
    <w:rsid w:val="006A089C"/>
    <w:rsid w:val="006F17B5"/>
    <w:rsid w:val="006F5890"/>
    <w:rsid w:val="006F5AFB"/>
    <w:rsid w:val="0071472F"/>
    <w:rsid w:val="007342F2"/>
    <w:rsid w:val="00745E83"/>
    <w:rsid w:val="00753179"/>
    <w:rsid w:val="00763312"/>
    <w:rsid w:val="007704A4"/>
    <w:rsid w:val="00772C2A"/>
    <w:rsid w:val="007759D6"/>
    <w:rsid w:val="007A662D"/>
    <w:rsid w:val="007B482F"/>
    <w:rsid w:val="007C00E5"/>
    <w:rsid w:val="007C0642"/>
    <w:rsid w:val="007D24E2"/>
    <w:rsid w:val="00815DA2"/>
    <w:rsid w:val="0085302F"/>
    <w:rsid w:val="00855ECA"/>
    <w:rsid w:val="0089717A"/>
    <w:rsid w:val="00897210"/>
    <w:rsid w:val="00897F59"/>
    <w:rsid w:val="008A2772"/>
    <w:rsid w:val="008B79BD"/>
    <w:rsid w:val="00901F1F"/>
    <w:rsid w:val="009029E0"/>
    <w:rsid w:val="00905D70"/>
    <w:rsid w:val="00910EC2"/>
    <w:rsid w:val="00931C5F"/>
    <w:rsid w:val="00932252"/>
    <w:rsid w:val="00950524"/>
    <w:rsid w:val="009557B1"/>
    <w:rsid w:val="009951FE"/>
    <w:rsid w:val="009B7ADA"/>
    <w:rsid w:val="009D2560"/>
    <w:rsid w:val="009D6677"/>
    <w:rsid w:val="009E084D"/>
    <w:rsid w:val="009E16B5"/>
    <w:rsid w:val="009E30AA"/>
    <w:rsid w:val="009E6E79"/>
    <w:rsid w:val="00A24192"/>
    <w:rsid w:val="00A26523"/>
    <w:rsid w:val="00A41DE8"/>
    <w:rsid w:val="00A52A4D"/>
    <w:rsid w:val="00A603C7"/>
    <w:rsid w:val="00A62936"/>
    <w:rsid w:val="00A70779"/>
    <w:rsid w:val="00AE5BF4"/>
    <w:rsid w:val="00AF587E"/>
    <w:rsid w:val="00B263E1"/>
    <w:rsid w:val="00B2797F"/>
    <w:rsid w:val="00B31F84"/>
    <w:rsid w:val="00B33F18"/>
    <w:rsid w:val="00B35A53"/>
    <w:rsid w:val="00B4112D"/>
    <w:rsid w:val="00B81EE6"/>
    <w:rsid w:val="00BB48B9"/>
    <w:rsid w:val="00BC7A82"/>
    <w:rsid w:val="00BE33B9"/>
    <w:rsid w:val="00C01613"/>
    <w:rsid w:val="00C0201F"/>
    <w:rsid w:val="00C119CE"/>
    <w:rsid w:val="00C13C51"/>
    <w:rsid w:val="00C23F36"/>
    <w:rsid w:val="00C25FA5"/>
    <w:rsid w:val="00C305B6"/>
    <w:rsid w:val="00C3135F"/>
    <w:rsid w:val="00C506D3"/>
    <w:rsid w:val="00C736B9"/>
    <w:rsid w:val="00C82AB2"/>
    <w:rsid w:val="00C84A98"/>
    <w:rsid w:val="00C86710"/>
    <w:rsid w:val="00C87BC3"/>
    <w:rsid w:val="00C90859"/>
    <w:rsid w:val="00C93842"/>
    <w:rsid w:val="00CB4447"/>
    <w:rsid w:val="00CD334A"/>
    <w:rsid w:val="00CF0704"/>
    <w:rsid w:val="00D23111"/>
    <w:rsid w:val="00D24055"/>
    <w:rsid w:val="00D445A4"/>
    <w:rsid w:val="00D44D27"/>
    <w:rsid w:val="00D44E9D"/>
    <w:rsid w:val="00D55DED"/>
    <w:rsid w:val="00D72EF9"/>
    <w:rsid w:val="00D847B0"/>
    <w:rsid w:val="00D91A37"/>
    <w:rsid w:val="00DA126F"/>
    <w:rsid w:val="00DB1735"/>
    <w:rsid w:val="00DB21EC"/>
    <w:rsid w:val="00DB2CB4"/>
    <w:rsid w:val="00DB2CCC"/>
    <w:rsid w:val="00DD07B5"/>
    <w:rsid w:val="00DD49EF"/>
    <w:rsid w:val="00DF5982"/>
    <w:rsid w:val="00E03C82"/>
    <w:rsid w:val="00E35741"/>
    <w:rsid w:val="00E4386D"/>
    <w:rsid w:val="00E475B6"/>
    <w:rsid w:val="00E5135F"/>
    <w:rsid w:val="00E64F85"/>
    <w:rsid w:val="00EB7058"/>
    <w:rsid w:val="00EB79A4"/>
    <w:rsid w:val="00EC3AAE"/>
    <w:rsid w:val="00ED6FD3"/>
    <w:rsid w:val="00EF173E"/>
    <w:rsid w:val="00EF5F68"/>
    <w:rsid w:val="00F17B00"/>
    <w:rsid w:val="00F5121D"/>
    <w:rsid w:val="00F7456B"/>
    <w:rsid w:val="00F777C2"/>
    <w:rsid w:val="00FA580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2"/>
    </o:shapelayout>
  </w:shapeDefaults>
  <w:decimalSymbol w:val=","/>
  <w:listSeparator w:val=";"/>
  <w14:docId w14:val="676837A2"/>
  <w15:docId w15:val="{B4431FA1-ED6B-467D-B152-B4AEC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clara">
    <w:name w:val="Light List"/>
    <w:basedOn w:val="Tablanormal"/>
    <w:uiPriority w:val="61"/>
    <w:rsid w:val="00193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ncinsinresolver">
    <w:name w:val="Unresolved Mention"/>
    <w:basedOn w:val="Fuentedeprrafopredeter"/>
    <w:uiPriority w:val="99"/>
    <w:semiHidden/>
    <w:unhideWhenUsed/>
    <w:rsid w:val="00FA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374</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 MARIA RUIZ MARTINEZ</cp:lastModifiedBy>
  <cp:revision>5</cp:revision>
  <cp:lastPrinted>2015-01-27T17:42:00Z</cp:lastPrinted>
  <dcterms:created xsi:type="dcterms:W3CDTF">2024-08-29T09:06:00Z</dcterms:created>
  <dcterms:modified xsi:type="dcterms:W3CDTF">2024-09-17T10:57:00Z</dcterms:modified>
</cp:coreProperties>
</file>