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12E9" w14:textId="26E85F4A" w:rsidR="006F17B5" w:rsidRPr="00406F06" w:rsidRDefault="006F17B5" w:rsidP="001B16D9">
      <w:pPr>
        <w:pStyle w:val="Ttulo1"/>
        <w:jc w:val="both"/>
        <w:rPr>
          <w:rFonts w:ascii="Mulish" w:hAnsi="Mulish"/>
          <w:color w:val="079386"/>
        </w:rPr>
      </w:pPr>
      <w:r w:rsidRPr="00406F06">
        <w:rPr>
          <w:rFonts w:ascii="Mulish" w:hAnsi="Mulish"/>
          <w:color w:val="079386"/>
        </w:rPr>
        <w:t xml:space="preserve">INFORME RELATIVO A LAS OBSERVACIONES REMITIDAS POR </w:t>
      </w:r>
      <w:r w:rsidR="00D83A54">
        <w:rPr>
          <w:rFonts w:ascii="Mulish" w:hAnsi="Mulish"/>
          <w:color w:val="079386"/>
        </w:rPr>
        <w:t>AIR EUROPA</w:t>
      </w:r>
      <w:r w:rsidR="004D148D">
        <w:rPr>
          <w:rFonts w:ascii="Mulish" w:hAnsi="Mulish"/>
          <w:color w:val="079386"/>
        </w:rPr>
        <w:t xml:space="preserve"> </w:t>
      </w:r>
      <w:r w:rsidRPr="00406F06">
        <w:rPr>
          <w:rFonts w:ascii="Mulish" w:hAnsi="Mulish"/>
          <w:color w:val="079386"/>
        </w:rPr>
        <w:t>EN RELACIÓN CON EL INFORME DEL CTBG SOBRE CUMPLIMIENTO DE LAS OBLIGACIONES DE PUBLICIDAD ACTIVA ESTABLECIDAS POR LA LTAIBG</w:t>
      </w:r>
    </w:p>
    <w:p w14:paraId="093557A1" w14:textId="77777777" w:rsidR="006F17B5" w:rsidRPr="00406F06" w:rsidRDefault="006F17B5" w:rsidP="006F17B5">
      <w:pPr>
        <w:jc w:val="center"/>
        <w:rPr>
          <w:rFonts w:ascii="Mulish" w:hAnsi="Mulish" w:cstheme="minorHAnsi"/>
          <w:szCs w:val="24"/>
        </w:rPr>
      </w:pPr>
    </w:p>
    <w:p w14:paraId="5E6F6CF0" w14:textId="679E0F5B" w:rsidR="00D23111" w:rsidRPr="00406F06" w:rsidRDefault="00D23111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="Mulish" w:hAnsi="Mulish" w:cstheme="minorHAnsi"/>
          <w:szCs w:val="24"/>
        </w:rPr>
      </w:pPr>
      <w:r w:rsidRPr="00406F06">
        <w:rPr>
          <w:rFonts w:ascii="Mulish" w:hAnsi="Mulish" w:cstheme="minorHAnsi"/>
          <w:szCs w:val="24"/>
        </w:rPr>
        <w:t>En contestación a su</w:t>
      </w:r>
      <w:r w:rsidR="00C25FA5" w:rsidRPr="00406F06">
        <w:rPr>
          <w:rFonts w:ascii="Mulish" w:hAnsi="Mulish" w:cstheme="minorHAnsi"/>
          <w:szCs w:val="24"/>
        </w:rPr>
        <w:t xml:space="preserve"> </w:t>
      </w:r>
      <w:r w:rsidR="00C506D3" w:rsidRPr="00406F06">
        <w:rPr>
          <w:rFonts w:ascii="Mulish" w:hAnsi="Mulish" w:cstheme="minorHAnsi"/>
          <w:szCs w:val="24"/>
        </w:rPr>
        <w:t>escrito</w:t>
      </w:r>
      <w:r w:rsidR="00190952" w:rsidRPr="00406F06">
        <w:rPr>
          <w:rFonts w:ascii="Mulish" w:hAnsi="Mulish" w:cstheme="minorHAnsi"/>
          <w:szCs w:val="24"/>
        </w:rPr>
        <w:t xml:space="preserve"> </w:t>
      </w:r>
      <w:r w:rsidR="00565608" w:rsidRPr="00406F06">
        <w:rPr>
          <w:rFonts w:ascii="Mulish" w:hAnsi="Mulish" w:cstheme="minorHAnsi"/>
          <w:szCs w:val="24"/>
        </w:rPr>
        <w:t xml:space="preserve">de fecha </w:t>
      </w:r>
      <w:r w:rsidR="00D83A54">
        <w:rPr>
          <w:rFonts w:ascii="Mulish" w:hAnsi="Mulish" w:cstheme="minorHAnsi"/>
          <w:szCs w:val="24"/>
        </w:rPr>
        <w:t>2</w:t>
      </w:r>
      <w:r w:rsidRPr="00406F06">
        <w:rPr>
          <w:rFonts w:ascii="Mulish" w:hAnsi="Mulish" w:cstheme="minorHAnsi"/>
          <w:szCs w:val="24"/>
        </w:rPr>
        <w:t xml:space="preserve"> de </w:t>
      </w:r>
      <w:r w:rsidR="00D83A54">
        <w:rPr>
          <w:rFonts w:ascii="Mulish" w:hAnsi="Mulish" w:cstheme="minorHAnsi"/>
          <w:szCs w:val="24"/>
        </w:rPr>
        <w:t>septiembre</w:t>
      </w:r>
      <w:r w:rsidRPr="00406F06">
        <w:rPr>
          <w:rFonts w:ascii="Mulish" w:hAnsi="Mulish" w:cstheme="minorHAnsi"/>
          <w:szCs w:val="24"/>
        </w:rPr>
        <w:t xml:space="preserve"> de 202</w:t>
      </w:r>
      <w:r w:rsidR="00FA580C" w:rsidRPr="00406F06">
        <w:rPr>
          <w:rFonts w:ascii="Mulish" w:hAnsi="Mulish" w:cstheme="minorHAnsi"/>
          <w:szCs w:val="24"/>
        </w:rPr>
        <w:t>4</w:t>
      </w:r>
      <w:r w:rsidR="00C119CE" w:rsidRPr="00406F06">
        <w:rPr>
          <w:rFonts w:ascii="Mulish" w:hAnsi="Mulish" w:cstheme="minorHAnsi"/>
          <w:szCs w:val="24"/>
        </w:rPr>
        <w:t>,</w:t>
      </w:r>
      <w:r w:rsidR="005B1C12" w:rsidRPr="00406F06">
        <w:rPr>
          <w:rFonts w:ascii="Mulish" w:hAnsi="Mulish" w:cstheme="minorHAnsi"/>
          <w:szCs w:val="24"/>
        </w:rPr>
        <w:t xml:space="preserve"> </w:t>
      </w:r>
      <w:r w:rsidRPr="00406F06">
        <w:rPr>
          <w:rFonts w:ascii="Mulish" w:hAnsi="Mulish" w:cstheme="minorHAnsi"/>
          <w:szCs w:val="24"/>
        </w:rPr>
        <w:t xml:space="preserve">una vez analizadas </w:t>
      </w:r>
      <w:r w:rsidR="00C119CE" w:rsidRPr="00406F06">
        <w:rPr>
          <w:rFonts w:ascii="Mulish" w:hAnsi="Mulish" w:cstheme="minorHAnsi"/>
          <w:szCs w:val="24"/>
        </w:rPr>
        <w:t xml:space="preserve">todas </w:t>
      </w:r>
      <w:r w:rsidRPr="00406F06">
        <w:rPr>
          <w:rFonts w:ascii="Mulish" w:hAnsi="Mulish" w:cstheme="minorHAnsi"/>
          <w:szCs w:val="24"/>
        </w:rPr>
        <w:t xml:space="preserve">las observaciones realizadas al borrador de informe de evaluación </w:t>
      </w:r>
      <w:r w:rsidR="00B81EE6" w:rsidRPr="00406F06">
        <w:rPr>
          <w:rFonts w:ascii="Mulish" w:hAnsi="Mulish" w:cstheme="minorHAnsi"/>
          <w:szCs w:val="24"/>
        </w:rPr>
        <w:t xml:space="preserve">relativo al </w:t>
      </w:r>
      <w:r w:rsidRPr="00406F06">
        <w:rPr>
          <w:rFonts w:ascii="Mulish" w:hAnsi="Mulish" w:cstheme="minorHAnsi"/>
          <w:szCs w:val="24"/>
        </w:rPr>
        <w:t xml:space="preserve">cumplimiento de las obligaciones de publicidad activa por parte de esa </w:t>
      </w:r>
      <w:r w:rsidR="00855ECA" w:rsidRPr="00406F06">
        <w:rPr>
          <w:rFonts w:ascii="Mulish" w:hAnsi="Mulish" w:cstheme="minorHAnsi"/>
          <w:szCs w:val="24"/>
        </w:rPr>
        <w:t>Institución</w:t>
      </w:r>
      <w:r w:rsidRPr="00406F06">
        <w:rPr>
          <w:rFonts w:ascii="Mulish" w:hAnsi="Mulish" w:cstheme="minorHAnsi"/>
          <w:szCs w:val="24"/>
        </w:rPr>
        <w:t>, este CTBG efectúa las siguientes consideraciones:</w:t>
      </w:r>
    </w:p>
    <w:p w14:paraId="73B32EE4" w14:textId="77777777" w:rsidR="00855ECA" w:rsidRPr="00406F06" w:rsidRDefault="00855ECA" w:rsidP="009E16B5">
      <w:pPr>
        <w:tabs>
          <w:tab w:val="left" w:pos="284"/>
        </w:tabs>
        <w:spacing w:before="120" w:after="120" w:line="312" w:lineRule="auto"/>
        <w:contextualSpacing/>
        <w:jc w:val="both"/>
        <w:rPr>
          <w:rFonts w:ascii="Mulish" w:hAnsi="Mulish" w:cstheme="minorHAnsi"/>
          <w:szCs w:val="24"/>
        </w:rPr>
      </w:pPr>
    </w:p>
    <w:p w14:paraId="1A7242C0" w14:textId="00DE0BE6" w:rsidR="00406F06" w:rsidRDefault="00406F06" w:rsidP="00D847B0">
      <w:pPr>
        <w:pStyle w:val="Prrafodelista"/>
        <w:numPr>
          <w:ilvl w:val="0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b/>
          <w:szCs w:val="24"/>
        </w:rPr>
      </w:pPr>
      <w:r>
        <w:rPr>
          <w:rFonts w:ascii="Mulish" w:hAnsi="Mulish" w:cstheme="minorHAnsi"/>
          <w:b/>
          <w:szCs w:val="24"/>
        </w:rPr>
        <w:t>Se aceptan las siguientes observaciones:</w:t>
      </w:r>
    </w:p>
    <w:p w14:paraId="21DB7FC7" w14:textId="629D9B13" w:rsidR="00D83A54" w:rsidRDefault="00D83A54" w:rsidP="00406F06">
      <w:pPr>
        <w:pStyle w:val="Prrafodelista"/>
        <w:numPr>
          <w:ilvl w:val="1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bCs/>
          <w:szCs w:val="24"/>
        </w:rPr>
      </w:pPr>
      <w:r>
        <w:rPr>
          <w:rFonts w:ascii="Mulish" w:hAnsi="Mulish" w:cstheme="minorHAnsi"/>
          <w:bCs/>
          <w:szCs w:val="24"/>
        </w:rPr>
        <w:t>La relativa a la habilitación de un especio específico para la publicación de las informaciones sujetas a obligaciones de publicidad activa</w:t>
      </w:r>
    </w:p>
    <w:p w14:paraId="53530137" w14:textId="561FDA07" w:rsidR="00D83A54" w:rsidRDefault="00D83A54" w:rsidP="00406F06">
      <w:pPr>
        <w:pStyle w:val="Prrafodelista"/>
        <w:numPr>
          <w:ilvl w:val="1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bCs/>
          <w:szCs w:val="24"/>
        </w:rPr>
      </w:pPr>
      <w:r>
        <w:rPr>
          <w:rFonts w:ascii="Mulish" w:hAnsi="Mulish" w:cstheme="minorHAnsi"/>
          <w:bCs/>
          <w:szCs w:val="24"/>
        </w:rPr>
        <w:t xml:space="preserve">La publicación de la descripción de la estructura </w:t>
      </w:r>
      <w:r w:rsidR="009174BE">
        <w:rPr>
          <w:rFonts w:ascii="Mulish" w:hAnsi="Mulish" w:cstheme="minorHAnsi"/>
          <w:bCs/>
          <w:szCs w:val="24"/>
        </w:rPr>
        <w:t>organizativa,</w:t>
      </w:r>
      <w:r>
        <w:rPr>
          <w:rFonts w:ascii="Mulish" w:hAnsi="Mulish" w:cstheme="minorHAnsi"/>
          <w:bCs/>
          <w:szCs w:val="24"/>
        </w:rPr>
        <w:t xml:space="preserve"> así como de la identificación y del perfil y trayectoria profesional de sus máximos </w:t>
      </w:r>
      <w:r w:rsidR="00DF732C">
        <w:rPr>
          <w:rFonts w:ascii="Mulish" w:hAnsi="Mulish" w:cstheme="minorHAnsi"/>
          <w:bCs/>
          <w:szCs w:val="24"/>
        </w:rPr>
        <w:t>responsables</w:t>
      </w:r>
    </w:p>
    <w:p w14:paraId="2DBC6EFC" w14:textId="319BFB3C" w:rsidR="00DF732C" w:rsidRDefault="009174BE" w:rsidP="00406F06">
      <w:pPr>
        <w:pStyle w:val="Prrafodelista"/>
        <w:numPr>
          <w:ilvl w:val="1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bCs/>
          <w:szCs w:val="24"/>
        </w:rPr>
      </w:pPr>
      <w:r>
        <w:rPr>
          <w:rFonts w:ascii="Mulish" w:hAnsi="Mulish" w:cstheme="minorHAnsi"/>
          <w:bCs/>
          <w:szCs w:val="24"/>
        </w:rPr>
        <w:t xml:space="preserve">La publicación de información contractual </w:t>
      </w:r>
    </w:p>
    <w:p w14:paraId="2F2CA4CD" w14:textId="2D62434B" w:rsidR="00661ECA" w:rsidRDefault="00897210" w:rsidP="00406F06">
      <w:pPr>
        <w:pStyle w:val="Prrafodelista"/>
        <w:numPr>
          <w:ilvl w:val="1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bCs/>
          <w:szCs w:val="24"/>
        </w:rPr>
      </w:pPr>
      <w:r>
        <w:rPr>
          <w:rFonts w:ascii="Mulish" w:hAnsi="Mulish" w:cstheme="minorHAnsi"/>
          <w:bCs/>
          <w:szCs w:val="24"/>
        </w:rPr>
        <w:t xml:space="preserve">La relativa a la publicación de la </w:t>
      </w:r>
      <w:r w:rsidR="00D44D27">
        <w:rPr>
          <w:rFonts w:ascii="Mulish" w:hAnsi="Mulish" w:cstheme="minorHAnsi"/>
          <w:bCs/>
          <w:szCs w:val="24"/>
        </w:rPr>
        <w:t>información sobre retribuciones de los máximos responsables.</w:t>
      </w:r>
    </w:p>
    <w:p w14:paraId="104F9231" w14:textId="77777777" w:rsidR="009174BE" w:rsidRDefault="009174BE" w:rsidP="009174BE">
      <w:pPr>
        <w:pStyle w:val="Prrafodelista"/>
        <w:tabs>
          <w:tab w:val="left" w:pos="284"/>
        </w:tabs>
        <w:spacing w:before="120" w:after="120" w:line="312" w:lineRule="auto"/>
        <w:ind w:left="709"/>
        <w:jc w:val="both"/>
        <w:rPr>
          <w:rFonts w:ascii="Mulish" w:hAnsi="Mulish" w:cstheme="minorHAnsi"/>
          <w:bCs/>
          <w:szCs w:val="24"/>
        </w:rPr>
      </w:pPr>
    </w:p>
    <w:p w14:paraId="6E0359F5" w14:textId="1960C23A" w:rsidR="00897F59" w:rsidRDefault="009174BE" w:rsidP="00905D70">
      <w:pPr>
        <w:pStyle w:val="Prrafodelista"/>
        <w:numPr>
          <w:ilvl w:val="0"/>
          <w:numId w:val="11"/>
        </w:numPr>
        <w:tabs>
          <w:tab w:val="left" w:pos="284"/>
        </w:tabs>
        <w:spacing w:before="120" w:after="120" w:line="312" w:lineRule="auto"/>
        <w:ind w:left="709"/>
        <w:jc w:val="both"/>
        <w:rPr>
          <w:rFonts w:ascii="Mulish" w:hAnsi="Mulish" w:cstheme="minorHAnsi"/>
          <w:bCs/>
          <w:szCs w:val="24"/>
        </w:rPr>
      </w:pPr>
      <w:r>
        <w:rPr>
          <w:rFonts w:ascii="Mulish" w:hAnsi="Mulish" w:cstheme="minorHAnsi"/>
          <w:bCs/>
          <w:szCs w:val="24"/>
        </w:rPr>
        <w:t xml:space="preserve">No se acepta la observación </w:t>
      </w:r>
      <w:r w:rsidR="003807C3">
        <w:rPr>
          <w:rFonts w:ascii="Mulish" w:hAnsi="Mulish" w:cstheme="minorHAnsi"/>
          <w:bCs/>
          <w:szCs w:val="24"/>
        </w:rPr>
        <w:t>relativa</w:t>
      </w:r>
      <w:r>
        <w:rPr>
          <w:rFonts w:ascii="Mulish" w:hAnsi="Mulish" w:cstheme="minorHAnsi"/>
          <w:bCs/>
          <w:szCs w:val="24"/>
        </w:rPr>
        <w:t xml:space="preserve"> a la publica</w:t>
      </w:r>
      <w:r w:rsidR="003807C3">
        <w:rPr>
          <w:rFonts w:ascii="Mulish" w:hAnsi="Mulish" w:cstheme="minorHAnsi"/>
          <w:bCs/>
          <w:szCs w:val="24"/>
        </w:rPr>
        <w:t xml:space="preserve">ción de información sobre los convenios suscritos con administraciones públicas, </w:t>
      </w:r>
      <w:r w:rsidR="00024334">
        <w:rPr>
          <w:rFonts w:ascii="Mulish" w:hAnsi="Mulish" w:cstheme="minorHAnsi"/>
          <w:bCs/>
          <w:szCs w:val="24"/>
        </w:rPr>
        <w:t>porque,</w:t>
      </w:r>
      <w:r w:rsidR="003807C3">
        <w:rPr>
          <w:rFonts w:ascii="Mulish" w:hAnsi="Mulish" w:cstheme="minorHAnsi"/>
          <w:bCs/>
          <w:szCs w:val="24"/>
        </w:rPr>
        <w:t xml:space="preserve"> aunque se ha publicado esta información, los contenidos publicados están incompletos ya que no incluyen ni la duración, </w:t>
      </w:r>
      <w:r w:rsidR="00024334" w:rsidRPr="00024334">
        <w:rPr>
          <w:rFonts w:ascii="Mulish" w:hAnsi="Mulish" w:cstheme="minorHAnsi"/>
          <w:bCs/>
          <w:szCs w:val="24"/>
        </w:rPr>
        <w:t xml:space="preserve">las obligaciones económicas que, en su caso, deriven del convenios, los sujetos obligados y las posibles modificaciones. </w:t>
      </w:r>
      <w:r w:rsidR="003807C3">
        <w:rPr>
          <w:rFonts w:ascii="Mulish" w:hAnsi="Mulish" w:cstheme="minorHAnsi"/>
          <w:bCs/>
          <w:szCs w:val="24"/>
        </w:rPr>
        <w:t xml:space="preserve"> </w:t>
      </w:r>
      <w:r w:rsidR="00024334">
        <w:rPr>
          <w:rFonts w:ascii="Mulish" w:hAnsi="Mulish" w:cstheme="minorHAnsi"/>
          <w:bCs/>
          <w:szCs w:val="24"/>
        </w:rPr>
        <w:t>Todos ellos son ítems informativos obligatorios que contempla la LTAIBG para esta obligación en su artículo 8.1.b.</w:t>
      </w:r>
    </w:p>
    <w:p w14:paraId="3007EC5F" w14:textId="77777777" w:rsidR="00024334" w:rsidRPr="00905D70" w:rsidRDefault="00024334" w:rsidP="00024334">
      <w:pPr>
        <w:pStyle w:val="Prrafodelista"/>
        <w:tabs>
          <w:tab w:val="left" w:pos="284"/>
        </w:tabs>
        <w:spacing w:before="120" w:after="120" w:line="312" w:lineRule="auto"/>
        <w:ind w:left="709"/>
        <w:jc w:val="both"/>
        <w:rPr>
          <w:rFonts w:ascii="Mulish" w:hAnsi="Mulish" w:cstheme="minorHAnsi"/>
          <w:bCs/>
          <w:szCs w:val="24"/>
        </w:rPr>
      </w:pPr>
    </w:p>
    <w:p w14:paraId="43EBEDCA" w14:textId="61CBCFE8" w:rsidR="00753179" w:rsidRDefault="00753179" w:rsidP="00C84A98">
      <w:pPr>
        <w:pStyle w:val="Prrafodelista"/>
        <w:numPr>
          <w:ilvl w:val="0"/>
          <w:numId w:val="11"/>
        </w:numPr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szCs w:val="24"/>
        </w:rPr>
      </w:pPr>
      <w:r w:rsidRPr="00406F06">
        <w:rPr>
          <w:rFonts w:ascii="Mulish" w:hAnsi="Mulish" w:cstheme="minorHAnsi"/>
          <w:szCs w:val="24"/>
        </w:rPr>
        <w:t xml:space="preserve">Tras </w:t>
      </w:r>
      <w:r w:rsidR="00EF173E">
        <w:rPr>
          <w:rFonts w:ascii="Mulish" w:hAnsi="Mulish" w:cstheme="minorHAnsi"/>
          <w:szCs w:val="24"/>
        </w:rPr>
        <w:t>la revisión efectuada</w:t>
      </w:r>
      <w:r w:rsidRPr="00406F06">
        <w:rPr>
          <w:rFonts w:ascii="Mulish" w:hAnsi="Mulish" w:cstheme="minorHAnsi"/>
          <w:szCs w:val="24"/>
        </w:rPr>
        <w:t xml:space="preserve">, el Índice de Cumplimiento de </w:t>
      </w:r>
      <w:r w:rsidR="00932252">
        <w:rPr>
          <w:rFonts w:ascii="Mulish" w:hAnsi="Mulish" w:cstheme="minorHAnsi"/>
          <w:szCs w:val="24"/>
        </w:rPr>
        <w:t>la Fundación</w:t>
      </w:r>
      <w:r w:rsidRPr="00406F06">
        <w:rPr>
          <w:rFonts w:ascii="Mulish" w:hAnsi="Mulish" w:cstheme="minorHAnsi"/>
          <w:szCs w:val="24"/>
        </w:rPr>
        <w:t xml:space="preserve"> se sitúa en el </w:t>
      </w:r>
      <w:r w:rsidR="00024334">
        <w:rPr>
          <w:rFonts w:ascii="Mulish" w:hAnsi="Mulish" w:cstheme="minorHAnsi"/>
          <w:szCs w:val="24"/>
        </w:rPr>
        <w:t>73,4</w:t>
      </w:r>
      <w:r w:rsidRPr="00406F06">
        <w:rPr>
          <w:rFonts w:ascii="Mulish" w:hAnsi="Mulish" w:cstheme="minorHAnsi"/>
          <w:szCs w:val="24"/>
        </w:rPr>
        <w:t>%.</w:t>
      </w:r>
    </w:p>
    <w:p w14:paraId="7CA8D920" w14:textId="77777777" w:rsidR="007704A4" w:rsidRPr="00406F06" w:rsidRDefault="007704A4" w:rsidP="007704A4">
      <w:pPr>
        <w:pStyle w:val="Prrafodelista"/>
        <w:tabs>
          <w:tab w:val="left" w:pos="284"/>
        </w:tabs>
        <w:spacing w:before="120" w:after="120" w:line="312" w:lineRule="auto"/>
        <w:jc w:val="both"/>
        <w:rPr>
          <w:rFonts w:ascii="Mulish" w:hAnsi="Mulish" w:cstheme="minorHAnsi"/>
          <w:szCs w:val="24"/>
        </w:rPr>
      </w:pPr>
    </w:p>
    <w:p w14:paraId="5B401E42" w14:textId="79D18FDF" w:rsidR="006F17B5" w:rsidRPr="00406F06" w:rsidRDefault="006F17B5" w:rsidP="009557B1">
      <w:pPr>
        <w:autoSpaceDE w:val="0"/>
        <w:autoSpaceDN w:val="0"/>
        <w:adjustRightInd w:val="0"/>
        <w:spacing w:after="0"/>
        <w:jc w:val="right"/>
        <w:rPr>
          <w:rFonts w:ascii="Mulish" w:hAnsi="Mulish"/>
          <w:szCs w:val="24"/>
        </w:rPr>
      </w:pPr>
      <w:r w:rsidRPr="00406F06">
        <w:rPr>
          <w:rFonts w:ascii="Mulish" w:hAnsi="Mulish" w:cstheme="minorHAnsi"/>
          <w:szCs w:val="24"/>
        </w:rPr>
        <w:t xml:space="preserve">Madrid, </w:t>
      </w:r>
      <w:r w:rsidR="001227B0">
        <w:rPr>
          <w:rFonts w:ascii="Mulish" w:hAnsi="Mulish" w:cstheme="minorHAnsi"/>
          <w:szCs w:val="24"/>
        </w:rPr>
        <w:t>septiembre</w:t>
      </w:r>
      <w:r w:rsidRPr="00406F06">
        <w:rPr>
          <w:rFonts w:ascii="Mulish" w:hAnsi="Mulish" w:cstheme="minorHAnsi"/>
          <w:szCs w:val="24"/>
        </w:rPr>
        <w:t xml:space="preserve"> de 202</w:t>
      </w:r>
      <w:r w:rsidR="001C701F" w:rsidRPr="00406F06">
        <w:rPr>
          <w:rFonts w:ascii="Mulish" w:hAnsi="Mulish" w:cstheme="minorHAnsi"/>
          <w:szCs w:val="24"/>
        </w:rPr>
        <w:t>4</w:t>
      </w:r>
    </w:p>
    <w:sectPr w:rsidR="006F17B5" w:rsidRPr="00406F06" w:rsidSect="009E16B5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040E" w14:textId="77777777" w:rsidR="001B7352" w:rsidRDefault="001B7352" w:rsidP="00344FE7">
      <w:pPr>
        <w:spacing w:after="0" w:line="240" w:lineRule="auto"/>
      </w:pPr>
      <w:r>
        <w:separator/>
      </w:r>
    </w:p>
  </w:endnote>
  <w:endnote w:type="continuationSeparator" w:id="0">
    <w:p w14:paraId="168507A7" w14:textId="77777777" w:rsidR="001B7352" w:rsidRDefault="001B7352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30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1E53FC" w14:textId="77777777" w:rsidR="001B7352" w:rsidRPr="00C23F36" w:rsidRDefault="001B7352" w:rsidP="00C23F36">
        <w:pPr>
          <w:pStyle w:val="Piedepgina"/>
          <w:jc w:val="center"/>
          <w:rPr>
            <w:sz w:val="20"/>
            <w:szCs w:val="20"/>
          </w:rPr>
        </w:pPr>
        <w:r w:rsidRPr="00C23F36">
          <w:rPr>
            <w:sz w:val="20"/>
            <w:szCs w:val="20"/>
          </w:rPr>
          <w:fldChar w:fldCharType="begin"/>
        </w:r>
        <w:r w:rsidRPr="00C23F36">
          <w:rPr>
            <w:sz w:val="20"/>
            <w:szCs w:val="20"/>
          </w:rPr>
          <w:instrText xml:space="preserve"> PAGE   \* MERGEFORMAT </w:instrText>
        </w:r>
        <w:r w:rsidRPr="00C23F36">
          <w:rPr>
            <w:sz w:val="20"/>
            <w:szCs w:val="20"/>
          </w:rPr>
          <w:fldChar w:fldCharType="separate"/>
        </w:r>
        <w:r w:rsidR="00745E83">
          <w:rPr>
            <w:noProof/>
            <w:sz w:val="20"/>
            <w:szCs w:val="20"/>
          </w:rPr>
          <w:t>7</w:t>
        </w:r>
        <w:r w:rsidRPr="00C23F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9DD3" w14:textId="77777777" w:rsidR="001B7352" w:rsidRDefault="001B7352" w:rsidP="00344FE7">
      <w:pPr>
        <w:spacing w:after="0" w:line="240" w:lineRule="auto"/>
      </w:pPr>
      <w:r>
        <w:separator/>
      </w:r>
    </w:p>
  </w:footnote>
  <w:footnote w:type="continuationSeparator" w:id="0">
    <w:p w14:paraId="3FE3DA04" w14:textId="77777777" w:rsidR="001B7352" w:rsidRDefault="001B7352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1C53" w14:textId="77777777" w:rsidR="001B7352" w:rsidRDefault="001B735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E23A25" wp14:editId="47DDA104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7267D5" w14:textId="77777777" w:rsidR="001B7352" w:rsidRDefault="001B7352">
    <w:pPr>
      <w:pStyle w:val="Encabezado"/>
    </w:pPr>
  </w:p>
  <w:p w14:paraId="3E061B63" w14:textId="77777777" w:rsidR="001B7352" w:rsidRDefault="001B7352" w:rsidP="00344FE7">
    <w:pPr>
      <w:pStyle w:val="Encabezado"/>
    </w:pPr>
  </w:p>
  <w:p w14:paraId="0B5589F9" w14:textId="77777777" w:rsidR="001B7352" w:rsidRDefault="001B7352" w:rsidP="00344FE7">
    <w:pPr>
      <w:pStyle w:val="Encabezado"/>
    </w:pPr>
  </w:p>
  <w:p w14:paraId="6B9AC33C" w14:textId="77777777" w:rsidR="001B7352" w:rsidRDefault="001B735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66B5" w14:textId="77777777" w:rsidR="001B7352" w:rsidRDefault="001B7352" w:rsidP="006F5890">
    <w:pPr>
      <w:jc w:val="right"/>
      <w:rPr>
        <w:noProof/>
        <w:lang w:eastAsia="es-ES"/>
      </w:rPr>
    </w:pP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1C76EECC" wp14:editId="19B3C182">
          <wp:simplePos x="0" y="0"/>
          <wp:positionH relativeFrom="column">
            <wp:posOffset>-107950</wp:posOffset>
          </wp:positionH>
          <wp:positionV relativeFrom="line">
            <wp:posOffset>-635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201350F3" wp14:editId="20154103">
          <wp:extent cx="1485900" cy="472440"/>
          <wp:effectExtent l="19050" t="0" r="0" b="0"/>
          <wp:docPr id="1" name="0 Imagen" descr="Logo CTBG A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TBG AAI.jpg"/>
                  <pic:cNvPicPr/>
                </pic:nvPicPr>
                <pic:blipFill>
                  <a:blip r:embed="rId2"/>
                  <a:srcRect l="6329" t="24194" r="2246" b="25732"/>
                  <a:stretch>
                    <a:fillRect/>
                  </a:stretch>
                </pic:blipFill>
                <pic:spPr>
                  <a:xfrm>
                    <a:off x="0" y="0"/>
                    <a:ext cx="14859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341" type="#_x0000_t75" style="width:11.25pt;height:11.25pt" o:bullet="t">
        <v:imagedata r:id="rId1" o:title="BD14529_"/>
      </v:shape>
    </w:pict>
  </w:numPicBullet>
  <w:numPicBullet w:numPicBulletId="1">
    <w:pict>
      <v:shape id="_x0000_i4342" type="#_x0000_t75" style="width:11.25pt;height:11.25pt" o:bullet="t">
        <v:imagedata r:id="rId2" o:title="BD14654_"/>
      </v:shape>
    </w:pict>
  </w:numPicBullet>
  <w:abstractNum w:abstractNumId="0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24A2"/>
    <w:multiLevelType w:val="hybridMultilevel"/>
    <w:tmpl w:val="5FC2F3A2"/>
    <w:lvl w:ilvl="0" w:tplc="6B807E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80BB4"/>
    <w:multiLevelType w:val="hybridMultilevel"/>
    <w:tmpl w:val="59B626CA"/>
    <w:lvl w:ilvl="0" w:tplc="2B4445C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F4C"/>
    <w:multiLevelType w:val="hybridMultilevel"/>
    <w:tmpl w:val="45EA880E"/>
    <w:lvl w:ilvl="0" w:tplc="9F46D7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3E35655"/>
    <w:multiLevelType w:val="hybridMultilevel"/>
    <w:tmpl w:val="C1C4FD7E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C3B9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4A7109"/>
    <w:multiLevelType w:val="hybridMultilevel"/>
    <w:tmpl w:val="54A23FF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16"/>
  </w:num>
  <w:num w:numId="15">
    <w:abstractNumId w:val="8"/>
  </w:num>
  <w:num w:numId="16">
    <w:abstractNumId w:val="9"/>
  </w:num>
  <w:num w:numId="17">
    <w:abstractNumId w:val="5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6776"/>
    <w:rsid w:val="000234B9"/>
    <w:rsid w:val="00024334"/>
    <w:rsid w:val="00033E75"/>
    <w:rsid w:val="00034F48"/>
    <w:rsid w:val="00036A5D"/>
    <w:rsid w:val="0005249D"/>
    <w:rsid w:val="00070294"/>
    <w:rsid w:val="00070950"/>
    <w:rsid w:val="00073E04"/>
    <w:rsid w:val="00074030"/>
    <w:rsid w:val="00077DEC"/>
    <w:rsid w:val="000A41DA"/>
    <w:rsid w:val="000A7C47"/>
    <w:rsid w:val="000B3139"/>
    <w:rsid w:val="000B704A"/>
    <w:rsid w:val="000D4422"/>
    <w:rsid w:val="000E5D1F"/>
    <w:rsid w:val="001227B0"/>
    <w:rsid w:val="001257F9"/>
    <w:rsid w:val="0013625B"/>
    <w:rsid w:val="0014196C"/>
    <w:rsid w:val="001428E1"/>
    <w:rsid w:val="00151290"/>
    <w:rsid w:val="0016439B"/>
    <w:rsid w:val="00173960"/>
    <w:rsid w:val="001750A8"/>
    <w:rsid w:val="00175D6C"/>
    <w:rsid w:val="0018324C"/>
    <w:rsid w:val="00186B56"/>
    <w:rsid w:val="00190952"/>
    <w:rsid w:val="00192060"/>
    <w:rsid w:val="0019362B"/>
    <w:rsid w:val="00194E05"/>
    <w:rsid w:val="001B16D9"/>
    <w:rsid w:val="001B7352"/>
    <w:rsid w:val="001C701F"/>
    <w:rsid w:val="001E44BC"/>
    <w:rsid w:val="001F290B"/>
    <w:rsid w:val="00235A40"/>
    <w:rsid w:val="00251194"/>
    <w:rsid w:val="00292806"/>
    <w:rsid w:val="002A4771"/>
    <w:rsid w:val="002A7933"/>
    <w:rsid w:val="002B66C7"/>
    <w:rsid w:val="002C000A"/>
    <w:rsid w:val="002F5D0B"/>
    <w:rsid w:val="003245B8"/>
    <w:rsid w:val="003259B9"/>
    <w:rsid w:val="00344FE7"/>
    <w:rsid w:val="00351475"/>
    <w:rsid w:val="00356887"/>
    <w:rsid w:val="003656B1"/>
    <w:rsid w:val="003807C3"/>
    <w:rsid w:val="003B0948"/>
    <w:rsid w:val="003B5DE7"/>
    <w:rsid w:val="003D2C6C"/>
    <w:rsid w:val="003D52DF"/>
    <w:rsid w:val="003F0972"/>
    <w:rsid w:val="003F38BD"/>
    <w:rsid w:val="00406F06"/>
    <w:rsid w:val="004108BB"/>
    <w:rsid w:val="004124E7"/>
    <w:rsid w:val="00431713"/>
    <w:rsid w:val="0045134F"/>
    <w:rsid w:val="00466973"/>
    <w:rsid w:val="00470F02"/>
    <w:rsid w:val="0049491F"/>
    <w:rsid w:val="004A7D09"/>
    <w:rsid w:val="004B15B8"/>
    <w:rsid w:val="004D148D"/>
    <w:rsid w:val="004D4EF1"/>
    <w:rsid w:val="00511BED"/>
    <w:rsid w:val="00525FCA"/>
    <w:rsid w:val="0055202A"/>
    <w:rsid w:val="00565608"/>
    <w:rsid w:val="005B1C12"/>
    <w:rsid w:val="005E2370"/>
    <w:rsid w:val="005F0570"/>
    <w:rsid w:val="005F4305"/>
    <w:rsid w:val="005F59A5"/>
    <w:rsid w:val="00614890"/>
    <w:rsid w:val="00620AB5"/>
    <w:rsid w:val="00636FF6"/>
    <w:rsid w:val="006615ED"/>
    <w:rsid w:val="00661ECA"/>
    <w:rsid w:val="006A089C"/>
    <w:rsid w:val="006F17B5"/>
    <w:rsid w:val="006F5890"/>
    <w:rsid w:val="006F5AFB"/>
    <w:rsid w:val="0071472F"/>
    <w:rsid w:val="007342F2"/>
    <w:rsid w:val="00745E83"/>
    <w:rsid w:val="00753179"/>
    <w:rsid w:val="007704A4"/>
    <w:rsid w:val="00772C2A"/>
    <w:rsid w:val="007759D6"/>
    <w:rsid w:val="007A662D"/>
    <w:rsid w:val="007B482F"/>
    <w:rsid w:val="007C00E5"/>
    <w:rsid w:val="007C0642"/>
    <w:rsid w:val="007D24E2"/>
    <w:rsid w:val="00815DA2"/>
    <w:rsid w:val="0085302F"/>
    <w:rsid w:val="00855ECA"/>
    <w:rsid w:val="0089717A"/>
    <w:rsid w:val="00897210"/>
    <w:rsid w:val="00897F59"/>
    <w:rsid w:val="008A2772"/>
    <w:rsid w:val="008B79BD"/>
    <w:rsid w:val="00901F1F"/>
    <w:rsid w:val="009029E0"/>
    <w:rsid w:val="00905D70"/>
    <w:rsid w:val="00910EC2"/>
    <w:rsid w:val="009174BE"/>
    <w:rsid w:val="00931C5F"/>
    <w:rsid w:val="00932252"/>
    <w:rsid w:val="00950524"/>
    <w:rsid w:val="009557B1"/>
    <w:rsid w:val="009951FE"/>
    <w:rsid w:val="009B7ADA"/>
    <w:rsid w:val="009D2560"/>
    <w:rsid w:val="009D6677"/>
    <w:rsid w:val="009E084D"/>
    <w:rsid w:val="009E16B5"/>
    <w:rsid w:val="009E30AA"/>
    <w:rsid w:val="009E6E79"/>
    <w:rsid w:val="00A24192"/>
    <w:rsid w:val="00A26523"/>
    <w:rsid w:val="00A41DE8"/>
    <w:rsid w:val="00A52A4D"/>
    <w:rsid w:val="00A603C7"/>
    <w:rsid w:val="00A62936"/>
    <w:rsid w:val="00A70779"/>
    <w:rsid w:val="00AE5BF4"/>
    <w:rsid w:val="00AF587E"/>
    <w:rsid w:val="00B263E1"/>
    <w:rsid w:val="00B2797F"/>
    <w:rsid w:val="00B31F84"/>
    <w:rsid w:val="00B33F18"/>
    <w:rsid w:val="00B35A53"/>
    <w:rsid w:val="00B4112D"/>
    <w:rsid w:val="00B81EE6"/>
    <w:rsid w:val="00BB48B9"/>
    <w:rsid w:val="00BC7A82"/>
    <w:rsid w:val="00BE33B9"/>
    <w:rsid w:val="00C01613"/>
    <w:rsid w:val="00C0201F"/>
    <w:rsid w:val="00C119CE"/>
    <w:rsid w:val="00C13C51"/>
    <w:rsid w:val="00C23F36"/>
    <w:rsid w:val="00C25FA5"/>
    <w:rsid w:val="00C305B6"/>
    <w:rsid w:val="00C3135F"/>
    <w:rsid w:val="00C506D3"/>
    <w:rsid w:val="00C736B9"/>
    <w:rsid w:val="00C82AB2"/>
    <w:rsid w:val="00C84A98"/>
    <w:rsid w:val="00C86710"/>
    <w:rsid w:val="00C87BC3"/>
    <w:rsid w:val="00C90859"/>
    <w:rsid w:val="00C93842"/>
    <w:rsid w:val="00CB4447"/>
    <w:rsid w:val="00CD334A"/>
    <w:rsid w:val="00CF0704"/>
    <w:rsid w:val="00D23111"/>
    <w:rsid w:val="00D24055"/>
    <w:rsid w:val="00D445A4"/>
    <w:rsid w:val="00D44D27"/>
    <w:rsid w:val="00D44E9D"/>
    <w:rsid w:val="00D55DED"/>
    <w:rsid w:val="00D72EF9"/>
    <w:rsid w:val="00D83A54"/>
    <w:rsid w:val="00D847B0"/>
    <w:rsid w:val="00D91A37"/>
    <w:rsid w:val="00DA126F"/>
    <w:rsid w:val="00DB1735"/>
    <w:rsid w:val="00DB21EC"/>
    <w:rsid w:val="00DB2CB4"/>
    <w:rsid w:val="00DB2CCC"/>
    <w:rsid w:val="00DD07B5"/>
    <w:rsid w:val="00DD49EF"/>
    <w:rsid w:val="00DF5982"/>
    <w:rsid w:val="00DF732C"/>
    <w:rsid w:val="00E03C82"/>
    <w:rsid w:val="00E35741"/>
    <w:rsid w:val="00E4386D"/>
    <w:rsid w:val="00E475B6"/>
    <w:rsid w:val="00E5135F"/>
    <w:rsid w:val="00E64F85"/>
    <w:rsid w:val="00EB7058"/>
    <w:rsid w:val="00EB79A4"/>
    <w:rsid w:val="00EC3AAE"/>
    <w:rsid w:val="00ED6FD3"/>
    <w:rsid w:val="00EF173E"/>
    <w:rsid w:val="00EF5F68"/>
    <w:rsid w:val="00F17B00"/>
    <w:rsid w:val="00F5121D"/>
    <w:rsid w:val="00F7456B"/>
    <w:rsid w:val="00F777C2"/>
    <w:rsid w:val="00FA580C"/>
    <w:rsid w:val="00FC3816"/>
    <w:rsid w:val="00FC651F"/>
    <w:rsid w:val="00FD1DF8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2"/>
    </o:shapelayout>
  </w:shapeDefaults>
  <w:decimalSymbol w:val=","/>
  <w:listSeparator w:val=";"/>
  <w14:docId w14:val="676837A2"/>
  <w15:docId w15:val="{B4431FA1-ED6B-467D-B152-B4AEC6F4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A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AA09-C145-4EF3-86A6-1F9AA1E9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javier.amoros</dc:creator>
  <cp:lastModifiedBy>ANA MARIA RUIZ MARTINEZ</cp:lastModifiedBy>
  <cp:revision>3</cp:revision>
  <cp:lastPrinted>2015-01-27T17:42:00Z</cp:lastPrinted>
  <dcterms:created xsi:type="dcterms:W3CDTF">2024-09-16T14:47:00Z</dcterms:created>
  <dcterms:modified xsi:type="dcterms:W3CDTF">2024-09-16T14:53:00Z</dcterms:modified>
</cp:coreProperties>
</file>