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F12E9" w14:textId="0CD42513" w:rsidR="006F17B5" w:rsidRPr="00406F06" w:rsidRDefault="006F17B5" w:rsidP="001B16D9">
      <w:pPr>
        <w:pStyle w:val="Ttulo1"/>
        <w:jc w:val="both"/>
        <w:rPr>
          <w:rFonts w:ascii="Mulish" w:hAnsi="Mulish"/>
          <w:color w:val="079386"/>
        </w:rPr>
      </w:pPr>
      <w:r w:rsidRPr="00406F06">
        <w:rPr>
          <w:rFonts w:ascii="Mulish" w:hAnsi="Mulish"/>
          <w:color w:val="079386"/>
        </w:rPr>
        <w:t xml:space="preserve">INFORME RELATIVO A LAS OBSERVACIONES REMITIDAS POR </w:t>
      </w:r>
      <w:r w:rsidR="00E86BE0">
        <w:rPr>
          <w:rFonts w:ascii="Mulish" w:hAnsi="Mulish"/>
          <w:color w:val="079386"/>
        </w:rPr>
        <w:t>LA COORDINADORA DE ORGANIZACIONES PARA EL DESARROLLO</w:t>
      </w:r>
      <w:r w:rsidR="00C01C9B">
        <w:rPr>
          <w:rFonts w:ascii="Mulish" w:hAnsi="Mulish"/>
          <w:color w:val="079386"/>
        </w:rPr>
        <w:t xml:space="preserve"> EN</w:t>
      </w:r>
      <w:r w:rsidRPr="00406F06">
        <w:rPr>
          <w:rFonts w:ascii="Mulish" w:hAnsi="Mulish"/>
          <w:color w:val="079386"/>
        </w:rPr>
        <w:t xml:space="preserve"> RELACIÓN CON EL INFORME DEL CTBG SOBRE CUMPLIMIENTO DE LAS OBLIGACIONES DE PUBLICIDAD ACTIVA ESTABLECIDAS POR LA LTAIBG</w:t>
      </w:r>
    </w:p>
    <w:p w14:paraId="093557A1" w14:textId="77777777" w:rsidR="006F17B5" w:rsidRPr="00406F06" w:rsidRDefault="006F17B5" w:rsidP="006F17B5">
      <w:pPr>
        <w:jc w:val="center"/>
        <w:rPr>
          <w:rFonts w:ascii="Mulish" w:hAnsi="Mulish" w:cstheme="minorHAnsi"/>
          <w:szCs w:val="24"/>
        </w:rPr>
      </w:pPr>
    </w:p>
    <w:p w14:paraId="5E6F6CF0" w14:textId="09DE95C3" w:rsidR="00D23111" w:rsidRDefault="00D23111" w:rsidP="009E16B5">
      <w:pPr>
        <w:tabs>
          <w:tab w:val="left" w:pos="284"/>
        </w:tabs>
        <w:spacing w:before="120" w:after="120" w:line="312" w:lineRule="auto"/>
        <w:contextualSpacing/>
        <w:jc w:val="both"/>
        <w:rPr>
          <w:rFonts w:ascii="Mulish" w:hAnsi="Mulish" w:cstheme="minorHAnsi"/>
          <w:szCs w:val="24"/>
        </w:rPr>
      </w:pPr>
      <w:r w:rsidRPr="00406F06">
        <w:rPr>
          <w:rFonts w:ascii="Mulish" w:hAnsi="Mulish" w:cstheme="minorHAnsi"/>
          <w:szCs w:val="24"/>
        </w:rPr>
        <w:t>En contestación a su</w:t>
      </w:r>
      <w:r w:rsidR="00C25FA5" w:rsidRPr="00406F06">
        <w:rPr>
          <w:rFonts w:ascii="Mulish" w:hAnsi="Mulish" w:cstheme="minorHAnsi"/>
          <w:szCs w:val="24"/>
        </w:rPr>
        <w:t xml:space="preserve"> </w:t>
      </w:r>
      <w:r w:rsidR="00C506D3" w:rsidRPr="00406F06">
        <w:rPr>
          <w:rFonts w:ascii="Mulish" w:hAnsi="Mulish" w:cstheme="minorHAnsi"/>
          <w:szCs w:val="24"/>
        </w:rPr>
        <w:t>escrito</w:t>
      </w:r>
      <w:r w:rsidR="00190952" w:rsidRPr="00406F06">
        <w:rPr>
          <w:rFonts w:ascii="Mulish" w:hAnsi="Mulish" w:cstheme="minorHAnsi"/>
          <w:szCs w:val="24"/>
        </w:rPr>
        <w:t xml:space="preserve"> </w:t>
      </w:r>
      <w:r w:rsidR="00565608" w:rsidRPr="00406F06">
        <w:rPr>
          <w:rFonts w:ascii="Mulish" w:hAnsi="Mulish" w:cstheme="minorHAnsi"/>
          <w:szCs w:val="24"/>
        </w:rPr>
        <w:t xml:space="preserve">de fecha </w:t>
      </w:r>
      <w:r w:rsidR="00E86BE0">
        <w:rPr>
          <w:rFonts w:ascii="Mulish" w:hAnsi="Mulish" w:cstheme="minorHAnsi"/>
          <w:szCs w:val="24"/>
        </w:rPr>
        <w:t>2</w:t>
      </w:r>
      <w:r w:rsidRPr="00406F06">
        <w:rPr>
          <w:rFonts w:ascii="Mulish" w:hAnsi="Mulish" w:cstheme="minorHAnsi"/>
          <w:szCs w:val="24"/>
        </w:rPr>
        <w:t xml:space="preserve"> de </w:t>
      </w:r>
      <w:r w:rsidR="00430DED">
        <w:rPr>
          <w:rFonts w:ascii="Mulish" w:hAnsi="Mulish" w:cstheme="minorHAnsi"/>
          <w:szCs w:val="24"/>
        </w:rPr>
        <w:t>agosto</w:t>
      </w:r>
      <w:r w:rsidRPr="00406F06">
        <w:rPr>
          <w:rFonts w:ascii="Mulish" w:hAnsi="Mulish" w:cstheme="minorHAnsi"/>
          <w:szCs w:val="24"/>
        </w:rPr>
        <w:t xml:space="preserve"> de 202</w:t>
      </w:r>
      <w:r w:rsidR="00FA580C" w:rsidRPr="00406F06">
        <w:rPr>
          <w:rFonts w:ascii="Mulish" w:hAnsi="Mulish" w:cstheme="minorHAnsi"/>
          <w:szCs w:val="24"/>
        </w:rPr>
        <w:t>4</w:t>
      </w:r>
      <w:r w:rsidR="00C119CE" w:rsidRPr="00406F06">
        <w:rPr>
          <w:rFonts w:ascii="Mulish" w:hAnsi="Mulish" w:cstheme="minorHAnsi"/>
          <w:szCs w:val="24"/>
        </w:rPr>
        <w:t>,</w:t>
      </w:r>
      <w:r w:rsidR="005B1C12" w:rsidRPr="00406F06">
        <w:rPr>
          <w:rFonts w:ascii="Mulish" w:hAnsi="Mulish" w:cstheme="minorHAnsi"/>
          <w:szCs w:val="24"/>
        </w:rPr>
        <w:t xml:space="preserve"> </w:t>
      </w:r>
      <w:r w:rsidRPr="00406F06">
        <w:rPr>
          <w:rFonts w:ascii="Mulish" w:hAnsi="Mulish" w:cstheme="minorHAnsi"/>
          <w:szCs w:val="24"/>
        </w:rPr>
        <w:t xml:space="preserve">una vez analizadas </w:t>
      </w:r>
      <w:r w:rsidR="00C119CE" w:rsidRPr="00406F06">
        <w:rPr>
          <w:rFonts w:ascii="Mulish" w:hAnsi="Mulish" w:cstheme="minorHAnsi"/>
          <w:szCs w:val="24"/>
        </w:rPr>
        <w:t xml:space="preserve">todas </w:t>
      </w:r>
      <w:r w:rsidRPr="00406F06">
        <w:rPr>
          <w:rFonts w:ascii="Mulish" w:hAnsi="Mulish" w:cstheme="minorHAnsi"/>
          <w:szCs w:val="24"/>
        </w:rPr>
        <w:t xml:space="preserve">las observaciones realizadas al borrador de informe de evaluación </w:t>
      </w:r>
      <w:r w:rsidR="00B81EE6" w:rsidRPr="00406F06">
        <w:rPr>
          <w:rFonts w:ascii="Mulish" w:hAnsi="Mulish" w:cstheme="minorHAnsi"/>
          <w:szCs w:val="24"/>
        </w:rPr>
        <w:t xml:space="preserve">relativo al </w:t>
      </w:r>
      <w:r w:rsidRPr="00406F06">
        <w:rPr>
          <w:rFonts w:ascii="Mulish" w:hAnsi="Mulish" w:cstheme="minorHAnsi"/>
          <w:szCs w:val="24"/>
        </w:rPr>
        <w:t xml:space="preserve">cumplimiento de las obligaciones de publicidad activa por parte de esa </w:t>
      </w:r>
      <w:r w:rsidR="00855ECA" w:rsidRPr="00406F06">
        <w:rPr>
          <w:rFonts w:ascii="Mulish" w:hAnsi="Mulish" w:cstheme="minorHAnsi"/>
          <w:szCs w:val="24"/>
        </w:rPr>
        <w:t>Institución</w:t>
      </w:r>
      <w:r w:rsidRPr="00406F06">
        <w:rPr>
          <w:rFonts w:ascii="Mulish" w:hAnsi="Mulish" w:cstheme="minorHAnsi"/>
          <w:szCs w:val="24"/>
        </w:rPr>
        <w:t>, este CTBG efectúa las siguientes consideraciones:</w:t>
      </w:r>
    </w:p>
    <w:p w14:paraId="0504A690" w14:textId="1E768A40" w:rsidR="00C01C9B" w:rsidRDefault="00C01C9B" w:rsidP="009E16B5">
      <w:pPr>
        <w:tabs>
          <w:tab w:val="left" w:pos="284"/>
        </w:tabs>
        <w:spacing w:before="120" w:after="120" w:line="312" w:lineRule="auto"/>
        <w:contextualSpacing/>
        <w:jc w:val="both"/>
        <w:rPr>
          <w:rFonts w:ascii="Mulish" w:hAnsi="Mulish" w:cstheme="minorHAnsi"/>
          <w:szCs w:val="24"/>
        </w:rPr>
      </w:pPr>
    </w:p>
    <w:p w14:paraId="6DF90766" w14:textId="14BCFBD9" w:rsidR="009E6E79" w:rsidRDefault="009E6E79" w:rsidP="009E6E79">
      <w:pPr>
        <w:tabs>
          <w:tab w:val="left" w:pos="284"/>
        </w:tabs>
        <w:spacing w:before="120" w:after="120" w:line="312" w:lineRule="auto"/>
        <w:jc w:val="both"/>
        <w:rPr>
          <w:rFonts w:ascii="Mulish" w:hAnsi="Mulish" w:cstheme="minorHAnsi"/>
          <w:szCs w:val="24"/>
        </w:rPr>
      </w:pPr>
      <w:r>
        <w:rPr>
          <w:rFonts w:ascii="Mulish" w:hAnsi="Mulish" w:cstheme="minorHAnsi"/>
          <w:szCs w:val="24"/>
        </w:rPr>
        <w:t xml:space="preserve">Este Consejo valora muy positivamente </w:t>
      </w:r>
      <w:r w:rsidR="00FE316D">
        <w:rPr>
          <w:rFonts w:ascii="Mulish" w:hAnsi="Mulish" w:cstheme="minorHAnsi"/>
          <w:szCs w:val="24"/>
        </w:rPr>
        <w:t>la disposición de la Coordinadora para aplicar las recomendaciones de la evaluación. De hecho, todas ellas han sido aplicadas durante el periodo de observaciones al informe provisional de evaluación. No obstante, es preciso señalar que, e</w:t>
      </w:r>
      <w:r w:rsidR="00FE316D" w:rsidRPr="00FE316D">
        <w:rPr>
          <w:rFonts w:ascii="Mulish" w:hAnsi="Mulish" w:cstheme="minorHAnsi"/>
          <w:szCs w:val="24"/>
        </w:rPr>
        <w:t>n relación con las recomendaciones aplicadas durante el periodo de observaciones, este Consejo mantiene el criterio de no modificar los Índices de Cumplimiento cuando se da esta circunstancia. En primer lugar, porque el alcance temporal de la evolución finaliza el día que se envían los informes provisionales para observaciones. No delimitar este alcance implicaría mantener permanentemente abiertos los procesos de evaluación. Y</w:t>
      </w:r>
      <w:r w:rsidR="00625F5D">
        <w:rPr>
          <w:rFonts w:ascii="Mulish" w:hAnsi="Mulish" w:cstheme="minorHAnsi"/>
          <w:szCs w:val="24"/>
        </w:rPr>
        <w:t>,</w:t>
      </w:r>
      <w:r w:rsidR="00FE316D" w:rsidRPr="00FE316D">
        <w:rPr>
          <w:rFonts w:ascii="Mulish" w:hAnsi="Mulish" w:cstheme="minorHAnsi"/>
          <w:szCs w:val="24"/>
        </w:rPr>
        <w:t xml:space="preserve"> en segundo término, porque mantener la posición contraria – recalcular los índices de cumplimiento a la vista de las recomendaciones aplicadas durante esta fase – implicaría favorecer a aquellas organizaciones con mayor capacidad tecnológica frente a aquellas otras que no la tienen.</w:t>
      </w:r>
    </w:p>
    <w:p w14:paraId="31166AAE" w14:textId="364A62CB" w:rsidR="001F6006" w:rsidRDefault="001F6006" w:rsidP="009E6E79">
      <w:pPr>
        <w:tabs>
          <w:tab w:val="left" w:pos="284"/>
        </w:tabs>
        <w:spacing w:before="120" w:after="120" w:line="312" w:lineRule="auto"/>
        <w:jc w:val="both"/>
        <w:rPr>
          <w:rFonts w:ascii="Mulish" w:hAnsi="Mulish" w:cstheme="minorHAnsi"/>
          <w:szCs w:val="24"/>
        </w:rPr>
      </w:pPr>
      <w:r>
        <w:rPr>
          <w:rFonts w:ascii="Mulish" w:hAnsi="Mulish" w:cstheme="minorHAnsi"/>
          <w:szCs w:val="24"/>
        </w:rPr>
        <w:t xml:space="preserve">Con toda seguridad, las mejoras implementadas, redundarán en un incremento del Índice de Cumplimiento, cuando se efectúe una nueva evaluación </w:t>
      </w:r>
      <w:r w:rsidR="00ED012B">
        <w:rPr>
          <w:rFonts w:ascii="Mulish" w:hAnsi="Mulish" w:cstheme="minorHAnsi"/>
          <w:szCs w:val="24"/>
        </w:rPr>
        <w:t>en el año 2025.</w:t>
      </w:r>
    </w:p>
    <w:p w14:paraId="6C0299FB" w14:textId="77777777" w:rsidR="001F6006" w:rsidRPr="009E6E79" w:rsidRDefault="001F6006" w:rsidP="009E6E79">
      <w:pPr>
        <w:tabs>
          <w:tab w:val="left" w:pos="284"/>
        </w:tabs>
        <w:spacing w:before="120" w:after="120" w:line="312" w:lineRule="auto"/>
        <w:jc w:val="both"/>
        <w:rPr>
          <w:rFonts w:ascii="Mulish" w:hAnsi="Mulish" w:cstheme="minorHAnsi"/>
          <w:szCs w:val="24"/>
        </w:rPr>
      </w:pPr>
    </w:p>
    <w:p w14:paraId="7CA8D920" w14:textId="77777777" w:rsidR="007704A4" w:rsidRPr="00406F06" w:rsidRDefault="007704A4" w:rsidP="007704A4">
      <w:pPr>
        <w:pStyle w:val="Prrafodelista"/>
        <w:tabs>
          <w:tab w:val="left" w:pos="284"/>
        </w:tabs>
        <w:spacing w:before="120" w:after="120" w:line="312" w:lineRule="auto"/>
        <w:jc w:val="both"/>
        <w:rPr>
          <w:rFonts w:ascii="Mulish" w:hAnsi="Mulish" w:cstheme="minorHAnsi"/>
          <w:szCs w:val="24"/>
        </w:rPr>
      </w:pPr>
    </w:p>
    <w:p w14:paraId="5B401E42" w14:textId="65DCFFA3" w:rsidR="006F17B5" w:rsidRPr="00406F06" w:rsidRDefault="006F17B5" w:rsidP="009557B1">
      <w:pPr>
        <w:autoSpaceDE w:val="0"/>
        <w:autoSpaceDN w:val="0"/>
        <w:adjustRightInd w:val="0"/>
        <w:spacing w:after="0"/>
        <w:jc w:val="right"/>
        <w:rPr>
          <w:rFonts w:ascii="Mulish" w:hAnsi="Mulish"/>
          <w:szCs w:val="24"/>
        </w:rPr>
      </w:pPr>
      <w:r w:rsidRPr="00406F06">
        <w:rPr>
          <w:rFonts w:ascii="Mulish" w:hAnsi="Mulish" w:cstheme="minorHAnsi"/>
          <w:szCs w:val="24"/>
        </w:rPr>
        <w:t xml:space="preserve">Madrid, </w:t>
      </w:r>
      <w:r w:rsidR="00905D70">
        <w:rPr>
          <w:rFonts w:ascii="Mulish" w:hAnsi="Mulish" w:cstheme="minorHAnsi"/>
          <w:szCs w:val="24"/>
        </w:rPr>
        <w:t>agosto</w:t>
      </w:r>
      <w:r w:rsidRPr="00406F06">
        <w:rPr>
          <w:rFonts w:ascii="Mulish" w:hAnsi="Mulish" w:cstheme="minorHAnsi"/>
          <w:szCs w:val="24"/>
        </w:rPr>
        <w:t xml:space="preserve"> de 202</w:t>
      </w:r>
      <w:r w:rsidR="001C701F" w:rsidRPr="00406F06">
        <w:rPr>
          <w:rFonts w:ascii="Mulish" w:hAnsi="Mulish" w:cstheme="minorHAnsi"/>
          <w:szCs w:val="24"/>
        </w:rPr>
        <w:t>4</w:t>
      </w:r>
    </w:p>
    <w:sectPr w:rsidR="006F17B5" w:rsidRPr="00406F06"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040E" w14:textId="77777777" w:rsidR="001B7352" w:rsidRDefault="001B7352" w:rsidP="00344FE7">
      <w:pPr>
        <w:spacing w:after="0" w:line="240" w:lineRule="auto"/>
      </w:pPr>
      <w:r>
        <w:separator/>
      </w:r>
    </w:p>
  </w:endnote>
  <w:endnote w:type="continuationSeparator" w:id="0">
    <w:p w14:paraId="168507A7" w14:textId="77777777" w:rsidR="001B7352" w:rsidRDefault="001B7352"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30167"/>
      <w:docPartObj>
        <w:docPartGallery w:val="Page Numbers (Bottom of Page)"/>
        <w:docPartUnique/>
      </w:docPartObj>
    </w:sdtPr>
    <w:sdtEndPr>
      <w:rPr>
        <w:sz w:val="20"/>
        <w:szCs w:val="20"/>
      </w:rPr>
    </w:sdtEndPr>
    <w:sdtContent>
      <w:p w14:paraId="711E53FC" w14:textId="77777777" w:rsidR="001B7352" w:rsidRPr="00C23F36" w:rsidRDefault="001B7352"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745E83">
          <w:rPr>
            <w:noProof/>
            <w:sz w:val="20"/>
            <w:szCs w:val="20"/>
          </w:rPr>
          <w:t>7</w:t>
        </w:r>
        <w:r w:rsidRPr="00C23F3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59DD3" w14:textId="77777777" w:rsidR="001B7352" w:rsidRDefault="001B7352" w:rsidP="00344FE7">
      <w:pPr>
        <w:spacing w:after="0" w:line="240" w:lineRule="auto"/>
      </w:pPr>
      <w:r>
        <w:separator/>
      </w:r>
    </w:p>
  </w:footnote>
  <w:footnote w:type="continuationSeparator" w:id="0">
    <w:p w14:paraId="3FE3DA04" w14:textId="77777777" w:rsidR="001B7352" w:rsidRDefault="001B7352" w:rsidP="00344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1C53" w14:textId="77777777" w:rsidR="001B7352" w:rsidRDefault="001B7352">
    <w:pPr>
      <w:pStyle w:val="Encabezado"/>
    </w:pPr>
    <w:r>
      <w:rPr>
        <w:noProof/>
        <w:lang w:eastAsia="es-ES"/>
      </w:rPr>
      <w:drawing>
        <wp:anchor distT="0" distB="0" distL="0" distR="0" simplePos="0" relativeHeight="251670528" behindDoc="0" locked="0" layoutInCell="1" allowOverlap="0" wp14:anchorId="7EE23A25" wp14:editId="47DDA104">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14:paraId="167267D5" w14:textId="77777777" w:rsidR="001B7352" w:rsidRDefault="001B7352">
    <w:pPr>
      <w:pStyle w:val="Encabezado"/>
    </w:pPr>
  </w:p>
  <w:p w14:paraId="3E061B63" w14:textId="77777777" w:rsidR="001B7352" w:rsidRDefault="001B7352" w:rsidP="00344FE7">
    <w:pPr>
      <w:pStyle w:val="Encabezado"/>
    </w:pPr>
  </w:p>
  <w:p w14:paraId="0B5589F9" w14:textId="77777777" w:rsidR="001B7352" w:rsidRDefault="001B7352" w:rsidP="00344FE7">
    <w:pPr>
      <w:pStyle w:val="Encabezado"/>
    </w:pPr>
  </w:p>
  <w:p w14:paraId="6B9AC33C" w14:textId="77777777" w:rsidR="001B7352" w:rsidRDefault="001B7352" w:rsidP="00344F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66B5" w14:textId="77777777" w:rsidR="001B7352" w:rsidRDefault="001B7352" w:rsidP="006F5890">
    <w:pPr>
      <w:jc w:val="right"/>
      <w:rPr>
        <w:noProof/>
        <w:lang w:eastAsia="es-ES"/>
      </w:rPr>
    </w:pPr>
    <w:r>
      <w:rPr>
        <w:noProof/>
        <w:lang w:eastAsia="es-ES"/>
      </w:rPr>
      <w:drawing>
        <wp:anchor distT="0" distB="0" distL="0" distR="0" simplePos="0" relativeHeight="251668480" behindDoc="0" locked="0" layoutInCell="1" allowOverlap="0" wp14:anchorId="1C76EECC" wp14:editId="19B3C182">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201350F3" wp14:editId="20154103">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650" type="#_x0000_t75" style="width:11.25pt;height:11.25pt" o:bullet="t">
        <v:imagedata r:id="rId1" o:title="BD14529_"/>
      </v:shape>
    </w:pict>
  </w:numPicBullet>
  <w:numPicBullet w:numPicBulletId="1">
    <w:pict>
      <v:shape id="_x0000_i2651" type="#_x0000_t75" style="width:11.25pt;height:11.25pt" o:bullet="t">
        <v:imagedata r:id="rId2" o:title="BD14654_"/>
      </v:shape>
    </w:pict>
  </w:numPicBullet>
  <w:abstractNum w:abstractNumId="0" w15:restartNumberingAfterBreak="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9B24A2"/>
    <w:multiLevelType w:val="hybridMultilevel"/>
    <w:tmpl w:val="5FC2F3A2"/>
    <w:lvl w:ilvl="0" w:tplc="6B807E78">
      <w:start w:val="2"/>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C880BB4"/>
    <w:multiLevelType w:val="hybridMultilevel"/>
    <w:tmpl w:val="59B626CA"/>
    <w:lvl w:ilvl="0" w:tplc="2B4445C0">
      <w:start w:val="3"/>
      <w:numFmt w:val="lowerLetter"/>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E523F4C"/>
    <w:multiLevelType w:val="hybridMultilevel"/>
    <w:tmpl w:val="45EA880E"/>
    <w:lvl w:ilvl="0" w:tplc="9F46D75E">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25D577D"/>
    <w:multiLevelType w:val="hybridMultilevel"/>
    <w:tmpl w:val="242E57DA"/>
    <w:lvl w:ilvl="0" w:tplc="FA7C346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0" w15:restartNumberingAfterBreak="0">
    <w:nsid w:val="33E35655"/>
    <w:multiLevelType w:val="hybridMultilevel"/>
    <w:tmpl w:val="C1C4FD7E"/>
    <w:lvl w:ilvl="0" w:tplc="6652D48A">
      <w:start w:val="1"/>
      <w:numFmt w:val="decimal"/>
      <w:lvlText w:val="%1."/>
      <w:lvlJc w:val="left"/>
      <w:pPr>
        <w:ind w:left="720" w:hanging="360"/>
      </w:pPr>
      <w:rPr>
        <w:rFonts w:hint="default"/>
      </w:rPr>
    </w:lvl>
    <w:lvl w:ilvl="1" w:tplc="60FC3B96">
      <w:start w:val="1"/>
      <w:numFmt w:val="lowerLetter"/>
      <w:lvlText w:val="%2."/>
      <w:lvlJc w:val="left"/>
      <w:pPr>
        <w:ind w:left="1440" w:hanging="360"/>
      </w:pPr>
      <w:rPr>
        <w:rFonts w:hint="default"/>
        <w:b w:val="0"/>
        <w:i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454A7109"/>
    <w:multiLevelType w:val="hybridMultilevel"/>
    <w:tmpl w:val="54A23FFC"/>
    <w:lvl w:ilvl="0" w:tplc="0C0A000F">
      <w:start w:val="1"/>
      <w:numFmt w:val="decimal"/>
      <w:lvlText w:val="%1."/>
      <w:lvlJc w:val="left"/>
      <w:pPr>
        <w:ind w:left="1080" w:hanging="360"/>
      </w:p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499C18D2"/>
    <w:multiLevelType w:val="hybridMultilevel"/>
    <w:tmpl w:val="3DA2F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C7C7B71"/>
    <w:multiLevelType w:val="hybridMultilevel"/>
    <w:tmpl w:val="DB7E0618"/>
    <w:lvl w:ilvl="0" w:tplc="E29C0F0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5CF331C2"/>
    <w:multiLevelType w:val="hybridMultilevel"/>
    <w:tmpl w:val="4C2CA0A6"/>
    <w:lvl w:ilvl="0" w:tplc="EEE466C2">
      <w:start w:val="5"/>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7"/>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0"/>
  </w:num>
  <w:num w:numId="11">
    <w:abstractNumId w:val="10"/>
  </w:num>
  <w:num w:numId="12">
    <w:abstractNumId w:val="13"/>
  </w:num>
  <w:num w:numId="13">
    <w:abstractNumId w:val="14"/>
  </w:num>
  <w:num w:numId="14">
    <w:abstractNumId w:val="16"/>
  </w:num>
  <w:num w:numId="15">
    <w:abstractNumId w:val="8"/>
  </w:num>
  <w:num w:numId="16">
    <w:abstractNumId w:val="9"/>
  </w:num>
  <w:num w:numId="17">
    <w:abstractNumId w:val="5"/>
  </w:num>
  <w:num w:numId="18">
    <w:abstractNumId w:val="1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E7"/>
    <w:rsid w:val="00003EA5"/>
    <w:rsid w:val="00006776"/>
    <w:rsid w:val="000234B9"/>
    <w:rsid w:val="00033E75"/>
    <w:rsid w:val="00034F48"/>
    <w:rsid w:val="00036A5D"/>
    <w:rsid w:val="0005249D"/>
    <w:rsid w:val="00070294"/>
    <w:rsid w:val="00070950"/>
    <w:rsid w:val="00073E04"/>
    <w:rsid w:val="00074030"/>
    <w:rsid w:val="00077DEC"/>
    <w:rsid w:val="000A41DA"/>
    <w:rsid w:val="000A7C47"/>
    <w:rsid w:val="000B3139"/>
    <w:rsid w:val="000B704A"/>
    <w:rsid w:val="000D4422"/>
    <w:rsid w:val="000E5D1F"/>
    <w:rsid w:val="001257F9"/>
    <w:rsid w:val="0013625B"/>
    <w:rsid w:val="0014196C"/>
    <w:rsid w:val="001428E1"/>
    <w:rsid w:val="00151290"/>
    <w:rsid w:val="0016439B"/>
    <w:rsid w:val="00173960"/>
    <w:rsid w:val="001750A8"/>
    <w:rsid w:val="00175D6C"/>
    <w:rsid w:val="0018324C"/>
    <w:rsid w:val="00186B56"/>
    <w:rsid w:val="00190952"/>
    <w:rsid w:val="00192060"/>
    <w:rsid w:val="0019362B"/>
    <w:rsid w:val="00194E05"/>
    <w:rsid w:val="001B16D9"/>
    <w:rsid w:val="001B7352"/>
    <w:rsid w:val="001C701F"/>
    <w:rsid w:val="001E44BC"/>
    <w:rsid w:val="001F290B"/>
    <w:rsid w:val="001F6006"/>
    <w:rsid w:val="00235A40"/>
    <w:rsid w:val="00251194"/>
    <w:rsid w:val="00292806"/>
    <w:rsid w:val="002A4771"/>
    <w:rsid w:val="002A7933"/>
    <w:rsid w:val="002B66C7"/>
    <w:rsid w:val="002C000A"/>
    <w:rsid w:val="002C5FBB"/>
    <w:rsid w:val="002F5D0B"/>
    <w:rsid w:val="003245B8"/>
    <w:rsid w:val="003259B9"/>
    <w:rsid w:val="00344FE7"/>
    <w:rsid w:val="00351475"/>
    <w:rsid w:val="00356887"/>
    <w:rsid w:val="003656B1"/>
    <w:rsid w:val="003B0948"/>
    <w:rsid w:val="003B5DE7"/>
    <w:rsid w:val="003D2C6C"/>
    <w:rsid w:val="003D52DF"/>
    <w:rsid w:val="003F0972"/>
    <w:rsid w:val="003F38BD"/>
    <w:rsid w:val="00406F06"/>
    <w:rsid w:val="004108BB"/>
    <w:rsid w:val="004124E7"/>
    <w:rsid w:val="00430DED"/>
    <w:rsid w:val="00431713"/>
    <w:rsid w:val="0045134F"/>
    <w:rsid w:val="00466973"/>
    <w:rsid w:val="00470F02"/>
    <w:rsid w:val="0049491F"/>
    <w:rsid w:val="004A7D09"/>
    <w:rsid w:val="004B15B8"/>
    <w:rsid w:val="004D148D"/>
    <w:rsid w:val="004D4EF1"/>
    <w:rsid w:val="00511BED"/>
    <w:rsid w:val="00525FCA"/>
    <w:rsid w:val="0055202A"/>
    <w:rsid w:val="00565608"/>
    <w:rsid w:val="005B1C12"/>
    <w:rsid w:val="005E2370"/>
    <w:rsid w:val="005F0570"/>
    <w:rsid w:val="005F4305"/>
    <w:rsid w:val="005F59A5"/>
    <w:rsid w:val="00614890"/>
    <w:rsid w:val="00620AB5"/>
    <w:rsid w:val="00625F5D"/>
    <w:rsid w:val="00636FF6"/>
    <w:rsid w:val="006615ED"/>
    <w:rsid w:val="00661ECA"/>
    <w:rsid w:val="006A089C"/>
    <w:rsid w:val="006F17B5"/>
    <w:rsid w:val="006F5890"/>
    <w:rsid w:val="006F5AFB"/>
    <w:rsid w:val="0071472F"/>
    <w:rsid w:val="007342F2"/>
    <w:rsid w:val="00745E83"/>
    <w:rsid w:val="00753179"/>
    <w:rsid w:val="007704A4"/>
    <w:rsid w:val="00772C2A"/>
    <w:rsid w:val="007759D6"/>
    <w:rsid w:val="007A662D"/>
    <w:rsid w:val="007B482F"/>
    <w:rsid w:val="007C00E5"/>
    <w:rsid w:val="007C0642"/>
    <w:rsid w:val="007D24E2"/>
    <w:rsid w:val="00815DA2"/>
    <w:rsid w:val="0085302F"/>
    <w:rsid w:val="00855ECA"/>
    <w:rsid w:val="0089717A"/>
    <w:rsid w:val="00897210"/>
    <w:rsid w:val="00897F59"/>
    <w:rsid w:val="008A2772"/>
    <w:rsid w:val="008B79BD"/>
    <w:rsid w:val="008C61A3"/>
    <w:rsid w:val="00901F1F"/>
    <w:rsid w:val="009029E0"/>
    <w:rsid w:val="00905D70"/>
    <w:rsid w:val="00910EC2"/>
    <w:rsid w:val="00931C5F"/>
    <w:rsid w:val="00932252"/>
    <w:rsid w:val="00950524"/>
    <w:rsid w:val="009557B1"/>
    <w:rsid w:val="009951FE"/>
    <w:rsid w:val="009B7ADA"/>
    <w:rsid w:val="009D2560"/>
    <w:rsid w:val="009D6677"/>
    <w:rsid w:val="009E084D"/>
    <w:rsid w:val="009E16B5"/>
    <w:rsid w:val="009E30AA"/>
    <w:rsid w:val="009E6E79"/>
    <w:rsid w:val="00A24192"/>
    <w:rsid w:val="00A26523"/>
    <w:rsid w:val="00A41DE8"/>
    <w:rsid w:val="00A52A4D"/>
    <w:rsid w:val="00A603C7"/>
    <w:rsid w:val="00A62936"/>
    <w:rsid w:val="00A70779"/>
    <w:rsid w:val="00AE5BF4"/>
    <w:rsid w:val="00AF587E"/>
    <w:rsid w:val="00B263E1"/>
    <w:rsid w:val="00B2797F"/>
    <w:rsid w:val="00B31F84"/>
    <w:rsid w:val="00B33F18"/>
    <w:rsid w:val="00B35A53"/>
    <w:rsid w:val="00B4112D"/>
    <w:rsid w:val="00B81EE6"/>
    <w:rsid w:val="00BB48B9"/>
    <w:rsid w:val="00BC7A82"/>
    <w:rsid w:val="00BE33B9"/>
    <w:rsid w:val="00C01613"/>
    <w:rsid w:val="00C01C9B"/>
    <w:rsid w:val="00C0201F"/>
    <w:rsid w:val="00C119CE"/>
    <w:rsid w:val="00C13C51"/>
    <w:rsid w:val="00C23F36"/>
    <w:rsid w:val="00C25FA5"/>
    <w:rsid w:val="00C305B6"/>
    <w:rsid w:val="00C3135F"/>
    <w:rsid w:val="00C506D3"/>
    <w:rsid w:val="00C736B9"/>
    <w:rsid w:val="00C82AB2"/>
    <w:rsid w:val="00C84A98"/>
    <w:rsid w:val="00C86710"/>
    <w:rsid w:val="00C87BC3"/>
    <w:rsid w:val="00C90859"/>
    <w:rsid w:val="00C93842"/>
    <w:rsid w:val="00CB4447"/>
    <w:rsid w:val="00CD334A"/>
    <w:rsid w:val="00CF0704"/>
    <w:rsid w:val="00D23111"/>
    <w:rsid w:val="00D24055"/>
    <w:rsid w:val="00D445A4"/>
    <w:rsid w:val="00D44D27"/>
    <w:rsid w:val="00D44E9D"/>
    <w:rsid w:val="00D55DED"/>
    <w:rsid w:val="00D72EF9"/>
    <w:rsid w:val="00D847B0"/>
    <w:rsid w:val="00D91A37"/>
    <w:rsid w:val="00DA126F"/>
    <w:rsid w:val="00DB1735"/>
    <w:rsid w:val="00DB21EC"/>
    <w:rsid w:val="00DB2CB4"/>
    <w:rsid w:val="00DB2CCC"/>
    <w:rsid w:val="00DD07B5"/>
    <w:rsid w:val="00DD49EF"/>
    <w:rsid w:val="00DF5982"/>
    <w:rsid w:val="00E03C82"/>
    <w:rsid w:val="00E35741"/>
    <w:rsid w:val="00E4386D"/>
    <w:rsid w:val="00E475B6"/>
    <w:rsid w:val="00E5135F"/>
    <w:rsid w:val="00E64F85"/>
    <w:rsid w:val="00E86BE0"/>
    <w:rsid w:val="00EB7058"/>
    <w:rsid w:val="00EB79A4"/>
    <w:rsid w:val="00EC3AAE"/>
    <w:rsid w:val="00ED012B"/>
    <w:rsid w:val="00ED6FD3"/>
    <w:rsid w:val="00EF173E"/>
    <w:rsid w:val="00EF5F68"/>
    <w:rsid w:val="00F17B00"/>
    <w:rsid w:val="00F5121D"/>
    <w:rsid w:val="00F7456B"/>
    <w:rsid w:val="00F777C2"/>
    <w:rsid w:val="00FA580C"/>
    <w:rsid w:val="00FC3816"/>
    <w:rsid w:val="00FC651F"/>
    <w:rsid w:val="00FD1DF8"/>
    <w:rsid w:val="00FD6D61"/>
    <w:rsid w:val="00FE31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2"/>
    </o:shapelayout>
  </w:shapeDefaults>
  <w:decimalSymbol w:val=","/>
  <w:listSeparator w:val=";"/>
  <w14:docId w14:val="676837A2"/>
  <w15:docId w15:val="{B4431FA1-ED6B-467D-B152-B4AEC6F4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notaalpie">
    <w:name w:val="footnote reference"/>
    <w:basedOn w:val="Fuentedeprrafopredeter"/>
    <w:uiPriority w:val="99"/>
    <w:semiHidden/>
    <w:unhideWhenUsed/>
    <w:rsid w:val="009E084D"/>
    <w:rPr>
      <w:vertAlign w:val="superscript"/>
    </w:rPr>
  </w:style>
  <w:style w:type="table" w:customStyle="1" w:styleId="Tablaconcuadrcula1">
    <w:name w:val="Tabla con cuadrícula1"/>
    <w:basedOn w:val="Tablanormal"/>
    <w:next w:val="Tablaconcuadrcula"/>
    <w:uiPriority w:val="59"/>
    <w:rsid w:val="00151290"/>
    <w:pPr>
      <w:spacing w:after="0" w:line="240" w:lineRule="auto"/>
    </w:pPr>
    <w:rPr>
      <w:rFonts w:asciiTheme="minorHAnsi" w:eastAsiaTheme="minorEastAsia" w:hAnsiTheme="minorHAnsi"/>
      <w:sz w:val="22"/>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aclara">
    <w:name w:val="Light List"/>
    <w:basedOn w:val="Tablanormal"/>
    <w:uiPriority w:val="61"/>
    <w:rsid w:val="0019362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Mencinsinresolver">
    <w:name w:val="Unresolved Mention"/>
    <w:basedOn w:val="Fuentedeprrafopredeter"/>
    <w:uiPriority w:val="99"/>
    <w:semiHidden/>
    <w:unhideWhenUsed/>
    <w:rsid w:val="00FA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9AA09-C145-4EF3-86A6-1F9AA1E9D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261</Words>
  <Characters>1439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 MARIA RUIZ MARTINEZ</cp:lastModifiedBy>
  <cp:revision>4</cp:revision>
  <cp:lastPrinted>2015-01-27T17:42:00Z</cp:lastPrinted>
  <dcterms:created xsi:type="dcterms:W3CDTF">2024-08-29T11:01:00Z</dcterms:created>
  <dcterms:modified xsi:type="dcterms:W3CDTF">2024-08-29T11:06:00Z</dcterms:modified>
</cp:coreProperties>
</file>