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AB30" w14:textId="73147A23" w:rsidR="00BA4068" w:rsidRPr="00B80115" w:rsidRDefault="00597D3E" w:rsidP="00CD436E">
      <w:pPr>
        <w:pStyle w:val="Textoindependiente"/>
        <w:spacing w:before="88" w:line="276" w:lineRule="auto"/>
        <w:ind w:right="21"/>
        <w:jc w:val="center"/>
        <w:rPr>
          <w:color w:val="0C0C0C" w:themeColor="text1"/>
          <w:sz w:val="22"/>
          <w:szCs w:val="22"/>
          <w:u w:val="single"/>
        </w:rPr>
      </w:pPr>
      <w:r>
        <w:rPr>
          <w:color w:val="0C0C0C" w:themeColor="text1"/>
          <w:sz w:val="22"/>
          <w:szCs w:val="22"/>
          <w:u w:val="single"/>
        </w:rPr>
        <w:t xml:space="preserve">El Consejo de Transparencia publica </w:t>
      </w:r>
      <w:r w:rsidR="003B6659">
        <w:rPr>
          <w:color w:val="0C0C0C" w:themeColor="text1"/>
          <w:sz w:val="22"/>
          <w:szCs w:val="22"/>
          <w:u w:val="single"/>
        </w:rPr>
        <w:t>los i</w:t>
      </w:r>
      <w:r>
        <w:rPr>
          <w:color w:val="0C0C0C" w:themeColor="text1"/>
          <w:sz w:val="22"/>
          <w:szCs w:val="22"/>
          <w:u w:val="single"/>
        </w:rPr>
        <w:t>nforme</w:t>
      </w:r>
      <w:r w:rsidR="003B6659">
        <w:rPr>
          <w:color w:val="0C0C0C" w:themeColor="text1"/>
          <w:sz w:val="22"/>
          <w:szCs w:val="22"/>
          <w:u w:val="single"/>
        </w:rPr>
        <w:t>s</w:t>
      </w:r>
      <w:r>
        <w:rPr>
          <w:color w:val="0C0C0C" w:themeColor="text1"/>
          <w:sz w:val="22"/>
          <w:szCs w:val="22"/>
          <w:u w:val="single"/>
        </w:rPr>
        <w:t xml:space="preserve"> de evaluación 2024 de las obligaciones de publicidad activa </w:t>
      </w:r>
      <w:r w:rsidR="00B3521D">
        <w:rPr>
          <w:color w:val="0C0C0C" w:themeColor="text1"/>
          <w:sz w:val="22"/>
          <w:szCs w:val="22"/>
          <w:u w:val="single"/>
        </w:rPr>
        <w:t>de</w:t>
      </w:r>
      <w:r w:rsidR="00DA2CF7">
        <w:rPr>
          <w:color w:val="0C0C0C" w:themeColor="text1"/>
          <w:sz w:val="22"/>
          <w:szCs w:val="22"/>
          <w:u w:val="single"/>
        </w:rPr>
        <w:t xml:space="preserve"> una muestra de </w:t>
      </w:r>
      <w:r w:rsidR="00AA0900">
        <w:rPr>
          <w:color w:val="0C0C0C" w:themeColor="text1"/>
          <w:sz w:val="22"/>
          <w:szCs w:val="22"/>
          <w:u w:val="single"/>
        </w:rPr>
        <w:t xml:space="preserve">entidades </w:t>
      </w:r>
      <w:r>
        <w:rPr>
          <w:color w:val="0C0C0C" w:themeColor="text1"/>
          <w:sz w:val="22"/>
          <w:szCs w:val="22"/>
          <w:u w:val="single"/>
        </w:rPr>
        <w:t>privadas</w:t>
      </w:r>
    </w:p>
    <w:p w14:paraId="5B11E2F9" w14:textId="77777777" w:rsidR="00BA4068" w:rsidRPr="00B80115" w:rsidRDefault="00BA4068" w:rsidP="00A666AD">
      <w:pPr>
        <w:pStyle w:val="Textoindependiente"/>
        <w:spacing w:before="88" w:line="276" w:lineRule="auto"/>
        <w:ind w:right="21"/>
        <w:rPr>
          <w:color w:val="0C0C0C" w:themeColor="text1"/>
          <w:sz w:val="22"/>
          <w:szCs w:val="22"/>
        </w:rPr>
      </w:pPr>
    </w:p>
    <w:p w14:paraId="22CAA2E0" w14:textId="6DAEF098" w:rsidR="00A666AD" w:rsidRDefault="00597D3E" w:rsidP="00CD436E">
      <w:pPr>
        <w:tabs>
          <w:tab w:val="left" w:pos="2535"/>
        </w:tabs>
        <w:jc w:val="center"/>
        <w:rPr>
          <w:rFonts w:ascii="Mulish" w:eastAsia="Mulish" w:hAnsi="Mulish" w:cs="Mulish"/>
          <w:b/>
          <w:bCs/>
          <w:color w:val="0C0C0C" w:themeColor="text1"/>
          <w:lang w:eastAsia="es-ES" w:bidi="es-ES"/>
        </w:rPr>
      </w:pPr>
      <w:r w:rsidRPr="00597D3E">
        <w:rPr>
          <w:rFonts w:ascii="Mulish" w:eastAsia="Mulish" w:hAnsi="Mulish" w:cs="Mulish"/>
          <w:b/>
          <w:bCs/>
          <w:color w:val="0C0C0C" w:themeColor="text1"/>
          <w:lang w:eastAsia="es-ES" w:bidi="es-ES"/>
        </w:rPr>
        <w:t xml:space="preserve">EL ÍNDICE MEDIO DE CUMPLIMIENTO DE LAS OBLIGACIONES DE TRANSPARENCIA POR LAS ENTIDADES </w:t>
      </w:r>
      <w:r w:rsidR="00CD436E">
        <w:rPr>
          <w:rFonts w:ascii="Mulish" w:eastAsia="Mulish" w:hAnsi="Mulish" w:cs="Mulish"/>
          <w:b/>
          <w:bCs/>
          <w:color w:val="0C0C0C" w:themeColor="text1"/>
          <w:lang w:eastAsia="es-ES" w:bidi="es-ES"/>
        </w:rPr>
        <w:t xml:space="preserve">PRIVADAS </w:t>
      </w:r>
      <w:r w:rsidRPr="00597D3E">
        <w:rPr>
          <w:rFonts w:ascii="Mulish" w:eastAsia="Mulish" w:hAnsi="Mulish" w:cs="Mulish"/>
          <w:b/>
          <w:bCs/>
          <w:color w:val="0C0C0C" w:themeColor="text1"/>
          <w:lang w:eastAsia="es-ES" w:bidi="es-ES"/>
        </w:rPr>
        <w:t xml:space="preserve">PERCEPTORAS DE SUBVENCIONES Y AYUDAS PÚBLICAS </w:t>
      </w:r>
      <w:r w:rsidR="00DA2CF7">
        <w:rPr>
          <w:rFonts w:ascii="Mulish" w:eastAsia="Mulish" w:hAnsi="Mulish" w:cs="Mulish"/>
          <w:b/>
          <w:bCs/>
          <w:color w:val="0C0C0C" w:themeColor="text1"/>
          <w:lang w:eastAsia="es-ES" w:bidi="es-ES"/>
        </w:rPr>
        <w:t>ES D</w:t>
      </w:r>
      <w:r w:rsidRPr="00597D3E">
        <w:rPr>
          <w:rFonts w:ascii="Mulish" w:eastAsia="Mulish" w:hAnsi="Mulish" w:cs="Mulish"/>
          <w:b/>
          <w:bCs/>
          <w:color w:val="0C0C0C" w:themeColor="text1"/>
          <w:lang w:eastAsia="es-ES" w:bidi="es-ES"/>
        </w:rPr>
        <w:t xml:space="preserve">EL </w:t>
      </w:r>
      <w:r w:rsidRPr="00C27BA6">
        <w:rPr>
          <w:rFonts w:ascii="Mulish" w:eastAsia="Mulish" w:hAnsi="Mulish" w:cs="Mulish"/>
          <w:b/>
          <w:bCs/>
          <w:color w:val="0C0C0C" w:themeColor="text1"/>
          <w:lang w:eastAsia="es-ES" w:bidi="es-ES"/>
        </w:rPr>
        <w:t>3</w:t>
      </w:r>
      <w:r w:rsidR="00C27BA6" w:rsidRPr="00C27BA6">
        <w:rPr>
          <w:rFonts w:ascii="Mulish" w:eastAsia="Mulish" w:hAnsi="Mulish" w:cs="Mulish"/>
          <w:b/>
          <w:bCs/>
          <w:color w:val="0C0C0C" w:themeColor="text1"/>
          <w:lang w:eastAsia="es-ES" w:bidi="es-ES"/>
        </w:rPr>
        <w:t>7</w:t>
      </w:r>
      <w:r w:rsidRPr="00C27BA6">
        <w:rPr>
          <w:rFonts w:ascii="Mulish" w:eastAsia="Mulish" w:hAnsi="Mulish" w:cs="Mulish"/>
          <w:b/>
          <w:bCs/>
          <w:color w:val="0C0C0C" w:themeColor="text1"/>
          <w:lang w:eastAsia="es-ES" w:bidi="es-ES"/>
        </w:rPr>
        <w:t>,</w:t>
      </w:r>
      <w:r w:rsidR="00C27BA6" w:rsidRPr="00C27BA6">
        <w:rPr>
          <w:rFonts w:ascii="Mulish" w:eastAsia="Mulish" w:hAnsi="Mulish" w:cs="Mulish"/>
          <w:b/>
          <w:bCs/>
          <w:color w:val="0C0C0C" w:themeColor="text1"/>
          <w:lang w:eastAsia="es-ES" w:bidi="es-ES"/>
        </w:rPr>
        <w:t>6</w:t>
      </w:r>
      <w:r w:rsidRPr="00C27BA6">
        <w:rPr>
          <w:rFonts w:ascii="Mulish" w:eastAsia="Mulish" w:hAnsi="Mulish" w:cs="Mulish"/>
          <w:b/>
          <w:bCs/>
          <w:color w:val="0C0C0C" w:themeColor="text1"/>
          <w:lang w:eastAsia="es-ES" w:bidi="es-ES"/>
        </w:rPr>
        <w:t>%</w:t>
      </w:r>
    </w:p>
    <w:p w14:paraId="6B5902FB" w14:textId="77777777" w:rsidR="009C1C4B" w:rsidRDefault="009C1C4B" w:rsidP="007101D5">
      <w:pPr>
        <w:tabs>
          <w:tab w:val="left" w:pos="2535"/>
        </w:tabs>
        <w:spacing w:after="120"/>
        <w:rPr>
          <w:rFonts w:ascii="Mulish" w:eastAsia="Mulish" w:hAnsi="Mulish" w:cs="Mulish"/>
          <w:b/>
          <w:bCs/>
          <w:color w:val="0C0C0C" w:themeColor="text1"/>
          <w:lang w:eastAsia="es-ES" w:bidi="es-ES"/>
        </w:rPr>
      </w:pPr>
    </w:p>
    <w:p w14:paraId="32184E3B" w14:textId="34F0868E" w:rsidR="00285BCA" w:rsidRDefault="00285BCA" w:rsidP="00BA4068">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El Consejo</w:t>
      </w:r>
      <w:r w:rsidR="00597D3E">
        <w:rPr>
          <w:rFonts w:ascii="Mulish" w:eastAsia="Mulish" w:hAnsi="Mulish" w:cs="Mulish"/>
          <w:color w:val="0C0C0C" w:themeColor="text1"/>
          <w:lang w:eastAsia="es-ES" w:bidi="es-ES"/>
        </w:rPr>
        <w:t xml:space="preserve"> ha </w:t>
      </w:r>
      <w:r w:rsidR="00597D3E" w:rsidRPr="001565DF">
        <w:rPr>
          <w:rFonts w:ascii="Mulish" w:eastAsia="Mulish" w:hAnsi="Mulish" w:cs="Mulish"/>
          <w:lang w:eastAsia="es-ES" w:bidi="es-ES"/>
        </w:rPr>
        <w:t xml:space="preserve">analizado </w:t>
      </w:r>
      <w:r w:rsidR="00516FAB" w:rsidRPr="001565DF">
        <w:rPr>
          <w:rFonts w:ascii="Mulish" w:eastAsia="Mulish" w:hAnsi="Mulish" w:cs="Mulish"/>
          <w:lang w:eastAsia="es-ES" w:bidi="es-ES"/>
        </w:rPr>
        <w:t>si</w:t>
      </w:r>
      <w:r w:rsidR="00597D3E" w:rsidRPr="001565DF">
        <w:rPr>
          <w:rFonts w:ascii="Mulish" w:eastAsia="Mulish" w:hAnsi="Mulish" w:cs="Mulish"/>
          <w:lang w:eastAsia="es-ES" w:bidi="es-ES"/>
        </w:rPr>
        <w:t xml:space="preserve"> </w:t>
      </w:r>
      <w:r w:rsidR="00B965B4" w:rsidRPr="001565DF">
        <w:rPr>
          <w:rFonts w:ascii="Mulish" w:eastAsia="Mulish" w:hAnsi="Mulish" w:cs="Mulish"/>
          <w:lang w:eastAsia="es-ES" w:bidi="es-ES"/>
        </w:rPr>
        <w:t xml:space="preserve">79 </w:t>
      </w:r>
      <w:r w:rsidRPr="001565DF">
        <w:rPr>
          <w:rFonts w:ascii="Mulish" w:eastAsia="Mulish" w:hAnsi="Mulish" w:cs="Mulish"/>
          <w:lang w:eastAsia="es-ES" w:bidi="es-ES"/>
        </w:rPr>
        <w:t>entidades</w:t>
      </w:r>
      <w:r w:rsidR="00597D3E" w:rsidRPr="001565DF">
        <w:rPr>
          <w:rFonts w:ascii="Mulish" w:eastAsia="Mulish" w:hAnsi="Mulish" w:cs="Mulish"/>
          <w:lang w:eastAsia="es-ES" w:bidi="es-ES"/>
        </w:rPr>
        <w:t xml:space="preserve"> </w:t>
      </w:r>
      <w:r w:rsidR="008D3354" w:rsidRPr="001565DF">
        <w:rPr>
          <w:rFonts w:ascii="Mulish" w:eastAsia="Mulish" w:hAnsi="Mulish" w:cs="Mulish"/>
          <w:lang w:eastAsia="es-ES" w:bidi="es-ES"/>
        </w:rPr>
        <w:t xml:space="preserve">seleccionadas aleatoriamente </w:t>
      </w:r>
      <w:r w:rsidR="00597D3E" w:rsidRPr="001565DF">
        <w:rPr>
          <w:rFonts w:ascii="Mulish" w:eastAsia="Mulish" w:hAnsi="Mulish" w:cs="Mulish"/>
          <w:lang w:eastAsia="es-ES" w:bidi="es-ES"/>
        </w:rPr>
        <w:t xml:space="preserve">que reciben determinado volumen de fondos públicos </w:t>
      </w:r>
      <w:r w:rsidR="00B965B4" w:rsidRPr="001565DF">
        <w:rPr>
          <w:rFonts w:ascii="Mulish" w:eastAsia="Mulish" w:hAnsi="Mulish" w:cs="Mulish"/>
          <w:lang w:eastAsia="es-ES" w:bidi="es-ES"/>
        </w:rPr>
        <w:t>cumple</w:t>
      </w:r>
      <w:r w:rsidR="008D3354" w:rsidRPr="001565DF">
        <w:rPr>
          <w:rFonts w:ascii="Mulish" w:eastAsia="Mulish" w:hAnsi="Mulish" w:cs="Mulish"/>
          <w:lang w:eastAsia="es-ES" w:bidi="es-ES"/>
        </w:rPr>
        <w:t>n</w:t>
      </w:r>
      <w:r w:rsidR="00B965B4" w:rsidRPr="001565DF">
        <w:rPr>
          <w:rFonts w:ascii="Mulish" w:eastAsia="Mulish" w:hAnsi="Mulish" w:cs="Mulish"/>
          <w:lang w:eastAsia="es-ES" w:bidi="es-ES"/>
        </w:rPr>
        <w:t xml:space="preserve"> con sus obligaciones </w:t>
      </w:r>
      <w:r w:rsidR="00B965B4">
        <w:rPr>
          <w:rFonts w:ascii="Mulish" w:eastAsia="Mulish" w:hAnsi="Mulish" w:cs="Mulish"/>
          <w:color w:val="0C0C0C" w:themeColor="text1"/>
          <w:lang w:eastAsia="es-ES" w:bidi="es-ES"/>
        </w:rPr>
        <w:t xml:space="preserve">de publicidad activa, es decir, si </w:t>
      </w:r>
      <w:r>
        <w:rPr>
          <w:rFonts w:ascii="Mulish" w:eastAsia="Mulish" w:hAnsi="Mulish" w:cs="Mulish"/>
          <w:color w:val="0C0C0C" w:themeColor="text1"/>
          <w:lang w:eastAsia="es-ES" w:bidi="es-ES"/>
        </w:rPr>
        <w:t>publica</w:t>
      </w:r>
      <w:r w:rsidR="00CD436E">
        <w:rPr>
          <w:rFonts w:ascii="Mulish" w:eastAsia="Mulish" w:hAnsi="Mulish" w:cs="Mulish"/>
          <w:color w:val="0C0C0C" w:themeColor="text1"/>
          <w:lang w:eastAsia="es-ES" w:bidi="es-ES"/>
        </w:rPr>
        <w:t xml:space="preserve">n </w:t>
      </w:r>
      <w:r w:rsidR="00B965B4">
        <w:rPr>
          <w:rFonts w:ascii="Mulish" w:eastAsia="Mulish" w:hAnsi="Mulish" w:cs="Mulish"/>
          <w:color w:val="0C0C0C" w:themeColor="text1"/>
          <w:lang w:eastAsia="es-ES" w:bidi="es-ES"/>
        </w:rPr>
        <w:t xml:space="preserve">en sus páginas web </w:t>
      </w:r>
      <w:r>
        <w:rPr>
          <w:rFonts w:ascii="Mulish" w:eastAsia="Mulish" w:hAnsi="Mulish" w:cs="Mulish"/>
          <w:color w:val="0C0C0C" w:themeColor="text1"/>
          <w:lang w:eastAsia="es-ES" w:bidi="es-ES"/>
        </w:rPr>
        <w:t>la información de interés público que están obligadas a publicar, y si lo hacen adecuadamente conforme</w:t>
      </w:r>
      <w:r w:rsidR="00EF7F60">
        <w:rPr>
          <w:rFonts w:ascii="Mulish" w:eastAsia="Mulish" w:hAnsi="Mulish" w:cs="Mulish"/>
          <w:color w:val="0C0C0C" w:themeColor="text1"/>
          <w:lang w:eastAsia="es-ES" w:bidi="es-ES"/>
        </w:rPr>
        <w:t xml:space="preserve"> a</w:t>
      </w:r>
      <w:r>
        <w:rPr>
          <w:rFonts w:ascii="Mulish" w:eastAsia="Mulish" w:hAnsi="Mulish" w:cs="Mulish"/>
          <w:color w:val="0C0C0C" w:themeColor="text1"/>
          <w:lang w:eastAsia="es-ES" w:bidi="es-ES"/>
        </w:rPr>
        <w:t xml:space="preserve"> la Ley de </w:t>
      </w:r>
      <w:r w:rsidR="008D3354">
        <w:rPr>
          <w:rFonts w:ascii="Mulish" w:eastAsia="Mulish" w:hAnsi="Mulish" w:cs="Mulish"/>
          <w:color w:val="0C0C0C" w:themeColor="text1"/>
          <w:lang w:eastAsia="es-ES" w:bidi="es-ES"/>
        </w:rPr>
        <w:t>T</w:t>
      </w:r>
      <w:r>
        <w:rPr>
          <w:rFonts w:ascii="Mulish" w:eastAsia="Mulish" w:hAnsi="Mulish" w:cs="Mulish"/>
          <w:color w:val="0C0C0C" w:themeColor="text1"/>
          <w:lang w:eastAsia="es-ES" w:bidi="es-ES"/>
        </w:rPr>
        <w:t xml:space="preserve">ransparencia. </w:t>
      </w:r>
    </w:p>
    <w:p w14:paraId="222476EF" w14:textId="036F570B" w:rsidR="00CD436E" w:rsidRPr="00651D35" w:rsidRDefault="00AA0900" w:rsidP="00FC7309">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sidRPr="00651D35">
        <w:rPr>
          <w:rFonts w:ascii="Mulish" w:eastAsia="Mulish" w:hAnsi="Mulish" w:cs="Mulish"/>
          <w:color w:val="0C0C0C" w:themeColor="text1"/>
          <w:lang w:eastAsia="es-ES" w:bidi="es-ES"/>
        </w:rPr>
        <w:t>Aunque los resultados de la evaluación muestran notables diferencias</w:t>
      </w:r>
      <w:r w:rsidR="003B6659">
        <w:rPr>
          <w:rFonts w:ascii="Mulish" w:eastAsia="Mulish" w:hAnsi="Mulish" w:cs="Mulish"/>
          <w:color w:val="0C0C0C" w:themeColor="text1"/>
          <w:lang w:eastAsia="es-ES" w:bidi="es-ES"/>
        </w:rPr>
        <w:t xml:space="preserve"> según la entidad</w:t>
      </w:r>
      <w:r w:rsidRPr="00651D35">
        <w:rPr>
          <w:rFonts w:ascii="Mulish" w:eastAsia="Mulish" w:hAnsi="Mulish" w:cs="Mulish"/>
          <w:color w:val="0C0C0C" w:themeColor="text1"/>
          <w:lang w:eastAsia="es-ES" w:bidi="es-ES"/>
        </w:rPr>
        <w:t xml:space="preserve">, el Índice Medio de Cumplimiento de la Información Obligatoria </w:t>
      </w:r>
      <w:r w:rsidR="00FC7309" w:rsidRPr="00651D35">
        <w:rPr>
          <w:rFonts w:ascii="Mulish" w:eastAsia="Mulish" w:hAnsi="Mulish" w:cs="Mulish"/>
          <w:color w:val="0C0C0C" w:themeColor="text1"/>
          <w:lang w:eastAsia="es-ES" w:bidi="es-ES"/>
        </w:rPr>
        <w:t xml:space="preserve">es solo </w:t>
      </w:r>
      <w:r w:rsidR="00FC7309" w:rsidRPr="00C27BA6">
        <w:rPr>
          <w:rFonts w:ascii="Mulish" w:eastAsia="Mulish" w:hAnsi="Mulish" w:cs="Mulish"/>
          <w:color w:val="0C0C0C" w:themeColor="text1"/>
          <w:lang w:eastAsia="es-ES" w:bidi="es-ES"/>
        </w:rPr>
        <w:t>d</w:t>
      </w:r>
      <w:r w:rsidRPr="00C27BA6">
        <w:rPr>
          <w:rFonts w:ascii="Mulish" w:eastAsia="Mulish" w:hAnsi="Mulish" w:cs="Mulish"/>
          <w:color w:val="0C0C0C" w:themeColor="text1"/>
          <w:lang w:eastAsia="es-ES" w:bidi="es-ES"/>
        </w:rPr>
        <w:t xml:space="preserve">el </w:t>
      </w:r>
      <w:r w:rsidR="00597D3E" w:rsidRPr="00C27BA6">
        <w:rPr>
          <w:rFonts w:ascii="Mulish" w:eastAsia="Mulish" w:hAnsi="Mulish" w:cs="Mulish"/>
          <w:color w:val="0C0C0C" w:themeColor="text1"/>
          <w:lang w:eastAsia="es-ES" w:bidi="es-ES"/>
        </w:rPr>
        <w:t>37</w:t>
      </w:r>
      <w:r w:rsidRPr="00C27BA6">
        <w:rPr>
          <w:rFonts w:ascii="Mulish" w:eastAsia="Mulish" w:hAnsi="Mulish" w:cs="Mulish"/>
          <w:color w:val="0C0C0C" w:themeColor="text1"/>
          <w:lang w:eastAsia="es-ES" w:bidi="es-ES"/>
        </w:rPr>
        <w:t>,</w:t>
      </w:r>
      <w:r w:rsidR="00C27BA6" w:rsidRPr="00C27BA6">
        <w:rPr>
          <w:rFonts w:ascii="Mulish" w:eastAsia="Mulish" w:hAnsi="Mulish" w:cs="Mulish"/>
          <w:color w:val="0C0C0C" w:themeColor="text1"/>
          <w:lang w:eastAsia="es-ES" w:bidi="es-ES"/>
        </w:rPr>
        <w:t>6</w:t>
      </w:r>
      <w:r w:rsidRPr="00651D35">
        <w:rPr>
          <w:rFonts w:ascii="Mulish" w:eastAsia="Mulish" w:hAnsi="Mulish" w:cs="Mulish"/>
          <w:color w:val="0C0C0C" w:themeColor="text1"/>
          <w:lang w:eastAsia="es-ES" w:bidi="es-ES"/>
        </w:rPr>
        <w:t>%</w:t>
      </w:r>
      <w:r w:rsidR="00CA4A22">
        <w:rPr>
          <w:rFonts w:ascii="Mulish" w:eastAsia="Mulish" w:hAnsi="Mulish" w:cs="Mulish"/>
          <w:color w:val="0C0C0C" w:themeColor="text1"/>
          <w:lang w:eastAsia="es-ES" w:bidi="es-ES"/>
        </w:rPr>
        <w:t>: únicamente</w:t>
      </w:r>
      <w:r w:rsidR="00CD436E" w:rsidRPr="00651D35">
        <w:rPr>
          <w:rFonts w:ascii="Mulish" w:eastAsia="Mulish" w:hAnsi="Mulish" w:cs="Mulish"/>
          <w:color w:val="0C0C0C" w:themeColor="text1"/>
          <w:lang w:eastAsia="es-ES" w:bidi="es-ES"/>
        </w:rPr>
        <w:t xml:space="preserve"> publica</w:t>
      </w:r>
      <w:r w:rsidR="00DA2CF7">
        <w:rPr>
          <w:rFonts w:ascii="Mulish" w:eastAsia="Mulish" w:hAnsi="Mulish" w:cs="Mulish"/>
          <w:color w:val="0C0C0C" w:themeColor="text1"/>
          <w:lang w:eastAsia="es-ES" w:bidi="es-ES"/>
        </w:rPr>
        <w:t xml:space="preserve">n 4 de cada 10 </w:t>
      </w:r>
      <w:r w:rsidR="00CD436E" w:rsidRPr="00651D35">
        <w:rPr>
          <w:rFonts w:ascii="Mulish" w:eastAsia="Mulish" w:hAnsi="Mulish" w:cs="Mulish"/>
          <w:color w:val="0C0C0C" w:themeColor="text1"/>
          <w:lang w:eastAsia="es-ES" w:bidi="es-ES"/>
        </w:rPr>
        <w:t xml:space="preserve">informaciones obligatorias </w:t>
      </w:r>
      <w:r w:rsidR="00651D35" w:rsidRPr="00651D35">
        <w:rPr>
          <w:rFonts w:ascii="Mulish" w:eastAsia="Mulish" w:hAnsi="Mulish" w:cs="Mulish"/>
          <w:color w:val="0C0C0C" w:themeColor="text1"/>
          <w:lang w:eastAsia="es-ES" w:bidi="es-ES"/>
        </w:rPr>
        <w:t xml:space="preserve">y </w:t>
      </w:r>
      <w:r w:rsidR="00CA4A22">
        <w:rPr>
          <w:rFonts w:ascii="Mulish" w:eastAsia="Mulish" w:hAnsi="Mulish" w:cs="Mulish"/>
          <w:color w:val="0C0C0C" w:themeColor="text1"/>
          <w:lang w:eastAsia="es-ES" w:bidi="es-ES"/>
        </w:rPr>
        <w:t>con frecuencia</w:t>
      </w:r>
      <w:r w:rsidR="00651D35" w:rsidRPr="00651D35">
        <w:rPr>
          <w:rFonts w:ascii="Mulish" w:eastAsia="Mulish" w:hAnsi="Mulish" w:cs="Mulish"/>
          <w:color w:val="0C0C0C" w:themeColor="text1"/>
          <w:lang w:eastAsia="es-ES" w:bidi="es-ES"/>
        </w:rPr>
        <w:t xml:space="preserve"> no </w:t>
      </w:r>
      <w:r w:rsidR="005E34BF">
        <w:rPr>
          <w:rFonts w:ascii="Mulish" w:eastAsia="Mulish" w:hAnsi="Mulish" w:cs="Mulish"/>
          <w:color w:val="0C0C0C" w:themeColor="text1"/>
          <w:lang w:eastAsia="es-ES" w:bidi="es-ES"/>
        </w:rPr>
        <w:t>indican</w:t>
      </w:r>
      <w:r w:rsidR="00651D35" w:rsidRPr="00651D35">
        <w:rPr>
          <w:rFonts w:ascii="Mulish" w:eastAsia="Mulish" w:hAnsi="Mulish" w:cs="Mulish"/>
          <w:color w:val="0C0C0C" w:themeColor="text1"/>
          <w:lang w:eastAsia="es-ES" w:bidi="es-ES"/>
        </w:rPr>
        <w:t xml:space="preserve"> cuándo se actualizó la información. </w:t>
      </w:r>
    </w:p>
    <w:p w14:paraId="3A7D525D" w14:textId="7E3E7FBB" w:rsidR="00B965B4" w:rsidRPr="00011958" w:rsidRDefault="003C3727" w:rsidP="00B965B4">
      <w:pPr>
        <w:pStyle w:val="Prrafodelista"/>
        <w:numPr>
          <w:ilvl w:val="0"/>
          <w:numId w:val="1"/>
        </w:numPr>
        <w:tabs>
          <w:tab w:val="left" w:pos="2535"/>
        </w:tabs>
        <w:ind w:left="714" w:hanging="357"/>
        <w:contextualSpacing w:val="0"/>
        <w:jc w:val="both"/>
        <w:rPr>
          <w:rFonts w:ascii="Mulish" w:eastAsia="Mulish" w:hAnsi="Mulish" w:cs="Mulish"/>
          <w:lang w:eastAsia="es-ES" w:bidi="es-ES"/>
        </w:rPr>
      </w:pPr>
      <w:r w:rsidRPr="00011958">
        <w:rPr>
          <w:rFonts w:ascii="Mulish" w:eastAsia="Mulish" w:hAnsi="Mulish" w:cs="Mulish"/>
          <w:lang w:eastAsia="es-ES" w:bidi="es-ES"/>
        </w:rPr>
        <w:t>El C</w:t>
      </w:r>
      <w:r w:rsidR="00CD436E" w:rsidRPr="00011958">
        <w:rPr>
          <w:rFonts w:ascii="Mulish" w:eastAsia="Mulish" w:hAnsi="Mulish" w:cs="Mulish"/>
          <w:lang w:eastAsia="es-ES" w:bidi="es-ES"/>
        </w:rPr>
        <w:t xml:space="preserve">onsejo </w:t>
      </w:r>
      <w:r w:rsidRPr="00011958">
        <w:rPr>
          <w:rFonts w:ascii="Mulish" w:eastAsia="Mulish" w:hAnsi="Mulish" w:cs="Mulish"/>
          <w:lang w:eastAsia="es-ES" w:bidi="es-ES"/>
        </w:rPr>
        <w:t>proporciona</w:t>
      </w:r>
      <w:r w:rsidR="00CD436E" w:rsidRPr="00011958">
        <w:rPr>
          <w:rFonts w:ascii="Mulish" w:eastAsia="Mulish" w:hAnsi="Mulish" w:cs="Mulish"/>
          <w:lang w:eastAsia="es-ES" w:bidi="es-ES"/>
        </w:rPr>
        <w:t xml:space="preserve"> </w:t>
      </w:r>
      <w:r w:rsidR="005E34BF" w:rsidRPr="00011958">
        <w:rPr>
          <w:rFonts w:ascii="Mulish" w:eastAsia="Mulish" w:hAnsi="Mulish" w:cs="Mulish"/>
          <w:lang w:eastAsia="es-ES" w:bidi="es-ES"/>
        </w:rPr>
        <w:t xml:space="preserve">en sus informes de evaluación </w:t>
      </w:r>
      <w:r w:rsidRPr="00011958">
        <w:rPr>
          <w:rFonts w:ascii="Mulish" w:eastAsia="Mulish" w:hAnsi="Mulish" w:cs="Mulish"/>
          <w:lang w:eastAsia="es-ES" w:bidi="es-ES"/>
        </w:rPr>
        <w:t>una serie de recomendaciones específicas</w:t>
      </w:r>
      <w:r w:rsidR="00CD436E" w:rsidRPr="00011958">
        <w:rPr>
          <w:rFonts w:ascii="Mulish" w:eastAsia="Mulish" w:hAnsi="Mulish" w:cs="Mulish"/>
          <w:lang w:eastAsia="es-ES" w:bidi="es-ES"/>
        </w:rPr>
        <w:t xml:space="preserve"> para que </w:t>
      </w:r>
      <w:r w:rsidR="005E34BF" w:rsidRPr="00011958">
        <w:rPr>
          <w:rFonts w:ascii="Mulish" w:eastAsia="Mulish" w:hAnsi="Mulish" w:cs="Mulish"/>
          <w:lang w:eastAsia="es-ES" w:bidi="es-ES"/>
        </w:rPr>
        <w:t xml:space="preserve">las entidades </w:t>
      </w:r>
      <w:r w:rsidR="00CD436E" w:rsidRPr="00011958">
        <w:rPr>
          <w:rFonts w:ascii="Mulish" w:eastAsia="Mulish" w:hAnsi="Mulish" w:cs="Mulish"/>
          <w:lang w:eastAsia="es-ES" w:bidi="es-ES"/>
        </w:rPr>
        <w:t>puedan mejorar sus niveles de cumplimiento</w:t>
      </w:r>
      <w:r w:rsidR="00B3521D" w:rsidRPr="00011958">
        <w:rPr>
          <w:rFonts w:ascii="Mulish" w:eastAsia="Mulish" w:hAnsi="Mulish" w:cs="Mulish"/>
          <w:lang w:eastAsia="es-ES" w:bidi="es-ES"/>
        </w:rPr>
        <w:t xml:space="preserve">. </w:t>
      </w:r>
      <w:r w:rsidR="00960A8E" w:rsidRPr="00011958">
        <w:rPr>
          <w:rFonts w:ascii="Mulish" w:eastAsia="Mulish" w:hAnsi="Mulish" w:cs="Mulish"/>
          <w:lang w:eastAsia="es-ES" w:bidi="es-ES"/>
        </w:rPr>
        <w:t>El 68% d</w:t>
      </w:r>
      <w:r w:rsidR="00B965B4" w:rsidRPr="00011958">
        <w:rPr>
          <w:rFonts w:ascii="Mulish" w:eastAsia="Mulish" w:hAnsi="Mulish" w:cs="Mulish"/>
          <w:lang w:eastAsia="es-ES" w:bidi="es-ES"/>
        </w:rPr>
        <w:t xml:space="preserve">e las </w:t>
      </w:r>
      <w:r w:rsidR="006136F0" w:rsidRPr="00011958">
        <w:rPr>
          <w:rFonts w:ascii="Mulish" w:eastAsia="Mulish" w:hAnsi="Mulish" w:cs="Mulish"/>
          <w:lang w:eastAsia="es-ES" w:bidi="es-ES"/>
        </w:rPr>
        <w:t xml:space="preserve">56 </w:t>
      </w:r>
      <w:r w:rsidR="00B965B4" w:rsidRPr="00011958">
        <w:rPr>
          <w:rFonts w:ascii="Mulish" w:eastAsia="Mulish" w:hAnsi="Mulish" w:cs="Mulish"/>
          <w:lang w:eastAsia="es-ES" w:bidi="es-ES"/>
        </w:rPr>
        <w:t xml:space="preserve">entidades </w:t>
      </w:r>
      <w:r w:rsidR="006136F0" w:rsidRPr="00011958">
        <w:rPr>
          <w:rFonts w:ascii="Mulish" w:eastAsia="Mulish" w:hAnsi="Mulish" w:cs="Mulish"/>
          <w:lang w:eastAsia="es-ES" w:bidi="es-ES"/>
        </w:rPr>
        <w:t xml:space="preserve">privadas </w:t>
      </w:r>
      <w:r w:rsidR="00B965B4" w:rsidRPr="00011958">
        <w:rPr>
          <w:rFonts w:ascii="Mulish" w:eastAsia="Mulish" w:hAnsi="Mulish" w:cs="Mulish"/>
          <w:lang w:eastAsia="es-ES" w:bidi="es-ES"/>
        </w:rPr>
        <w:t xml:space="preserve">que </w:t>
      </w:r>
      <w:r w:rsidR="003B6659" w:rsidRPr="00011958">
        <w:rPr>
          <w:rFonts w:ascii="Mulish" w:eastAsia="Mulish" w:hAnsi="Mulish" w:cs="Mulish"/>
          <w:lang w:eastAsia="es-ES" w:bidi="es-ES"/>
        </w:rPr>
        <w:t xml:space="preserve">ya </w:t>
      </w:r>
      <w:r w:rsidR="00964EB4">
        <w:rPr>
          <w:rFonts w:ascii="Mulish" w:eastAsia="Mulish" w:hAnsi="Mulish" w:cs="Mulish"/>
          <w:lang w:eastAsia="es-ES" w:bidi="es-ES"/>
        </w:rPr>
        <w:t>fueron</w:t>
      </w:r>
      <w:r w:rsidR="00B965B4" w:rsidRPr="00011958">
        <w:rPr>
          <w:rFonts w:ascii="Mulish" w:eastAsia="Mulish" w:hAnsi="Mulish" w:cs="Mulish"/>
          <w:lang w:eastAsia="es-ES" w:bidi="es-ES"/>
        </w:rPr>
        <w:t xml:space="preserve"> evaluadas en 2023 </w:t>
      </w:r>
      <w:r w:rsidR="00960A8E" w:rsidRPr="00011958">
        <w:rPr>
          <w:rFonts w:ascii="Mulish" w:eastAsia="Mulish" w:hAnsi="Mulish" w:cs="Mulish"/>
          <w:lang w:eastAsia="es-ES" w:bidi="es-ES"/>
        </w:rPr>
        <w:t xml:space="preserve">no </w:t>
      </w:r>
      <w:r w:rsidR="00B965B4" w:rsidRPr="00011958">
        <w:rPr>
          <w:rFonts w:ascii="Mulish" w:eastAsia="Mulish" w:hAnsi="Mulish" w:cs="Mulish"/>
          <w:lang w:eastAsia="es-ES" w:bidi="es-ES"/>
        </w:rPr>
        <w:t xml:space="preserve">han aplicado </w:t>
      </w:r>
      <w:r w:rsidR="00960A8E" w:rsidRPr="00011958">
        <w:rPr>
          <w:rFonts w:ascii="Mulish" w:eastAsia="Mulish" w:hAnsi="Mulish" w:cs="Mulish"/>
          <w:lang w:eastAsia="es-ES" w:bidi="es-ES"/>
        </w:rPr>
        <w:t>ninguna</w:t>
      </w:r>
      <w:r w:rsidR="00B965B4" w:rsidRPr="00011958">
        <w:rPr>
          <w:rFonts w:ascii="Mulish" w:eastAsia="Mulish" w:hAnsi="Mulish" w:cs="Mulish"/>
          <w:lang w:eastAsia="es-ES" w:bidi="es-ES"/>
        </w:rPr>
        <w:t xml:space="preserve"> de las recomendaciones</w:t>
      </w:r>
      <w:r w:rsidR="00964EB4">
        <w:rPr>
          <w:rFonts w:ascii="Mulish" w:eastAsia="Mulish" w:hAnsi="Mulish" w:cs="Mulish"/>
          <w:lang w:eastAsia="es-ES" w:bidi="es-ES"/>
        </w:rPr>
        <w:t xml:space="preserve">. </w:t>
      </w:r>
    </w:p>
    <w:p w14:paraId="58B62A22" w14:textId="7ADE7C35" w:rsidR="00B965B4" w:rsidRDefault="00B965B4" w:rsidP="00B965B4">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sidRPr="00C27BA6">
        <w:rPr>
          <w:rFonts w:ascii="Mulish" w:eastAsia="Mulish" w:hAnsi="Mulish" w:cs="Mulish"/>
          <w:color w:val="0C0C0C" w:themeColor="text1"/>
          <w:lang w:eastAsia="es-ES" w:bidi="es-ES"/>
        </w:rPr>
        <w:t xml:space="preserve">Entidades como </w:t>
      </w:r>
      <w:proofErr w:type="spellStart"/>
      <w:r w:rsidRPr="00C27BA6">
        <w:rPr>
          <w:rFonts w:ascii="Mulish" w:eastAsia="Mulish" w:hAnsi="Mulish" w:cs="Mulish"/>
          <w:color w:val="0C0C0C" w:themeColor="text1"/>
          <w:lang w:eastAsia="es-ES" w:bidi="es-ES"/>
        </w:rPr>
        <w:t>Save</w:t>
      </w:r>
      <w:proofErr w:type="spellEnd"/>
      <w:r w:rsidRPr="00C27BA6">
        <w:rPr>
          <w:rFonts w:ascii="Mulish" w:eastAsia="Mulish" w:hAnsi="Mulish" w:cs="Mulish"/>
          <w:color w:val="0C0C0C" w:themeColor="text1"/>
          <w:lang w:eastAsia="es-ES" w:bidi="es-ES"/>
        </w:rPr>
        <w:t xml:space="preserve"> </w:t>
      </w:r>
      <w:proofErr w:type="spellStart"/>
      <w:r w:rsidRPr="00C27BA6">
        <w:rPr>
          <w:rFonts w:ascii="Mulish" w:eastAsia="Mulish" w:hAnsi="Mulish" w:cs="Mulish"/>
          <w:color w:val="0C0C0C" w:themeColor="text1"/>
          <w:lang w:eastAsia="es-ES" w:bidi="es-ES"/>
        </w:rPr>
        <w:t>the</w:t>
      </w:r>
      <w:proofErr w:type="spellEnd"/>
      <w:r w:rsidRPr="00C27BA6">
        <w:rPr>
          <w:rFonts w:ascii="Mulish" w:eastAsia="Mulish" w:hAnsi="Mulish" w:cs="Mulish"/>
          <w:color w:val="0C0C0C" w:themeColor="text1"/>
          <w:lang w:eastAsia="es-ES" w:bidi="es-ES"/>
        </w:rPr>
        <w:t xml:space="preserve"> </w:t>
      </w:r>
      <w:proofErr w:type="spellStart"/>
      <w:r w:rsidRPr="00C27BA6">
        <w:rPr>
          <w:rFonts w:ascii="Mulish" w:eastAsia="Mulish" w:hAnsi="Mulish" w:cs="Mulish"/>
          <w:color w:val="0C0C0C" w:themeColor="text1"/>
          <w:lang w:eastAsia="es-ES" w:bidi="es-ES"/>
        </w:rPr>
        <w:t>Children</w:t>
      </w:r>
      <w:proofErr w:type="spellEnd"/>
      <w:r w:rsidRPr="00C27BA6">
        <w:rPr>
          <w:rFonts w:ascii="Mulish" w:eastAsia="Mulish" w:hAnsi="Mulish" w:cs="Mulish"/>
          <w:color w:val="0C0C0C" w:themeColor="text1"/>
          <w:lang w:eastAsia="es-ES" w:bidi="es-ES"/>
        </w:rPr>
        <w:t xml:space="preserve"> y la Confederación de Centros de Desarrollo Rural</w:t>
      </w:r>
      <w:r w:rsidR="00651D35" w:rsidRPr="00C27BA6">
        <w:rPr>
          <w:rFonts w:ascii="Mulish" w:eastAsia="Mulish" w:hAnsi="Mulish" w:cs="Mulish"/>
          <w:color w:val="0C0C0C" w:themeColor="text1"/>
          <w:lang w:eastAsia="es-ES" w:bidi="es-ES"/>
        </w:rPr>
        <w:t xml:space="preserve">, que </w:t>
      </w:r>
      <w:r w:rsidR="00960A8E">
        <w:rPr>
          <w:rFonts w:ascii="Mulish" w:eastAsia="Mulish" w:hAnsi="Mulish" w:cs="Mulish"/>
          <w:color w:val="0C0C0C" w:themeColor="text1"/>
          <w:lang w:eastAsia="es-ES" w:bidi="es-ES"/>
        </w:rPr>
        <w:t xml:space="preserve">en cambio </w:t>
      </w:r>
      <w:r w:rsidR="00651D35" w:rsidRPr="00C27BA6">
        <w:rPr>
          <w:rFonts w:ascii="Mulish" w:eastAsia="Mulish" w:hAnsi="Mulish" w:cs="Mulish"/>
          <w:color w:val="0C0C0C" w:themeColor="text1"/>
          <w:lang w:eastAsia="es-ES" w:bidi="es-ES"/>
        </w:rPr>
        <w:t xml:space="preserve">aplicaron todas las recomendaciones efectuadas por el Consejo en 2023, </w:t>
      </w:r>
      <w:r w:rsidRPr="00C27BA6">
        <w:rPr>
          <w:rFonts w:ascii="Mulish" w:eastAsia="Mulish" w:hAnsi="Mulish" w:cs="Mulish"/>
          <w:color w:val="0C0C0C" w:themeColor="text1"/>
          <w:lang w:eastAsia="es-ES" w:bidi="es-ES"/>
        </w:rPr>
        <w:t xml:space="preserve">alcanzan </w:t>
      </w:r>
      <w:r w:rsidR="00651D35" w:rsidRPr="00C27BA6">
        <w:rPr>
          <w:rFonts w:ascii="Mulish" w:eastAsia="Mulish" w:hAnsi="Mulish" w:cs="Mulish"/>
          <w:color w:val="0C0C0C" w:themeColor="text1"/>
          <w:lang w:eastAsia="es-ES" w:bidi="es-ES"/>
        </w:rPr>
        <w:t xml:space="preserve">este año </w:t>
      </w:r>
      <w:r w:rsidRPr="00C27BA6">
        <w:rPr>
          <w:rFonts w:ascii="Mulish" w:eastAsia="Mulish" w:hAnsi="Mulish" w:cs="Mulish"/>
          <w:color w:val="0C0C0C" w:themeColor="text1"/>
          <w:lang w:eastAsia="es-ES" w:bidi="es-ES"/>
        </w:rPr>
        <w:t xml:space="preserve">un 100% de cumplimiento. </w:t>
      </w:r>
    </w:p>
    <w:p w14:paraId="5408A039" w14:textId="77777777" w:rsidR="00C27BA6" w:rsidRPr="00C27BA6" w:rsidRDefault="00C27BA6" w:rsidP="00C27BA6">
      <w:pPr>
        <w:pStyle w:val="Prrafodelista"/>
        <w:tabs>
          <w:tab w:val="left" w:pos="2535"/>
        </w:tabs>
        <w:ind w:left="714"/>
        <w:contextualSpacing w:val="0"/>
        <w:jc w:val="both"/>
        <w:rPr>
          <w:rFonts w:ascii="Mulish" w:eastAsia="Mulish" w:hAnsi="Mulish" w:cs="Mulish"/>
          <w:color w:val="0C0C0C" w:themeColor="text1"/>
          <w:lang w:eastAsia="es-ES" w:bidi="es-ES"/>
        </w:rPr>
      </w:pPr>
    </w:p>
    <w:p w14:paraId="2AA3C7CA" w14:textId="625CEE85" w:rsidR="00A251FA" w:rsidRPr="00A251FA" w:rsidRDefault="00BA4068" w:rsidP="00A251FA">
      <w:pPr>
        <w:spacing w:after="0"/>
        <w:jc w:val="both"/>
        <w:rPr>
          <w:rFonts w:ascii="Mulish" w:eastAsia="Mulish" w:hAnsi="Mulish" w:cs="Mulish"/>
          <w:color w:val="0C0C0C" w:themeColor="text1"/>
          <w:lang w:eastAsia="es-ES" w:bidi="es-ES"/>
        </w:rPr>
      </w:pPr>
      <w:r w:rsidRPr="00B80115">
        <w:rPr>
          <w:rFonts w:ascii="Mulish" w:eastAsia="Mulish" w:hAnsi="Mulish" w:cs="Mulish"/>
          <w:color w:val="0C0C0C" w:themeColor="text1"/>
          <w:u w:val="single"/>
          <w:lang w:eastAsia="es-ES" w:bidi="es-ES"/>
        </w:rPr>
        <w:t>Madrid</w:t>
      </w:r>
      <w:r w:rsidR="00C23867" w:rsidRPr="00485A86">
        <w:rPr>
          <w:rFonts w:ascii="Mulish" w:eastAsia="Mulish" w:hAnsi="Mulish" w:cs="Mulish"/>
          <w:color w:val="0C0C0C" w:themeColor="text1"/>
          <w:u w:val="single"/>
          <w:lang w:eastAsia="es-ES" w:bidi="es-ES"/>
        </w:rPr>
        <w:t xml:space="preserve">, </w:t>
      </w:r>
      <w:r w:rsidR="00516FAB" w:rsidRPr="00485A86">
        <w:rPr>
          <w:rFonts w:ascii="Mulish" w:eastAsia="Mulish" w:hAnsi="Mulish" w:cs="Mulish"/>
          <w:color w:val="0C0C0C" w:themeColor="text1"/>
          <w:u w:val="single"/>
          <w:lang w:eastAsia="es-ES" w:bidi="es-ES"/>
        </w:rPr>
        <w:t>22</w:t>
      </w:r>
      <w:r w:rsidRPr="00485A86">
        <w:rPr>
          <w:rFonts w:ascii="Mulish" w:eastAsia="Mulish" w:hAnsi="Mulish" w:cs="Mulish"/>
          <w:color w:val="0C0C0C" w:themeColor="text1"/>
          <w:u w:val="single"/>
          <w:lang w:eastAsia="es-ES" w:bidi="es-ES"/>
        </w:rPr>
        <w:t xml:space="preserve"> de </w:t>
      </w:r>
      <w:r w:rsidR="00A251FA" w:rsidRPr="00485A86">
        <w:rPr>
          <w:rFonts w:ascii="Mulish" w:eastAsia="Mulish" w:hAnsi="Mulish" w:cs="Mulish"/>
          <w:color w:val="0C0C0C" w:themeColor="text1"/>
          <w:u w:val="single"/>
          <w:lang w:eastAsia="es-ES" w:bidi="es-ES"/>
        </w:rPr>
        <w:t>octubre</w:t>
      </w:r>
      <w:r w:rsidRPr="00B80115">
        <w:rPr>
          <w:rFonts w:ascii="Mulish" w:eastAsia="Mulish" w:hAnsi="Mulish" w:cs="Mulish"/>
          <w:color w:val="0C0C0C" w:themeColor="text1"/>
          <w:u w:val="single"/>
          <w:lang w:eastAsia="es-ES" w:bidi="es-ES"/>
        </w:rPr>
        <w:t xml:space="preserve"> de 202</w:t>
      </w:r>
      <w:r w:rsidR="00A666AD">
        <w:rPr>
          <w:rFonts w:ascii="Mulish" w:eastAsia="Mulish" w:hAnsi="Mulish" w:cs="Mulish"/>
          <w:color w:val="0C0C0C" w:themeColor="text1"/>
          <w:u w:val="single"/>
          <w:lang w:eastAsia="es-ES" w:bidi="es-ES"/>
        </w:rPr>
        <w:t>4</w:t>
      </w:r>
      <w:r w:rsidRPr="00B80115">
        <w:rPr>
          <w:rFonts w:ascii="Mulish" w:eastAsia="Mulish" w:hAnsi="Mulish" w:cs="Mulish"/>
          <w:color w:val="0C0C0C" w:themeColor="text1"/>
          <w:lang w:eastAsia="es-ES" w:bidi="es-ES"/>
        </w:rPr>
        <w:t xml:space="preserve">.- </w:t>
      </w:r>
      <w:r w:rsidR="00A251FA" w:rsidRPr="00A251FA">
        <w:rPr>
          <w:rFonts w:ascii="Mulish" w:eastAsia="Mulish" w:hAnsi="Mulish" w:cs="Mulish"/>
          <w:color w:val="0C0C0C" w:themeColor="text1"/>
          <w:lang w:eastAsia="es-ES" w:bidi="es-ES"/>
        </w:rPr>
        <w:t xml:space="preserve">El Consejo de Transparencia y Buen Gobierno (CTBG) acaba de publicar el informe con los resultados de la evaluación del cumplimiento de las obligaciones de publicidad activa de </w:t>
      </w:r>
      <w:r w:rsidR="00A251FA" w:rsidRPr="00A251FA">
        <w:rPr>
          <w:rFonts w:ascii="Mulish" w:eastAsia="Mulish" w:hAnsi="Mulish" w:cs="Mulish"/>
          <w:b/>
          <w:bCs/>
          <w:color w:val="0C0C0C" w:themeColor="text1"/>
          <w:lang w:eastAsia="es-ES" w:bidi="es-ES"/>
        </w:rPr>
        <w:t>7</w:t>
      </w:r>
      <w:r w:rsidR="00DA2CF7">
        <w:rPr>
          <w:rFonts w:ascii="Mulish" w:eastAsia="Mulish" w:hAnsi="Mulish" w:cs="Mulish"/>
          <w:b/>
          <w:bCs/>
          <w:color w:val="0C0C0C" w:themeColor="text1"/>
          <w:lang w:eastAsia="es-ES" w:bidi="es-ES"/>
        </w:rPr>
        <w:t>9</w:t>
      </w:r>
      <w:r w:rsidR="00A251FA" w:rsidRPr="00A251FA">
        <w:rPr>
          <w:rFonts w:ascii="Mulish" w:eastAsia="Mulish" w:hAnsi="Mulish" w:cs="Mulish"/>
          <w:b/>
          <w:bCs/>
          <w:color w:val="0C0C0C" w:themeColor="text1"/>
          <w:lang w:eastAsia="es-ES" w:bidi="es-ES"/>
        </w:rPr>
        <w:t xml:space="preserve"> entidades perceptoras de subvenciones y ayudas públicas</w:t>
      </w:r>
      <w:r w:rsidR="00A251FA" w:rsidRPr="00A251FA">
        <w:rPr>
          <w:rFonts w:ascii="Mulish" w:eastAsia="Mulish" w:hAnsi="Mulish" w:cs="Mulish"/>
          <w:color w:val="0C0C0C" w:themeColor="text1"/>
          <w:lang w:eastAsia="es-ES" w:bidi="es-ES"/>
        </w:rPr>
        <w:t xml:space="preserve">. </w:t>
      </w:r>
      <w:r w:rsidR="00B965B4">
        <w:rPr>
          <w:rFonts w:ascii="Mulish" w:eastAsia="Mulish" w:hAnsi="Mulish" w:cs="Mulish"/>
          <w:color w:val="0C0C0C" w:themeColor="text1"/>
          <w:lang w:eastAsia="es-ES" w:bidi="es-ES"/>
        </w:rPr>
        <w:t xml:space="preserve">El Consejo </w:t>
      </w:r>
      <w:r w:rsidR="00A251FA" w:rsidRPr="00A251FA">
        <w:rPr>
          <w:rFonts w:ascii="Mulish" w:eastAsia="Mulish" w:hAnsi="Mulish" w:cs="Mulish"/>
          <w:color w:val="0C0C0C" w:themeColor="text1"/>
          <w:lang w:eastAsia="es-ES" w:bidi="es-ES"/>
        </w:rPr>
        <w:t xml:space="preserve">ha analizado si </w:t>
      </w:r>
      <w:r w:rsidR="00DA2CF7">
        <w:rPr>
          <w:rFonts w:ascii="Mulish" w:eastAsia="Mulish" w:hAnsi="Mulish" w:cs="Mulish"/>
          <w:color w:val="0C0C0C" w:themeColor="text1"/>
          <w:lang w:eastAsia="es-ES" w:bidi="es-ES"/>
        </w:rPr>
        <w:t>esta</w:t>
      </w:r>
      <w:r w:rsidR="00A251FA" w:rsidRPr="00A251FA">
        <w:rPr>
          <w:rFonts w:ascii="Mulish" w:eastAsia="Mulish" w:hAnsi="Mulish" w:cs="Mulish"/>
          <w:color w:val="0C0C0C" w:themeColor="text1"/>
          <w:lang w:eastAsia="es-ES" w:bidi="es-ES"/>
        </w:rPr>
        <w:t xml:space="preserve"> muestra de</w:t>
      </w:r>
      <w:r w:rsidR="00B965B4">
        <w:rPr>
          <w:rFonts w:ascii="Mulish" w:eastAsia="Mulish" w:hAnsi="Mulish" w:cs="Mulish"/>
          <w:color w:val="0C0C0C" w:themeColor="text1"/>
          <w:lang w:eastAsia="es-ES" w:bidi="es-ES"/>
        </w:rPr>
        <w:t xml:space="preserve"> entidades de</w:t>
      </w:r>
      <w:r w:rsidR="00A251FA" w:rsidRPr="00A251FA">
        <w:rPr>
          <w:rFonts w:ascii="Mulish" w:eastAsia="Mulish" w:hAnsi="Mulish" w:cs="Mulish"/>
          <w:color w:val="0C0C0C" w:themeColor="text1"/>
          <w:lang w:eastAsia="es-ES" w:bidi="es-ES"/>
        </w:rPr>
        <w:t xml:space="preserve"> uno de los grupos de sujetos obligados por la </w:t>
      </w:r>
      <w:r w:rsidR="00B965B4">
        <w:rPr>
          <w:rFonts w:ascii="Mulish" w:eastAsia="Mulish" w:hAnsi="Mulish" w:cs="Mulish"/>
          <w:color w:val="0C0C0C" w:themeColor="text1"/>
          <w:lang w:eastAsia="es-ES" w:bidi="es-ES"/>
        </w:rPr>
        <w:t>L</w:t>
      </w:r>
      <w:r w:rsidR="00A251FA" w:rsidRPr="00A251FA">
        <w:rPr>
          <w:rFonts w:ascii="Mulish" w:eastAsia="Mulish" w:hAnsi="Mulish" w:cs="Mulish"/>
          <w:color w:val="0C0C0C" w:themeColor="text1"/>
          <w:lang w:eastAsia="es-ES" w:bidi="es-ES"/>
        </w:rPr>
        <w:t xml:space="preserve">ey </w:t>
      </w:r>
      <w:r w:rsidR="00B965B4">
        <w:rPr>
          <w:rFonts w:ascii="Mulish" w:eastAsia="Mulish" w:hAnsi="Mulish" w:cs="Mulish"/>
          <w:color w:val="0C0C0C" w:themeColor="text1"/>
          <w:lang w:eastAsia="es-ES" w:bidi="es-ES"/>
        </w:rPr>
        <w:t xml:space="preserve">19/2013 </w:t>
      </w:r>
      <w:r w:rsidR="00A251FA" w:rsidRPr="00A251FA">
        <w:rPr>
          <w:rFonts w:ascii="Mulish" w:eastAsia="Mulish" w:hAnsi="Mulish" w:cs="Mulish"/>
          <w:color w:val="0C0C0C" w:themeColor="text1"/>
          <w:lang w:eastAsia="es-ES" w:bidi="es-ES"/>
        </w:rPr>
        <w:t xml:space="preserve">de transparencia, </w:t>
      </w:r>
      <w:r w:rsidR="00B965B4">
        <w:rPr>
          <w:rFonts w:ascii="Mulish" w:eastAsia="Mulish" w:hAnsi="Mulish" w:cs="Mulish"/>
          <w:color w:val="0C0C0C" w:themeColor="text1"/>
          <w:lang w:eastAsia="es-ES" w:bidi="es-ES"/>
        </w:rPr>
        <w:t xml:space="preserve">acceso a la información pública y buen gobierno (LTAIBG) </w:t>
      </w:r>
      <w:r w:rsidR="00CD436E" w:rsidRPr="00561A62">
        <w:rPr>
          <w:rFonts w:ascii="Mulish" w:hAnsi="Mulish"/>
        </w:rPr>
        <w:t>–</w:t>
      </w:r>
      <w:r w:rsidR="00A251FA" w:rsidRPr="00A251FA">
        <w:rPr>
          <w:rFonts w:ascii="Mulish" w:eastAsia="Mulish" w:hAnsi="Mulish" w:cs="Mulish"/>
          <w:color w:val="0C0C0C" w:themeColor="text1"/>
          <w:lang w:eastAsia="es-ES" w:bidi="es-ES"/>
        </w:rPr>
        <w:t xml:space="preserve">las entidades </w:t>
      </w:r>
      <w:r w:rsidR="00CD436E">
        <w:rPr>
          <w:rFonts w:ascii="Mulish" w:eastAsia="Mulish" w:hAnsi="Mulish" w:cs="Mulish"/>
          <w:color w:val="0C0C0C" w:themeColor="text1"/>
          <w:lang w:eastAsia="es-ES" w:bidi="es-ES"/>
        </w:rPr>
        <w:t xml:space="preserve">privadas </w:t>
      </w:r>
      <w:r w:rsidR="00A251FA" w:rsidRPr="00A251FA">
        <w:rPr>
          <w:rFonts w:ascii="Mulish" w:eastAsia="Mulish" w:hAnsi="Mulish" w:cs="Mulish"/>
          <w:color w:val="0C0C0C" w:themeColor="text1"/>
          <w:lang w:eastAsia="es-ES" w:bidi="es-ES"/>
        </w:rPr>
        <w:t>que perciben determinada cantidad de fondos públicos</w:t>
      </w:r>
      <w:r w:rsidR="00CD436E" w:rsidRPr="00561A62">
        <w:rPr>
          <w:rFonts w:ascii="Mulish" w:hAnsi="Mulish"/>
        </w:rPr>
        <w:t>–</w:t>
      </w:r>
      <w:r w:rsidR="00A251FA" w:rsidRPr="00A251FA">
        <w:rPr>
          <w:rFonts w:ascii="Mulish" w:eastAsia="Mulish" w:hAnsi="Mulish" w:cs="Mulish"/>
          <w:color w:val="0C0C0C" w:themeColor="text1"/>
          <w:lang w:eastAsia="es-ES" w:bidi="es-ES"/>
        </w:rPr>
        <w:t xml:space="preserve"> publica</w:t>
      </w:r>
      <w:r w:rsidR="00DA2CF7">
        <w:rPr>
          <w:rFonts w:ascii="Mulish" w:eastAsia="Mulish" w:hAnsi="Mulish" w:cs="Mulish"/>
          <w:color w:val="0C0C0C" w:themeColor="text1"/>
          <w:lang w:eastAsia="es-ES" w:bidi="es-ES"/>
        </w:rPr>
        <w:t>n</w:t>
      </w:r>
      <w:r w:rsidR="00A251FA" w:rsidRPr="00A251FA">
        <w:rPr>
          <w:rFonts w:ascii="Mulish" w:eastAsia="Mulish" w:hAnsi="Mulish" w:cs="Mulish"/>
          <w:color w:val="0C0C0C" w:themeColor="text1"/>
          <w:lang w:eastAsia="es-ES" w:bidi="es-ES"/>
        </w:rPr>
        <w:t xml:space="preserve"> en sus páginas web la información a la que están legalmente obligadas. </w:t>
      </w:r>
    </w:p>
    <w:p w14:paraId="6834649A" w14:textId="77777777" w:rsidR="00A251FA" w:rsidRPr="00A251FA" w:rsidRDefault="00A251FA" w:rsidP="00A251FA">
      <w:pPr>
        <w:spacing w:after="0"/>
        <w:jc w:val="both"/>
        <w:rPr>
          <w:rFonts w:ascii="Mulish" w:eastAsia="Mulish" w:hAnsi="Mulish" w:cs="Mulish"/>
          <w:color w:val="0C0C0C" w:themeColor="text1"/>
          <w:lang w:eastAsia="es-ES" w:bidi="es-ES"/>
        </w:rPr>
      </w:pPr>
    </w:p>
    <w:p w14:paraId="3D044814" w14:textId="5DB51E32" w:rsidR="00A251FA" w:rsidRPr="00A251FA" w:rsidRDefault="00A251FA" w:rsidP="00A251FA">
      <w:pPr>
        <w:spacing w:after="0"/>
        <w:jc w:val="both"/>
        <w:rPr>
          <w:rFonts w:ascii="Mulish" w:eastAsia="Mulish" w:hAnsi="Mulish" w:cs="Mulish"/>
          <w:color w:val="0C0C0C" w:themeColor="text1"/>
          <w:lang w:eastAsia="es-ES" w:bidi="es-ES"/>
        </w:rPr>
      </w:pPr>
      <w:r w:rsidRPr="00A251FA">
        <w:rPr>
          <w:rFonts w:ascii="Mulish" w:eastAsia="Mulish" w:hAnsi="Mulish" w:cs="Mulish"/>
          <w:color w:val="0C0C0C" w:themeColor="text1"/>
          <w:lang w:eastAsia="es-ES" w:bidi="es-ES"/>
        </w:rPr>
        <w:t>La selección de las entidades evaluadas se ha efectuado mediante muestreo aleatorio estratificado según tipo de entidad perceptora de subvenciones o ayudas públicas por cuantía superior a 500.000 euros en el periodo de un año, a partir de la información contenida en la Base de Datos Nacional de Subvenciones. De las 7</w:t>
      </w:r>
      <w:r w:rsidR="00DA2CF7">
        <w:rPr>
          <w:rFonts w:ascii="Mulish" w:eastAsia="Mulish" w:hAnsi="Mulish" w:cs="Mulish"/>
          <w:color w:val="0C0C0C" w:themeColor="text1"/>
          <w:lang w:eastAsia="es-ES" w:bidi="es-ES"/>
        </w:rPr>
        <w:t>9</w:t>
      </w:r>
      <w:r w:rsidRPr="00A251FA">
        <w:rPr>
          <w:rFonts w:ascii="Mulish" w:eastAsia="Mulish" w:hAnsi="Mulish" w:cs="Mulish"/>
          <w:color w:val="0C0C0C" w:themeColor="text1"/>
          <w:lang w:eastAsia="es-ES" w:bidi="es-ES"/>
        </w:rPr>
        <w:t xml:space="preserve"> entidades analizadas, </w:t>
      </w:r>
      <w:r w:rsidRPr="00A251FA">
        <w:rPr>
          <w:rFonts w:ascii="Mulish" w:eastAsia="Mulish" w:hAnsi="Mulish" w:cs="Mulish"/>
          <w:color w:val="0C0C0C" w:themeColor="text1"/>
          <w:lang w:eastAsia="es-ES" w:bidi="es-ES"/>
        </w:rPr>
        <w:lastRenderedPageBreak/>
        <w:t xml:space="preserve">56 ya habían sido evaluadas </w:t>
      </w:r>
      <w:r w:rsidR="00CA4A22">
        <w:rPr>
          <w:rFonts w:ascii="Mulish" w:eastAsia="Mulish" w:hAnsi="Mulish" w:cs="Mulish"/>
          <w:color w:val="0C0C0C" w:themeColor="text1"/>
          <w:lang w:eastAsia="es-ES" w:bidi="es-ES"/>
        </w:rPr>
        <w:t xml:space="preserve">en 2023 </w:t>
      </w:r>
      <w:r w:rsidRPr="00A251FA">
        <w:rPr>
          <w:rFonts w:ascii="Mulish" w:eastAsia="Mulish" w:hAnsi="Mulish" w:cs="Mulish"/>
          <w:color w:val="0C0C0C" w:themeColor="text1"/>
          <w:lang w:eastAsia="es-ES" w:bidi="es-ES"/>
        </w:rPr>
        <w:t>por el Consejo, y 2</w:t>
      </w:r>
      <w:r w:rsidR="00DA2CF7">
        <w:rPr>
          <w:rFonts w:ascii="Mulish" w:eastAsia="Mulish" w:hAnsi="Mulish" w:cs="Mulish"/>
          <w:color w:val="0C0C0C" w:themeColor="text1"/>
          <w:lang w:eastAsia="es-ES" w:bidi="es-ES"/>
        </w:rPr>
        <w:t>3</w:t>
      </w:r>
      <w:r w:rsidRPr="00A251FA">
        <w:rPr>
          <w:rFonts w:ascii="Mulish" w:eastAsia="Mulish" w:hAnsi="Mulish" w:cs="Mulish"/>
          <w:color w:val="0C0C0C" w:themeColor="text1"/>
          <w:lang w:eastAsia="es-ES" w:bidi="es-ES"/>
        </w:rPr>
        <w:t xml:space="preserve"> entidades </w:t>
      </w:r>
      <w:r w:rsidR="00DA2CF7">
        <w:rPr>
          <w:rFonts w:ascii="Mulish" w:eastAsia="Mulish" w:hAnsi="Mulish" w:cs="Mulish"/>
          <w:color w:val="0C0C0C" w:themeColor="text1"/>
          <w:lang w:eastAsia="es-ES" w:bidi="es-ES"/>
        </w:rPr>
        <w:t xml:space="preserve">han sido </w:t>
      </w:r>
      <w:r w:rsidRPr="00A251FA">
        <w:rPr>
          <w:rFonts w:ascii="Mulish" w:eastAsia="Mulish" w:hAnsi="Mulish" w:cs="Mulish"/>
          <w:color w:val="0C0C0C" w:themeColor="text1"/>
          <w:lang w:eastAsia="es-ES" w:bidi="es-ES"/>
        </w:rPr>
        <w:t xml:space="preserve">analizadas por primera vez. </w:t>
      </w:r>
    </w:p>
    <w:p w14:paraId="684E02D3" w14:textId="77777777" w:rsidR="00A251FA" w:rsidRPr="00A251FA" w:rsidRDefault="00A251FA" w:rsidP="00A251FA">
      <w:pPr>
        <w:spacing w:after="0"/>
        <w:jc w:val="both"/>
        <w:rPr>
          <w:rFonts w:ascii="Mulish" w:eastAsia="Mulish" w:hAnsi="Mulish" w:cs="Mulish"/>
          <w:color w:val="0C0C0C" w:themeColor="text1"/>
          <w:lang w:eastAsia="es-ES" w:bidi="es-ES"/>
        </w:rPr>
      </w:pPr>
    </w:p>
    <w:p w14:paraId="13CF5782" w14:textId="614DBE2B" w:rsidR="00A251FA" w:rsidRDefault="00C27BA6" w:rsidP="00A251FA">
      <w:pPr>
        <w:spacing w:after="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Aunque existen notables diferencias en</w:t>
      </w:r>
      <w:r w:rsidR="005B7B5A">
        <w:rPr>
          <w:rFonts w:ascii="Mulish" w:eastAsia="Mulish" w:hAnsi="Mulish" w:cs="Mulish"/>
          <w:color w:val="0C0C0C" w:themeColor="text1"/>
          <w:lang w:eastAsia="es-ES" w:bidi="es-ES"/>
        </w:rPr>
        <w:t xml:space="preserve"> cuanto a cumplimiento entre</w:t>
      </w:r>
      <w:r>
        <w:rPr>
          <w:rFonts w:ascii="Mulish" w:eastAsia="Mulish" w:hAnsi="Mulish" w:cs="Mulish"/>
          <w:color w:val="0C0C0C" w:themeColor="text1"/>
          <w:lang w:eastAsia="es-ES" w:bidi="es-ES"/>
        </w:rPr>
        <w:t xml:space="preserve"> entidades, e</w:t>
      </w:r>
      <w:r w:rsidR="00A251FA" w:rsidRPr="00A251FA">
        <w:rPr>
          <w:rFonts w:ascii="Mulish" w:eastAsia="Mulish" w:hAnsi="Mulish" w:cs="Mulish"/>
          <w:color w:val="0C0C0C" w:themeColor="text1"/>
          <w:lang w:eastAsia="es-ES" w:bidi="es-ES"/>
        </w:rPr>
        <w:t xml:space="preserve">l informe del CTBG muestra que el grado </w:t>
      </w:r>
      <w:r w:rsidR="005B7B5A">
        <w:rPr>
          <w:rFonts w:ascii="Mulish" w:eastAsia="Mulish" w:hAnsi="Mulish" w:cs="Mulish"/>
          <w:color w:val="0C0C0C" w:themeColor="text1"/>
          <w:lang w:eastAsia="es-ES" w:bidi="es-ES"/>
        </w:rPr>
        <w:t xml:space="preserve">medio </w:t>
      </w:r>
      <w:r w:rsidR="00A251FA" w:rsidRPr="00A251FA">
        <w:rPr>
          <w:rFonts w:ascii="Mulish" w:eastAsia="Mulish" w:hAnsi="Mulish" w:cs="Mulish"/>
          <w:color w:val="0C0C0C" w:themeColor="text1"/>
          <w:lang w:eastAsia="es-ES" w:bidi="es-ES"/>
        </w:rPr>
        <w:t xml:space="preserve">de cumplimiento de las obligaciones impuestas por </w:t>
      </w:r>
      <w:r w:rsidR="00DA2CF7">
        <w:rPr>
          <w:rFonts w:ascii="Mulish" w:eastAsia="Mulish" w:hAnsi="Mulish" w:cs="Mulish"/>
          <w:color w:val="0C0C0C" w:themeColor="text1"/>
          <w:lang w:eastAsia="es-ES" w:bidi="es-ES"/>
        </w:rPr>
        <w:t xml:space="preserve">la </w:t>
      </w:r>
      <w:r w:rsidR="00A251FA" w:rsidRPr="00A251FA">
        <w:rPr>
          <w:rFonts w:ascii="Mulish" w:eastAsia="Mulish" w:hAnsi="Mulish" w:cs="Mulish"/>
          <w:color w:val="0C0C0C" w:themeColor="text1"/>
          <w:lang w:eastAsia="es-ES" w:bidi="es-ES"/>
        </w:rPr>
        <w:t>Ley de transparencia</w:t>
      </w:r>
      <w:r w:rsidR="005E34BF">
        <w:rPr>
          <w:rFonts w:ascii="Mulish" w:eastAsia="Mulish" w:hAnsi="Mulish" w:cs="Mulish"/>
          <w:color w:val="0C0C0C" w:themeColor="text1"/>
          <w:lang w:eastAsia="es-ES" w:bidi="es-ES"/>
        </w:rPr>
        <w:t xml:space="preserve"> </w:t>
      </w:r>
      <w:r w:rsidR="00A251FA" w:rsidRPr="00A251FA">
        <w:rPr>
          <w:rFonts w:ascii="Mulish" w:eastAsia="Mulish" w:hAnsi="Mulish" w:cs="Mulish"/>
          <w:color w:val="0C0C0C" w:themeColor="text1"/>
          <w:lang w:eastAsia="es-ES" w:bidi="es-ES"/>
        </w:rPr>
        <w:t>por parte del conjunto de las 7</w:t>
      </w:r>
      <w:r w:rsidR="00DA2CF7">
        <w:rPr>
          <w:rFonts w:ascii="Mulish" w:eastAsia="Mulish" w:hAnsi="Mulish" w:cs="Mulish"/>
          <w:color w:val="0C0C0C" w:themeColor="text1"/>
          <w:lang w:eastAsia="es-ES" w:bidi="es-ES"/>
        </w:rPr>
        <w:t>9</w:t>
      </w:r>
      <w:r w:rsidR="00A251FA" w:rsidRPr="00A251FA">
        <w:rPr>
          <w:rFonts w:ascii="Mulish" w:eastAsia="Mulish" w:hAnsi="Mulish" w:cs="Mulish"/>
          <w:color w:val="0C0C0C" w:themeColor="text1"/>
          <w:lang w:eastAsia="es-ES" w:bidi="es-ES"/>
        </w:rPr>
        <w:t xml:space="preserve"> entidades evaluadas se sitúa en tan sólo </w:t>
      </w:r>
      <w:r w:rsidR="00A251FA" w:rsidRPr="00C27BA6">
        <w:rPr>
          <w:rFonts w:ascii="Mulish" w:eastAsia="Mulish" w:hAnsi="Mulish" w:cs="Mulish"/>
          <w:color w:val="0C0C0C" w:themeColor="text1"/>
          <w:lang w:eastAsia="es-ES" w:bidi="es-ES"/>
        </w:rPr>
        <w:t>el 37</w:t>
      </w:r>
      <w:r w:rsidRPr="00C27BA6">
        <w:rPr>
          <w:rFonts w:ascii="Mulish" w:eastAsia="Mulish" w:hAnsi="Mulish" w:cs="Mulish"/>
          <w:color w:val="0C0C0C" w:themeColor="text1"/>
          <w:lang w:eastAsia="es-ES" w:bidi="es-ES"/>
        </w:rPr>
        <w:t>,6</w:t>
      </w:r>
      <w:r w:rsidR="00A251FA" w:rsidRPr="00A251FA">
        <w:rPr>
          <w:rFonts w:ascii="Mulish" w:eastAsia="Mulish" w:hAnsi="Mulish" w:cs="Mulish"/>
          <w:color w:val="0C0C0C" w:themeColor="text1"/>
          <w:lang w:eastAsia="es-ES" w:bidi="es-ES"/>
        </w:rPr>
        <w:t xml:space="preserve">%. Para </w:t>
      </w:r>
      <w:r w:rsidR="00A251FA">
        <w:rPr>
          <w:rFonts w:ascii="Mulish" w:eastAsia="Mulish" w:hAnsi="Mulish" w:cs="Mulish"/>
          <w:color w:val="0C0C0C" w:themeColor="text1"/>
          <w:lang w:eastAsia="es-ES" w:bidi="es-ES"/>
        </w:rPr>
        <w:t>obtener</w:t>
      </w:r>
      <w:r w:rsidR="00A251FA" w:rsidRPr="00A251FA">
        <w:rPr>
          <w:rFonts w:ascii="Mulish" w:eastAsia="Mulish" w:hAnsi="Mulish" w:cs="Mulish"/>
          <w:color w:val="0C0C0C" w:themeColor="text1"/>
          <w:lang w:eastAsia="es-ES" w:bidi="es-ES"/>
        </w:rPr>
        <w:t xml:space="preserve"> e</w:t>
      </w:r>
      <w:r w:rsidR="005B7B5A">
        <w:rPr>
          <w:rFonts w:ascii="Mulish" w:eastAsia="Mulish" w:hAnsi="Mulish" w:cs="Mulish"/>
          <w:color w:val="0C0C0C" w:themeColor="text1"/>
          <w:lang w:eastAsia="es-ES" w:bidi="es-ES"/>
        </w:rPr>
        <w:t>l</w:t>
      </w:r>
      <w:r w:rsidR="00A251FA" w:rsidRPr="00A251FA">
        <w:rPr>
          <w:rFonts w:ascii="Mulish" w:eastAsia="Mulish" w:hAnsi="Mulish" w:cs="Mulish"/>
          <w:color w:val="0C0C0C" w:themeColor="text1"/>
          <w:lang w:eastAsia="es-ES" w:bidi="es-ES"/>
        </w:rPr>
        <w:t xml:space="preserve"> dato </w:t>
      </w:r>
      <w:r w:rsidR="00DA2CF7">
        <w:rPr>
          <w:rFonts w:ascii="Mulish" w:eastAsia="Mulish" w:hAnsi="Mulish" w:cs="Mulish"/>
          <w:color w:val="0C0C0C" w:themeColor="text1"/>
          <w:lang w:eastAsia="es-ES" w:bidi="es-ES"/>
        </w:rPr>
        <w:t xml:space="preserve">del </w:t>
      </w:r>
      <w:r w:rsidR="00A251FA" w:rsidRPr="00A251FA">
        <w:rPr>
          <w:rFonts w:ascii="Mulish" w:eastAsia="Mulish" w:hAnsi="Mulish" w:cs="Mulish"/>
          <w:color w:val="0C0C0C" w:themeColor="text1"/>
          <w:lang w:eastAsia="es-ES" w:bidi="es-ES"/>
        </w:rPr>
        <w:t>Índice de Cumplimiento de la Información Obligatoria</w:t>
      </w:r>
      <w:r w:rsidR="00DA2CF7">
        <w:rPr>
          <w:rFonts w:ascii="Mulish" w:eastAsia="Mulish" w:hAnsi="Mulish" w:cs="Mulish"/>
          <w:color w:val="0C0C0C" w:themeColor="text1"/>
          <w:lang w:eastAsia="es-ES" w:bidi="es-ES"/>
        </w:rPr>
        <w:t xml:space="preserve"> (</w:t>
      </w:r>
      <w:r w:rsidR="00A251FA" w:rsidRPr="00A251FA">
        <w:rPr>
          <w:rFonts w:ascii="Mulish" w:eastAsia="Mulish" w:hAnsi="Mulish" w:cs="Mulish"/>
          <w:color w:val="0C0C0C" w:themeColor="text1"/>
          <w:lang w:eastAsia="es-ES" w:bidi="es-ES"/>
        </w:rPr>
        <w:t xml:space="preserve">ICIO), el Consejo evalúa si las entidades publican o no las informaciones a las que están obligadas </w:t>
      </w:r>
      <w:r w:rsidR="005B7B5A">
        <w:rPr>
          <w:rFonts w:ascii="Mulish" w:eastAsia="Mulish" w:hAnsi="Mulish" w:cs="Mulish"/>
          <w:color w:val="0C0C0C" w:themeColor="text1"/>
          <w:lang w:eastAsia="es-ES" w:bidi="es-ES"/>
        </w:rPr>
        <w:t xml:space="preserve">y </w:t>
      </w:r>
      <w:r w:rsidR="00A251FA" w:rsidRPr="00A251FA">
        <w:rPr>
          <w:rFonts w:ascii="Mulish" w:eastAsia="Mulish" w:hAnsi="Mulish" w:cs="Mulish"/>
          <w:color w:val="0C0C0C" w:themeColor="text1"/>
          <w:lang w:eastAsia="es-ES" w:bidi="es-ES"/>
        </w:rPr>
        <w:t xml:space="preserve">si lo hacen </w:t>
      </w:r>
      <w:r w:rsidR="005E34BF">
        <w:rPr>
          <w:rFonts w:ascii="Mulish" w:eastAsia="Mulish" w:hAnsi="Mulish" w:cs="Mulish"/>
          <w:color w:val="0C0C0C" w:themeColor="text1"/>
          <w:lang w:eastAsia="es-ES" w:bidi="es-ES"/>
        </w:rPr>
        <w:t>adecuadamente</w:t>
      </w:r>
      <w:r w:rsidR="00A251FA" w:rsidRPr="00A251FA">
        <w:rPr>
          <w:rFonts w:ascii="Mulish" w:eastAsia="Mulish" w:hAnsi="Mulish" w:cs="Mulish"/>
          <w:color w:val="0C0C0C" w:themeColor="text1"/>
          <w:lang w:eastAsia="es-ES" w:bidi="es-ES"/>
        </w:rPr>
        <w:t xml:space="preserve"> (con suficiente grado de actualización, </w:t>
      </w:r>
      <w:r w:rsidR="00DA2CF7">
        <w:rPr>
          <w:rFonts w:ascii="Mulish" w:eastAsia="Mulish" w:hAnsi="Mulish" w:cs="Mulish"/>
          <w:color w:val="0C0C0C" w:themeColor="text1"/>
          <w:lang w:eastAsia="es-ES" w:bidi="es-ES"/>
        </w:rPr>
        <w:t xml:space="preserve">accesibilidad, </w:t>
      </w:r>
      <w:r w:rsidR="00A251FA" w:rsidRPr="00A251FA">
        <w:rPr>
          <w:rFonts w:ascii="Mulish" w:eastAsia="Mulish" w:hAnsi="Mulish" w:cs="Mulish"/>
          <w:color w:val="0C0C0C" w:themeColor="text1"/>
          <w:lang w:eastAsia="es-ES" w:bidi="es-ES"/>
        </w:rPr>
        <w:t>en formatos reutilizables, etc.).</w:t>
      </w:r>
    </w:p>
    <w:p w14:paraId="253B7053" w14:textId="7450DCEB" w:rsidR="00C27BA6" w:rsidRDefault="00C27BA6" w:rsidP="00A251FA">
      <w:pPr>
        <w:spacing w:after="0"/>
        <w:jc w:val="both"/>
        <w:rPr>
          <w:rFonts w:ascii="Mulish" w:eastAsia="Mulish" w:hAnsi="Mulish" w:cs="Mulish"/>
          <w:color w:val="0C0C0C" w:themeColor="text1"/>
          <w:lang w:eastAsia="es-ES" w:bidi="es-ES"/>
        </w:rPr>
      </w:pPr>
    </w:p>
    <w:p w14:paraId="5D38091F" w14:textId="52C8860D" w:rsidR="00C27BA6" w:rsidRPr="00A251FA" w:rsidRDefault="005B7B5A" w:rsidP="00C27BA6">
      <w:pPr>
        <w:spacing w:after="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Las</w:t>
      </w:r>
      <w:r w:rsidR="00C27BA6">
        <w:rPr>
          <w:rFonts w:ascii="Mulish" w:eastAsia="Mulish" w:hAnsi="Mulish" w:cs="Mulish"/>
          <w:color w:val="0C0C0C" w:themeColor="text1"/>
          <w:lang w:eastAsia="es-ES" w:bidi="es-ES"/>
        </w:rPr>
        <w:t xml:space="preserve"> entidades privadas obligadas por la ley tienen que publicar información de carácter institucional y organizativa</w:t>
      </w:r>
      <w:r>
        <w:rPr>
          <w:rFonts w:ascii="Mulish" w:eastAsia="Mulish" w:hAnsi="Mulish" w:cs="Mulish"/>
          <w:color w:val="0C0C0C" w:themeColor="text1"/>
          <w:lang w:eastAsia="es-ES" w:bidi="es-ES"/>
        </w:rPr>
        <w:t xml:space="preserve"> (</w:t>
      </w:r>
      <w:r w:rsidR="00C27BA6">
        <w:rPr>
          <w:rFonts w:ascii="Mulish" w:eastAsia="Mulish" w:hAnsi="Mulish" w:cs="Mulish"/>
          <w:color w:val="0C0C0C" w:themeColor="text1"/>
          <w:lang w:eastAsia="es-ES" w:bidi="es-ES"/>
        </w:rPr>
        <w:t>como sus organigramas y perfil y trayectorias de sus responsables</w:t>
      </w:r>
      <w:r>
        <w:rPr>
          <w:rFonts w:ascii="Mulish" w:eastAsia="Mulish" w:hAnsi="Mulish" w:cs="Mulish"/>
          <w:color w:val="0C0C0C" w:themeColor="text1"/>
          <w:lang w:eastAsia="es-ES" w:bidi="es-ES"/>
        </w:rPr>
        <w:t>)</w:t>
      </w:r>
      <w:r w:rsidR="00C27BA6">
        <w:rPr>
          <w:rFonts w:ascii="Mulish" w:eastAsia="Mulish" w:hAnsi="Mulish" w:cs="Mulish"/>
          <w:color w:val="0C0C0C" w:themeColor="text1"/>
          <w:lang w:eastAsia="es-ES" w:bidi="es-ES"/>
        </w:rPr>
        <w:t>, y de tipo económico y presupuestario</w:t>
      </w:r>
      <w:r>
        <w:rPr>
          <w:rFonts w:ascii="Mulish" w:eastAsia="Mulish" w:hAnsi="Mulish" w:cs="Mulish"/>
          <w:color w:val="0C0C0C" w:themeColor="text1"/>
          <w:lang w:eastAsia="es-ES" w:bidi="es-ES"/>
        </w:rPr>
        <w:t xml:space="preserve"> (</w:t>
      </w:r>
      <w:r w:rsidR="00C27BA6">
        <w:rPr>
          <w:rFonts w:ascii="Mulish" w:eastAsia="Mulish" w:hAnsi="Mulish" w:cs="Mulish"/>
          <w:color w:val="0C0C0C" w:themeColor="text1"/>
          <w:lang w:eastAsia="es-ES" w:bidi="es-ES"/>
        </w:rPr>
        <w:t>contratos y subvenciones que les hayan adjudicado las administraciones públicas, cuentas anuales</w:t>
      </w:r>
      <w:r>
        <w:rPr>
          <w:rFonts w:ascii="Mulish" w:eastAsia="Mulish" w:hAnsi="Mulish" w:cs="Mulish"/>
          <w:color w:val="0C0C0C" w:themeColor="text1"/>
          <w:lang w:eastAsia="es-ES" w:bidi="es-ES"/>
        </w:rPr>
        <w:t xml:space="preserve">, informes de auditoría, </w:t>
      </w:r>
      <w:r w:rsidR="00C27BA6">
        <w:rPr>
          <w:rFonts w:ascii="Mulish" w:eastAsia="Mulish" w:hAnsi="Mulish" w:cs="Mulish"/>
          <w:color w:val="0C0C0C" w:themeColor="text1"/>
          <w:lang w:eastAsia="es-ES" w:bidi="es-ES"/>
        </w:rPr>
        <w:t>retribuciones anuales de sus máximos responsables</w:t>
      </w:r>
      <w:r>
        <w:rPr>
          <w:rFonts w:ascii="Mulish" w:eastAsia="Mulish" w:hAnsi="Mulish" w:cs="Mulish"/>
          <w:color w:val="0C0C0C" w:themeColor="text1"/>
          <w:lang w:eastAsia="es-ES" w:bidi="es-ES"/>
        </w:rPr>
        <w:t xml:space="preserve">, etc.). </w:t>
      </w:r>
      <w:r w:rsidR="00C27BA6">
        <w:rPr>
          <w:rFonts w:ascii="Mulish" w:eastAsia="Mulish" w:hAnsi="Mulish" w:cs="Mulish"/>
          <w:color w:val="0C0C0C" w:themeColor="text1"/>
          <w:lang w:eastAsia="es-ES" w:bidi="es-ES"/>
        </w:rPr>
        <w:t xml:space="preserve">  </w:t>
      </w:r>
    </w:p>
    <w:p w14:paraId="145CDD90" w14:textId="77777777" w:rsidR="00A251FA" w:rsidRPr="00A251FA" w:rsidRDefault="00A251FA" w:rsidP="00A251FA">
      <w:pPr>
        <w:spacing w:after="0"/>
        <w:jc w:val="both"/>
        <w:rPr>
          <w:rFonts w:ascii="Mulish" w:eastAsia="Mulish" w:hAnsi="Mulish" w:cs="Mulish"/>
          <w:color w:val="0C0C0C" w:themeColor="text1"/>
          <w:lang w:eastAsia="es-ES" w:bidi="es-ES"/>
        </w:rPr>
      </w:pPr>
    </w:p>
    <w:p w14:paraId="49AC8DCA" w14:textId="7A2F7D5C" w:rsidR="00A251FA" w:rsidRPr="00A251FA" w:rsidRDefault="00A251FA" w:rsidP="00A251FA">
      <w:pPr>
        <w:spacing w:after="0"/>
        <w:jc w:val="both"/>
        <w:rPr>
          <w:rFonts w:ascii="Mulish" w:eastAsia="Mulish" w:hAnsi="Mulish" w:cs="Mulish"/>
          <w:color w:val="0C0C0C" w:themeColor="text1"/>
          <w:lang w:eastAsia="es-ES" w:bidi="es-ES"/>
        </w:rPr>
      </w:pPr>
      <w:r w:rsidRPr="00A251FA">
        <w:rPr>
          <w:rFonts w:ascii="Mulish" w:eastAsia="Mulish" w:hAnsi="Mulish" w:cs="Mulish"/>
          <w:color w:val="0C0C0C" w:themeColor="text1"/>
          <w:lang w:eastAsia="es-ES" w:bidi="es-ES"/>
        </w:rPr>
        <w:t>El bajo ICIO obtenido por el conjunto de las entidades privadas analizadas en 2024 se explica, por una parte, por la falta de publicación de informaciones obligatorias: las entidades evaluadas no publican el 60,1% de ellas</w:t>
      </w:r>
      <w:r w:rsidR="004B6393">
        <w:rPr>
          <w:rFonts w:ascii="Mulish" w:eastAsia="Mulish" w:hAnsi="Mulish" w:cs="Mulish"/>
          <w:color w:val="0C0C0C" w:themeColor="text1"/>
          <w:lang w:eastAsia="es-ES" w:bidi="es-ES"/>
        </w:rPr>
        <w:t xml:space="preserve">, es decir </w:t>
      </w:r>
      <w:r w:rsidR="004B6393" w:rsidRPr="005E34BF">
        <w:rPr>
          <w:rFonts w:ascii="Mulish" w:eastAsia="Mulish" w:hAnsi="Mulish" w:cs="Mulish"/>
          <w:b/>
          <w:bCs/>
          <w:color w:val="0C0C0C" w:themeColor="text1"/>
          <w:lang w:eastAsia="es-ES" w:bidi="es-ES"/>
        </w:rPr>
        <w:t>solo se publican 4 de cada 10 contenidos obligatorios</w:t>
      </w:r>
      <w:r w:rsidRPr="00A251FA">
        <w:rPr>
          <w:rFonts w:ascii="Mulish" w:eastAsia="Mulish" w:hAnsi="Mulish" w:cs="Mulish"/>
          <w:color w:val="0C0C0C" w:themeColor="text1"/>
          <w:lang w:eastAsia="es-ES" w:bidi="es-ES"/>
        </w:rPr>
        <w:t xml:space="preserve">. Por otra parte, el Consejo ha constatado que muchas de estas entidades no incluyen referencias que permitan conocer a la ciudadanía el grado de actualización de la información publicada. </w:t>
      </w:r>
    </w:p>
    <w:p w14:paraId="7BC86C39" w14:textId="77777777" w:rsidR="00A251FA" w:rsidRPr="00A251FA" w:rsidRDefault="00A251FA" w:rsidP="00A251FA">
      <w:pPr>
        <w:spacing w:after="0"/>
        <w:jc w:val="both"/>
        <w:rPr>
          <w:rFonts w:ascii="Mulish" w:eastAsia="Mulish" w:hAnsi="Mulish" w:cs="Mulish"/>
          <w:color w:val="0C0C0C" w:themeColor="text1"/>
          <w:lang w:eastAsia="es-ES" w:bidi="es-ES"/>
        </w:rPr>
      </w:pPr>
    </w:p>
    <w:p w14:paraId="52ECD1D9" w14:textId="1D99A4AE" w:rsidR="00A251FA" w:rsidRDefault="00A251FA" w:rsidP="00A251FA">
      <w:pPr>
        <w:spacing w:after="0"/>
        <w:jc w:val="both"/>
        <w:rPr>
          <w:rFonts w:ascii="Mulish" w:eastAsia="Mulish" w:hAnsi="Mulish" w:cs="Mulish"/>
          <w:color w:val="0C0C0C" w:themeColor="text1"/>
          <w:lang w:eastAsia="es-ES" w:bidi="es-ES"/>
        </w:rPr>
      </w:pPr>
      <w:r w:rsidRPr="00A251FA">
        <w:rPr>
          <w:rFonts w:ascii="Mulish" w:eastAsia="Mulish" w:hAnsi="Mulish" w:cs="Mulish"/>
          <w:color w:val="0C0C0C" w:themeColor="text1"/>
          <w:lang w:eastAsia="es-ES" w:bidi="es-ES"/>
        </w:rPr>
        <w:t xml:space="preserve">Llama la atención que </w:t>
      </w:r>
      <w:r w:rsidRPr="005E34BF">
        <w:rPr>
          <w:rFonts w:ascii="Mulish" w:eastAsia="Mulish" w:hAnsi="Mulish" w:cs="Mulish"/>
          <w:b/>
          <w:bCs/>
          <w:color w:val="0C0C0C" w:themeColor="text1"/>
          <w:lang w:eastAsia="es-ES" w:bidi="es-ES"/>
        </w:rPr>
        <w:t>un 68% de las entidades que fueron evaluadas en 2023 por el Consejo no ha aplicado ninguna de las recomendaciones</w:t>
      </w:r>
      <w:r w:rsidRPr="00A251FA">
        <w:rPr>
          <w:rFonts w:ascii="Mulish" w:eastAsia="Mulish" w:hAnsi="Mulish" w:cs="Mulish"/>
          <w:color w:val="0C0C0C" w:themeColor="text1"/>
          <w:lang w:eastAsia="es-ES" w:bidi="es-ES"/>
        </w:rPr>
        <w:t xml:space="preserve"> que les hizo la institución para ayudarles a mejorar su cumplimiento, dirigidas, fundamentalmente, a facilitar a los ciudadanos y ciudadanas la localización, la accesibilidad y la comprensión de la información. Sólo un 7% de las entidades aplicó el 80% o más de las recomendaciones efectuadas. En estas entidades que aplicaron </w:t>
      </w:r>
      <w:r w:rsidR="004B6393">
        <w:rPr>
          <w:rFonts w:ascii="Mulish" w:eastAsia="Mulish" w:hAnsi="Mulish" w:cs="Mulish"/>
          <w:color w:val="0C0C0C" w:themeColor="text1"/>
          <w:lang w:eastAsia="es-ES" w:bidi="es-ES"/>
        </w:rPr>
        <w:t>gran</w:t>
      </w:r>
      <w:r w:rsidRPr="00A251FA">
        <w:rPr>
          <w:rFonts w:ascii="Mulish" w:eastAsia="Mulish" w:hAnsi="Mulish" w:cs="Mulish"/>
          <w:color w:val="0C0C0C" w:themeColor="text1"/>
          <w:lang w:eastAsia="es-ES" w:bidi="es-ES"/>
        </w:rPr>
        <w:t xml:space="preserve"> parte de las recomendaciones del Consejo, el incremento medio del ICIO supera los 54 puntos porcentuales. </w:t>
      </w:r>
    </w:p>
    <w:p w14:paraId="1589B857" w14:textId="5F71AD82" w:rsidR="00597D3E" w:rsidRDefault="00597D3E" w:rsidP="00A251FA">
      <w:pPr>
        <w:spacing w:after="0"/>
        <w:jc w:val="both"/>
        <w:rPr>
          <w:rFonts w:ascii="Mulish" w:eastAsia="Mulish" w:hAnsi="Mulish" w:cs="Mulish"/>
          <w:color w:val="0C0C0C" w:themeColor="text1"/>
          <w:lang w:eastAsia="es-ES" w:bidi="es-ES"/>
        </w:rPr>
      </w:pPr>
    </w:p>
    <w:p w14:paraId="4981C3E4" w14:textId="5BB551B7" w:rsidR="00597D3E" w:rsidRPr="00A251FA" w:rsidRDefault="00597D3E" w:rsidP="00A251FA">
      <w:pPr>
        <w:spacing w:after="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 xml:space="preserve">Es el caso, por ejemplo, de la Fundación </w:t>
      </w:r>
      <w:proofErr w:type="spellStart"/>
      <w:r>
        <w:rPr>
          <w:rFonts w:ascii="Mulish" w:eastAsia="Mulish" w:hAnsi="Mulish" w:cs="Mulish"/>
          <w:color w:val="0C0C0C" w:themeColor="text1"/>
          <w:lang w:eastAsia="es-ES" w:bidi="es-ES"/>
        </w:rPr>
        <w:t>Save</w:t>
      </w:r>
      <w:proofErr w:type="spellEnd"/>
      <w:r>
        <w:rPr>
          <w:rFonts w:ascii="Mulish" w:eastAsia="Mulish" w:hAnsi="Mulish" w:cs="Mulish"/>
          <w:color w:val="0C0C0C" w:themeColor="text1"/>
          <w:lang w:eastAsia="es-ES" w:bidi="es-ES"/>
        </w:rPr>
        <w:t xml:space="preserve"> </w:t>
      </w:r>
      <w:proofErr w:type="spellStart"/>
      <w:r>
        <w:rPr>
          <w:rFonts w:ascii="Mulish" w:eastAsia="Mulish" w:hAnsi="Mulish" w:cs="Mulish"/>
          <w:color w:val="0C0C0C" w:themeColor="text1"/>
          <w:lang w:eastAsia="es-ES" w:bidi="es-ES"/>
        </w:rPr>
        <w:t>The</w:t>
      </w:r>
      <w:proofErr w:type="spellEnd"/>
      <w:r>
        <w:rPr>
          <w:rFonts w:ascii="Mulish" w:eastAsia="Mulish" w:hAnsi="Mulish" w:cs="Mulish"/>
          <w:color w:val="0C0C0C" w:themeColor="text1"/>
          <w:lang w:eastAsia="es-ES" w:bidi="es-ES"/>
        </w:rPr>
        <w:t xml:space="preserve"> </w:t>
      </w:r>
      <w:proofErr w:type="spellStart"/>
      <w:r>
        <w:rPr>
          <w:rFonts w:ascii="Mulish" w:eastAsia="Mulish" w:hAnsi="Mulish" w:cs="Mulish"/>
          <w:color w:val="0C0C0C" w:themeColor="text1"/>
          <w:lang w:eastAsia="es-ES" w:bidi="es-ES"/>
        </w:rPr>
        <w:t>Children</w:t>
      </w:r>
      <w:proofErr w:type="spellEnd"/>
      <w:r>
        <w:rPr>
          <w:rFonts w:ascii="Mulish" w:eastAsia="Mulish" w:hAnsi="Mulish" w:cs="Mulish"/>
          <w:color w:val="0C0C0C" w:themeColor="text1"/>
          <w:lang w:eastAsia="es-ES" w:bidi="es-ES"/>
        </w:rPr>
        <w:t xml:space="preserve"> y de la Confederación de Centros de Desarrollo Rural, que alcanzan un 100% de cumplimiento tras aplicar todas las recomendaciones que les realizó el Consejo en 2023. El listado completo de entidades analizadas y el grado de cumplimiento alcanzado figura al final de este documento.</w:t>
      </w:r>
    </w:p>
    <w:p w14:paraId="623B5782" w14:textId="77777777" w:rsidR="00A251FA" w:rsidRPr="00A251FA" w:rsidRDefault="00A251FA" w:rsidP="00A251FA">
      <w:pPr>
        <w:spacing w:after="0"/>
        <w:jc w:val="both"/>
        <w:rPr>
          <w:rFonts w:ascii="Mulish" w:eastAsia="Mulish" w:hAnsi="Mulish" w:cs="Mulish"/>
          <w:color w:val="0C0C0C" w:themeColor="text1"/>
          <w:lang w:eastAsia="es-ES" w:bidi="es-ES"/>
        </w:rPr>
      </w:pPr>
    </w:p>
    <w:p w14:paraId="6AD4305D" w14:textId="77777777" w:rsidR="00A251FA" w:rsidRPr="005E34BF" w:rsidRDefault="00A251FA" w:rsidP="00A251FA">
      <w:pPr>
        <w:spacing w:after="0"/>
        <w:jc w:val="both"/>
        <w:rPr>
          <w:rFonts w:ascii="Mulish" w:eastAsia="Mulish" w:hAnsi="Mulish" w:cs="Mulish"/>
          <w:b/>
          <w:bCs/>
          <w:color w:val="00806F" w:themeColor="text2"/>
          <w:lang w:eastAsia="es-ES" w:bidi="es-ES"/>
        </w:rPr>
      </w:pPr>
      <w:r w:rsidRPr="005E34BF">
        <w:rPr>
          <w:rFonts w:ascii="Mulish" w:eastAsia="Mulish" w:hAnsi="Mulish" w:cs="Mulish"/>
          <w:b/>
          <w:bCs/>
          <w:color w:val="00806F" w:themeColor="text2"/>
          <w:lang w:eastAsia="es-ES" w:bidi="es-ES"/>
        </w:rPr>
        <w:t>¿Qué entidades privadas tienen obligaciones de publicidad activa según la Ley de transparencia?</w:t>
      </w:r>
    </w:p>
    <w:p w14:paraId="69504FA7" w14:textId="77777777" w:rsidR="00A251FA" w:rsidRPr="00A251FA" w:rsidRDefault="00A251FA" w:rsidP="00A251FA">
      <w:pPr>
        <w:spacing w:after="0"/>
        <w:jc w:val="both"/>
        <w:rPr>
          <w:rFonts w:ascii="Mulish" w:eastAsia="Mulish" w:hAnsi="Mulish" w:cs="Mulish"/>
          <w:color w:val="0C0C0C" w:themeColor="text1"/>
          <w:lang w:eastAsia="es-ES" w:bidi="es-ES"/>
        </w:rPr>
      </w:pPr>
    </w:p>
    <w:p w14:paraId="490C9ADA" w14:textId="61E318F2" w:rsidR="00A251FA" w:rsidRDefault="00A251FA" w:rsidP="00A251FA">
      <w:pPr>
        <w:spacing w:after="0"/>
        <w:jc w:val="both"/>
        <w:rPr>
          <w:rFonts w:ascii="Mulish" w:eastAsia="Mulish" w:hAnsi="Mulish" w:cs="Mulish"/>
          <w:color w:val="0C0C0C" w:themeColor="text1"/>
          <w:lang w:eastAsia="es-ES" w:bidi="es-ES"/>
        </w:rPr>
      </w:pPr>
      <w:r w:rsidRPr="00A251FA">
        <w:rPr>
          <w:rFonts w:ascii="Mulish" w:eastAsia="Mulish" w:hAnsi="Mulish" w:cs="Mulish"/>
          <w:color w:val="0C0C0C" w:themeColor="text1"/>
          <w:lang w:eastAsia="es-ES" w:bidi="es-ES"/>
        </w:rPr>
        <w:t xml:space="preserve">La Ley de transparencia establece obligaciones de publicidad activa para los órganos y organismos del sector público, pero también para las entidades privadas que reciben un </w:t>
      </w:r>
      <w:r w:rsidRPr="00A251FA">
        <w:rPr>
          <w:rFonts w:ascii="Mulish" w:eastAsia="Mulish" w:hAnsi="Mulish" w:cs="Mulish"/>
          <w:color w:val="0C0C0C" w:themeColor="text1"/>
          <w:lang w:eastAsia="es-ES" w:bidi="es-ES"/>
        </w:rPr>
        <w:lastRenderedPageBreak/>
        <w:t>determinado volumen de ayudas o subvenciones públicas. En concreto, el artículo 3 de la LTAIBG establece que tienen obligaciones de publicidad activa “las entidades privadas que perciban durante el período de un año ayudas o subvenciones públicas en una cuantía superior a 100.000 euros o cuando al menos el 40 % del total de sus ingresos anuales tengan carácter de ayuda o subvención pública, siempre que alcancen como mínimo la cantidad de 5.000 euros”.</w:t>
      </w:r>
    </w:p>
    <w:p w14:paraId="6040E08B" w14:textId="33F30C2A" w:rsidR="005B7B5A" w:rsidRDefault="005B7B5A" w:rsidP="00A251FA">
      <w:pPr>
        <w:spacing w:after="0"/>
        <w:jc w:val="both"/>
        <w:rPr>
          <w:rFonts w:ascii="Mulish" w:eastAsia="Mulish" w:hAnsi="Mulish" w:cs="Mulish"/>
          <w:color w:val="0C0C0C" w:themeColor="text1"/>
          <w:lang w:eastAsia="es-ES" w:bidi="es-ES"/>
        </w:rPr>
      </w:pPr>
    </w:p>
    <w:p w14:paraId="73704D91" w14:textId="77777777" w:rsidR="005B7B5A" w:rsidRPr="00597D3E" w:rsidRDefault="005B7B5A" w:rsidP="005B7B5A">
      <w:pPr>
        <w:spacing w:after="0"/>
        <w:jc w:val="both"/>
        <w:rPr>
          <w:rFonts w:ascii="Mulish" w:eastAsia="Mulish" w:hAnsi="Mulish" w:cs="Mulish"/>
          <w:b/>
          <w:bCs/>
          <w:color w:val="0C0C0C" w:themeColor="text1"/>
          <w:lang w:eastAsia="es-ES" w:bidi="es-ES"/>
        </w:rPr>
      </w:pPr>
      <w:r w:rsidRPr="005E34BF">
        <w:rPr>
          <w:rFonts w:ascii="Mulish" w:eastAsia="Mulish" w:hAnsi="Mulish" w:cs="Mulish"/>
          <w:b/>
          <w:bCs/>
          <w:color w:val="00806F" w:themeColor="text2"/>
          <w:lang w:eastAsia="es-ES" w:bidi="es-ES"/>
        </w:rPr>
        <w:t xml:space="preserve">¿Cómo realiza la evaluación el Consejo? </w:t>
      </w:r>
    </w:p>
    <w:p w14:paraId="365C9D67" w14:textId="77777777" w:rsidR="005B7B5A" w:rsidRPr="00A251FA" w:rsidRDefault="005B7B5A" w:rsidP="005B7B5A">
      <w:pPr>
        <w:spacing w:after="0"/>
        <w:jc w:val="both"/>
        <w:rPr>
          <w:rFonts w:ascii="Mulish" w:eastAsia="Mulish" w:hAnsi="Mulish" w:cs="Mulish"/>
          <w:color w:val="0C0C0C" w:themeColor="text1"/>
          <w:lang w:eastAsia="es-ES" w:bidi="es-ES"/>
        </w:rPr>
      </w:pPr>
    </w:p>
    <w:p w14:paraId="1A0F3749" w14:textId="79590BDE" w:rsidR="005B7B5A" w:rsidRPr="00A251FA" w:rsidRDefault="005B7B5A" w:rsidP="005B7B5A">
      <w:pPr>
        <w:spacing w:after="0"/>
        <w:jc w:val="both"/>
        <w:rPr>
          <w:rFonts w:ascii="Mulish" w:eastAsia="Mulish" w:hAnsi="Mulish" w:cs="Mulish"/>
          <w:color w:val="0C0C0C" w:themeColor="text1"/>
          <w:lang w:eastAsia="es-ES" w:bidi="es-ES"/>
        </w:rPr>
      </w:pPr>
      <w:r w:rsidRPr="00A251FA">
        <w:rPr>
          <w:rFonts w:ascii="Mulish" w:eastAsia="Mulish" w:hAnsi="Mulish" w:cs="Mulish"/>
          <w:color w:val="0C0C0C" w:themeColor="text1"/>
          <w:lang w:eastAsia="es-ES" w:bidi="es-ES"/>
        </w:rPr>
        <w:t xml:space="preserve">La evaluación se realiza con recursos propios y utilizando la metodología MESTA, desarrollada por el Consejo y por la extinta Agencia de Evaluación de las Políticas Públicas </w:t>
      </w:r>
      <w:r w:rsidRPr="00C27BA6">
        <w:rPr>
          <w:rFonts w:ascii="Mulish" w:eastAsia="Mulish" w:hAnsi="Mulish" w:cs="Mulish"/>
          <w:color w:val="0C0C0C" w:themeColor="text1"/>
          <w:lang w:eastAsia="es-ES" w:bidi="es-ES"/>
        </w:rPr>
        <w:t xml:space="preserve">y de la Calidad de los Servicios </w:t>
      </w:r>
      <w:r w:rsidRPr="00A251FA">
        <w:rPr>
          <w:rFonts w:ascii="Mulish" w:eastAsia="Mulish" w:hAnsi="Mulish" w:cs="Mulish"/>
          <w:color w:val="0C0C0C" w:themeColor="text1"/>
          <w:lang w:eastAsia="es-ES" w:bidi="es-ES"/>
        </w:rPr>
        <w:t xml:space="preserve">(AEVAL). El Consejo emite un informe individual para cada una de las entidades evaluadas, en el que recoge recomendaciones concretas que permitan a las entidades mejorar su índice de cumplimiento. Además, elabora un informe agregado con los principales datos y conclusiones extraídos. Todos estos informes, así como los informes de contestación a las observaciones efectuadas por las entidades que han formulado alegaciones a los informes provisionales de evaluación, pueden consultarse en la </w:t>
      </w:r>
      <w:hyperlink r:id="rId8" w:history="1">
        <w:r w:rsidRPr="006E1DB7">
          <w:rPr>
            <w:rStyle w:val="Hipervnculo"/>
            <w:rFonts w:ascii="Mulish" w:eastAsia="Mulish" w:hAnsi="Mulish" w:cs="Mulish"/>
            <w:lang w:eastAsia="es-ES" w:bidi="es-ES"/>
          </w:rPr>
          <w:t>página web del Consejo</w:t>
        </w:r>
      </w:hyperlink>
      <w:r w:rsidRPr="006E1DB7">
        <w:rPr>
          <w:rFonts w:ascii="Mulish" w:eastAsia="Mulish" w:hAnsi="Mulish" w:cs="Mulish"/>
          <w:color w:val="0C0C0C" w:themeColor="text1"/>
          <w:lang w:eastAsia="es-ES" w:bidi="es-ES"/>
        </w:rPr>
        <w:t>.</w:t>
      </w:r>
      <w:r w:rsidRPr="00A251FA">
        <w:rPr>
          <w:rFonts w:ascii="Mulish" w:eastAsia="Mulish" w:hAnsi="Mulish" w:cs="Mulish"/>
          <w:color w:val="0C0C0C" w:themeColor="text1"/>
          <w:lang w:eastAsia="es-ES" w:bidi="es-ES"/>
        </w:rPr>
        <w:t xml:space="preserve"> </w:t>
      </w:r>
    </w:p>
    <w:p w14:paraId="54C8AE34" w14:textId="77777777" w:rsidR="005B7B5A" w:rsidRPr="00A251FA" w:rsidRDefault="005B7B5A" w:rsidP="005B7B5A">
      <w:pPr>
        <w:spacing w:after="0"/>
        <w:jc w:val="both"/>
        <w:rPr>
          <w:rFonts w:ascii="Mulish" w:eastAsia="Mulish" w:hAnsi="Mulish" w:cs="Mulish"/>
          <w:color w:val="0C0C0C" w:themeColor="text1"/>
          <w:lang w:eastAsia="es-ES" w:bidi="es-ES"/>
        </w:rPr>
      </w:pPr>
    </w:p>
    <w:p w14:paraId="31CFF40E" w14:textId="77777777" w:rsidR="005B7B5A" w:rsidRPr="00A251FA" w:rsidRDefault="005B7B5A" w:rsidP="005B7B5A">
      <w:pPr>
        <w:spacing w:after="0"/>
        <w:jc w:val="both"/>
        <w:rPr>
          <w:rFonts w:ascii="Mulish" w:eastAsia="Mulish" w:hAnsi="Mulish" w:cs="Mulish"/>
          <w:color w:val="0C0C0C" w:themeColor="text1"/>
          <w:lang w:eastAsia="es-ES" w:bidi="es-ES"/>
        </w:rPr>
      </w:pPr>
      <w:r w:rsidRPr="00A251FA">
        <w:rPr>
          <w:rFonts w:ascii="Mulish" w:eastAsia="Mulish" w:hAnsi="Mulish" w:cs="Mulish"/>
          <w:color w:val="0C0C0C" w:themeColor="text1"/>
          <w:lang w:eastAsia="es-ES" w:bidi="es-ES"/>
        </w:rPr>
        <w:t xml:space="preserve">El Consejo </w:t>
      </w:r>
      <w:r>
        <w:rPr>
          <w:rFonts w:ascii="Mulish" w:eastAsia="Mulish" w:hAnsi="Mulish" w:cs="Mulish"/>
          <w:color w:val="0C0C0C" w:themeColor="text1"/>
          <w:lang w:eastAsia="es-ES" w:bidi="es-ES"/>
        </w:rPr>
        <w:t>lleva evaluando</w:t>
      </w:r>
      <w:r w:rsidRPr="00A251FA">
        <w:rPr>
          <w:rFonts w:ascii="Mulish" w:eastAsia="Mulish" w:hAnsi="Mulish" w:cs="Mulish"/>
          <w:color w:val="0C0C0C" w:themeColor="text1"/>
          <w:lang w:eastAsia="es-ES" w:bidi="es-ES"/>
        </w:rPr>
        <w:t xml:space="preserve"> las obligaciones de transparencia de este grupo de sujetos obligados </w:t>
      </w:r>
      <w:r>
        <w:rPr>
          <w:rFonts w:ascii="Mulish" w:eastAsia="Mulish" w:hAnsi="Mulish" w:cs="Mulish"/>
          <w:color w:val="0C0C0C" w:themeColor="text1"/>
          <w:lang w:eastAsia="es-ES" w:bidi="es-ES"/>
        </w:rPr>
        <w:t xml:space="preserve">por la Ley de transparencia </w:t>
      </w:r>
      <w:r w:rsidRPr="00A251FA">
        <w:rPr>
          <w:rFonts w:ascii="Mulish" w:eastAsia="Mulish" w:hAnsi="Mulish" w:cs="Mulish"/>
          <w:color w:val="0C0C0C" w:themeColor="text1"/>
          <w:lang w:eastAsia="es-ES" w:bidi="es-ES"/>
        </w:rPr>
        <w:t>desde</w:t>
      </w:r>
      <w:r>
        <w:rPr>
          <w:rFonts w:ascii="Mulish" w:eastAsia="Mulish" w:hAnsi="Mulish" w:cs="Mulish"/>
          <w:color w:val="0C0C0C" w:themeColor="text1"/>
          <w:lang w:eastAsia="es-ES" w:bidi="es-ES"/>
        </w:rPr>
        <w:t xml:space="preserve"> 2020. </w:t>
      </w:r>
      <w:r w:rsidRPr="00A251FA">
        <w:rPr>
          <w:rFonts w:ascii="Mulish" w:eastAsia="Mulish" w:hAnsi="Mulish" w:cs="Mulish"/>
          <w:color w:val="0C0C0C" w:themeColor="text1"/>
          <w:lang w:eastAsia="es-ES" w:bidi="es-ES"/>
        </w:rPr>
        <w:t>Hasta la fecha</w:t>
      </w:r>
      <w:r>
        <w:rPr>
          <w:rFonts w:ascii="Mulish" w:eastAsia="Mulish" w:hAnsi="Mulish" w:cs="Mulish"/>
          <w:color w:val="0C0C0C" w:themeColor="text1"/>
          <w:lang w:eastAsia="es-ES" w:bidi="es-ES"/>
        </w:rPr>
        <w:t>,</w:t>
      </w:r>
      <w:r w:rsidRPr="00A251FA">
        <w:rPr>
          <w:rFonts w:ascii="Mulish" w:eastAsia="Mulish" w:hAnsi="Mulish" w:cs="Mulish"/>
          <w:color w:val="0C0C0C" w:themeColor="text1"/>
          <w:lang w:eastAsia="es-ES" w:bidi="es-ES"/>
        </w:rPr>
        <w:t xml:space="preserve"> ha </w:t>
      </w:r>
      <w:r>
        <w:rPr>
          <w:rFonts w:ascii="Mulish" w:eastAsia="Mulish" w:hAnsi="Mulish" w:cs="Mulish"/>
          <w:color w:val="0C0C0C" w:themeColor="text1"/>
          <w:lang w:eastAsia="es-ES" w:bidi="es-ES"/>
        </w:rPr>
        <w:t>evaluado</w:t>
      </w:r>
      <w:r w:rsidRPr="00A251FA">
        <w:rPr>
          <w:rFonts w:ascii="Mulish" w:eastAsia="Mulish" w:hAnsi="Mulish" w:cs="Mulish"/>
          <w:color w:val="0C0C0C" w:themeColor="text1"/>
          <w:lang w:eastAsia="es-ES" w:bidi="es-ES"/>
        </w:rPr>
        <w:t xml:space="preserve"> </w:t>
      </w:r>
      <w:r>
        <w:rPr>
          <w:rFonts w:ascii="Mulish" w:eastAsia="Mulish" w:hAnsi="Mulish" w:cs="Mulish"/>
          <w:color w:val="0C0C0C" w:themeColor="text1"/>
          <w:lang w:eastAsia="es-ES" w:bidi="es-ES"/>
        </w:rPr>
        <w:t>210</w:t>
      </w:r>
      <w:r w:rsidRPr="00A251FA">
        <w:rPr>
          <w:rFonts w:ascii="Mulish" w:eastAsia="Mulish" w:hAnsi="Mulish" w:cs="Mulish"/>
          <w:color w:val="0C0C0C" w:themeColor="text1"/>
          <w:lang w:eastAsia="es-ES" w:bidi="es-ES"/>
        </w:rPr>
        <w:t xml:space="preserve"> entidades privadas (</w:t>
      </w:r>
      <w:r>
        <w:rPr>
          <w:rFonts w:ascii="Mulish" w:eastAsia="Mulish" w:hAnsi="Mulish" w:cs="Mulish"/>
          <w:color w:val="0C0C0C" w:themeColor="text1"/>
          <w:lang w:eastAsia="es-ES" w:bidi="es-ES"/>
        </w:rPr>
        <w:t>162</w:t>
      </w:r>
      <w:r w:rsidRPr="00A251FA">
        <w:rPr>
          <w:rFonts w:ascii="Mulish" w:eastAsia="Mulish" w:hAnsi="Mulish" w:cs="Mulish"/>
          <w:color w:val="0C0C0C" w:themeColor="text1"/>
          <w:lang w:eastAsia="es-ES" w:bidi="es-ES"/>
        </w:rPr>
        <w:t xml:space="preserve"> de ellas</w:t>
      </w:r>
      <w:r>
        <w:rPr>
          <w:rFonts w:ascii="Mulish" w:eastAsia="Mulish" w:hAnsi="Mulish" w:cs="Mulish"/>
          <w:color w:val="0C0C0C" w:themeColor="text1"/>
          <w:lang w:eastAsia="es-ES" w:bidi="es-ES"/>
        </w:rPr>
        <w:t xml:space="preserve">, </w:t>
      </w:r>
      <w:r w:rsidRPr="00A251FA">
        <w:rPr>
          <w:rFonts w:ascii="Mulish" w:eastAsia="Mulish" w:hAnsi="Mulish" w:cs="Mulish"/>
          <w:color w:val="0C0C0C" w:themeColor="text1"/>
          <w:lang w:eastAsia="es-ES" w:bidi="es-ES"/>
        </w:rPr>
        <w:t xml:space="preserve">en dos ocasiones).  </w:t>
      </w:r>
    </w:p>
    <w:p w14:paraId="0E266EAB" w14:textId="11D29DE5" w:rsidR="005B7B5A" w:rsidRPr="005B7B5A" w:rsidRDefault="005B7B5A" w:rsidP="00A251FA">
      <w:pPr>
        <w:spacing w:after="0"/>
        <w:jc w:val="both"/>
        <w:rPr>
          <w:rFonts w:ascii="Mulish" w:eastAsia="Mulish" w:hAnsi="Mulish" w:cs="Mulish"/>
          <w:b/>
          <w:bCs/>
          <w:color w:val="00806F" w:themeColor="text2"/>
          <w:lang w:eastAsia="es-ES" w:bidi="es-ES"/>
        </w:rPr>
      </w:pPr>
    </w:p>
    <w:p w14:paraId="5DD1254E" w14:textId="49F4279F" w:rsidR="00A251FA" w:rsidRDefault="005B7B5A" w:rsidP="0093132C">
      <w:pPr>
        <w:spacing w:after="0"/>
        <w:jc w:val="both"/>
        <w:rPr>
          <w:rFonts w:ascii="Mulish" w:eastAsia="Mulish" w:hAnsi="Mulish" w:cs="Mulish"/>
          <w:b/>
          <w:bCs/>
          <w:color w:val="00806F" w:themeColor="text2"/>
          <w:lang w:eastAsia="es-ES" w:bidi="es-ES"/>
        </w:rPr>
      </w:pPr>
      <w:r w:rsidRPr="005B7B5A">
        <w:rPr>
          <w:rFonts w:ascii="Mulish" w:eastAsia="Mulish" w:hAnsi="Mulish" w:cs="Mulish"/>
          <w:b/>
          <w:bCs/>
          <w:color w:val="00806F" w:themeColor="text2"/>
          <w:lang w:eastAsia="es-ES" w:bidi="es-ES"/>
        </w:rPr>
        <w:t>Índices de Cumplimiento de la Información Obligatoria en 2024, evolución y (en su caso) grado de aplicación de las recomendaciones derivadas de la evaluación 2023</w:t>
      </w:r>
    </w:p>
    <w:p w14:paraId="36A0C8F1" w14:textId="77777777" w:rsidR="005B7B5A" w:rsidRPr="005B7B5A" w:rsidRDefault="005B7B5A" w:rsidP="0093132C">
      <w:pPr>
        <w:spacing w:after="0"/>
        <w:jc w:val="both"/>
        <w:rPr>
          <w:rFonts w:ascii="Mulish" w:eastAsia="Mulish" w:hAnsi="Mulish" w:cs="Mulish"/>
          <w:b/>
          <w:bCs/>
          <w:color w:val="00806F" w:themeColor="text2"/>
          <w:lang w:eastAsia="es-ES" w:bidi="es-ES"/>
        </w:rPr>
      </w:pPr>
    </w:p>
    <w:p w14:paraId="7E2A4A45" w14:textId="4696B0DB" w:rsidR="00AA0900" w:rsidRDefault="00AA0900" w:rsidP="00AA0900">
      <w:pPr>
        <w:spacing w:after="0"/>
        <w:jc w:val="both"/>
        <w:rPr>
          <w:rFonts w:ascii="Mulish" w:eastAsia="Mulish" w:hAnsi="Mulish" w:cs="Mulish"/>
          <w:color w:val="0C0C0C" w:themeColor="text1"/>
          <w:lang w:eastAsia="es-ES" w:bidi="es-ES"/>
        </w:rPr>
      </w:pPr>
      <w:r w:rsidRPr="00AA0900">
        <w:rPr>
          <w:rFonts w:ascii="Mulish" w:eastAsia="Mulish" w:hAnsi="Mulish" w:cs="Mulish"/>
          <w:color w:val="0C0C0C" w:themeColor="text1"/>
          <w:lang w:eastAsia="es-ES" w:bidi="es-ES"/>
        </w:rPr>
        <w:t>A continuación</w:t>
      </w:r>
      <w:r w:rsidR="003E58C6">
        <w:rPr>
          <w:rFonts w:ascii="Mulish" w:eastAsia="Mulish" w:hAnsi="Mulish" w:cs="Mulish"/>
          <w:color w:val="0C0C0C" w:themeColor="text1"/>
          <w:lang w:eastAsia="es-ES" w:bidi="es-ES"/>
        </w:rPr>
        <w:t>,</w:t>
      </w:r>
      <w:r w:rsidRPr="00AA0900">
        <w:rPr>
          <w:rFonts w:ascii="Mulish" w:eastAsia="Mulish" w:hAnsi="Mulish" w:cs="Mulish"/>
          <w:color w:val="0C0C0C" w:themeColor="text1"/>
          <w:lang w:eastAsia="es-ES" w:bidi="es-ES"/>
        </w:rPr>
        <w:t xml:space="preserve"> </w:t>
      </w:r>
      <w:r w:rsidR="005B7B5A">
        <w:rPr>
          <w:rFonts w:ascii="Mulish" w:eastAsia="Mulish" w:hAnsi="Mulish" w:cs="Mulish"/>
          <w:color w:val="0C0C0C" w:themeColor="text1"/>
          <w:lang w:eastAsia="es-ES" w:bidi="es-ES"/>
        </w:rPr>
        <w:t>figura</w:t>
      </w:r>
      <w:r w:rsidRPr="00AA0900">
        <w:rPr>
          <w:rFonts w:ascii="Mulish" w:eastAsia="Mulish" w:hAnsi="Mulish" w:cs="Mulish"/>
          <w:color w:val="0C0C0C" w:themeColor="text1"/>
          <w:lang w:eastAsia="es-ES" w:bidi="es-ES"/>
        </w:rPr>
        <w:t xml:space="preserve"> una tabla con los datos de cada una de las entidades evaluadas, ordenadas por grado de cumplimiento. El informe agregado de la evaluación de</w:t>
      </w:r>
      <w:r w:rsidR="007526F7">
        <w:rPr>
          <w:rFonts w:ascii="Mulish" w:eastAsia="Mulish" w:hAnsi="Mulish" w:cs="Mulish"/>
          <w:color w:val="0C0C0C" w:themeColor="text1"/>
          <w:lang w:eastAsia="es-ES" w:bidi="es-ES"/>
        </w:rPr>
        <w:t xml:space="preserve"> las entidades privadas perceptoras de subvenciones y ayudas públicas </w:t>
      </w:r>
      <w:r w:rsidRPr="00AA0900">
        <w:rPr>
          <w:rFonts w:ascii="Mulish" w:eastAsia="Mulish" w:hAnsi="Mulish" w:cs="Mulish"/>
          <w:color w:val="0C0C0C" w:themeColor="text1"/>
          <w:lang w:eastAsia="es-ES" w:bidi="es-ES"/>
        </w:rPr>
        <w:t xml:space="preserve">y los </w:t>
      </w:r>
      <w:r w:rsidR="007526F7">
        <w:rPr>
          <w:rFonts w:ascii="Mulish" w:eastAsia="Mulish" w:hAnsi="Mulish" w:cs="Mulish"/>
          <w:color w:val="0C0C0C" w:themeColor="text1"/>
          <w:lang w:eastAsia="es-ES" w:bidi="es-ES"/>
        </w:rPr>
        <w:t xml:space="preserve">79 </w:t>
      </w:r>
      <w:r w:rsidRPr="00AA0900">
        <w:rPr>
          <w:rFonts w:ascii="Mulish" w:eastAsia="Mulish" w:hAnsi="Mulish" w:cs="Mulish"/>
          <w:color w:val="0C0C0C" w:themeColor="text1"/>
          <w:lang w:eastAsia="es-ES" w:bidi="es-ES"/>
        </w:rPr>
        <w:t xml:space="preserve">informes individuales de cada una de las entidades evaluadas, junto con </w:t>
      </w:r>
      <w:r w:rsidR="00FC7309">
        <w:rPr>
          <w:rFonts w:ascii="Mulish" w:eastAsia="Mulish" w:hAnsi="Mulish" w:cs="Mulish"/>
          <w:color w:val="0C0C0C" w:themeColor="text1"/>
          <w:lang w:eastAsia="es-ES" w:bidi="es-ES"/>
        </w:rPr>
        <w:t xml:space="preserve">informes de </w:t>
      </w:r>
      <w:r w:rsidRPr="00AA0900">
        <w:rPr>
          <w:rFonts w:ascii="Mulish" w:eastAsia="Mulish" w:hAnsi="Mulish" w:cs="Mulish"/>
          <w:color w:val="0C0C0C" w:themeColor="text1"/>
          <w:lang w:eastAsia="es-ES" w:bidi="es-ES"/>
        </w:rPr>
        <w:t xml:space="preserve">contestación del CTBG </w:t>
      </w:r>
      <w:r w:rsidR="00FC7309">
        <w:rPr>
          <w:rFonts w:ascii="Mulish" w:eastAsia="Mulish" w:hAnsi="Mulish" w:cs="Mulish"/>
          <w:color w:val="0C0C0C" w:themeColor="text1"/>
          <w:lang w:eastAsia="es-ES" w:bidi="es-ES"/>
        </w:rPr>
        <w:t xml:space="preserve">a </w:t>
      </w:r>
      <w:r w:rsidR="007526F7">
        <w:rPr>
          <w:rFonts w:ascii="Mulish" w:eastAsia="Mulish" w:hAnsi="Mulish" w:cs="Mulish"/>
          <w:color w:val="0C0C0C" w:themeColor="text1"/>
          <w:lang w:eastAsia="es-ES" w:bidi="es-ES"/>
        </w:rPr>
        <w:t xml:space="preserve">las observaciones formuladas por las entidades, </w:t>
      </w:r>
      <w:r w:rsidRPr="00AA0900">
        <w:rPr>
          <w:rFonts w:ascii="Mulish" w:eastAsia="Mulish" w:hAnsi="Mulish" w:cs="Mulish"/>
          <w:color w:val="0C0C0C" w:themeColor="text1"/>
          <w:lang w:eastAsia="es-ES" w:bidi="es-ES"/>
        </w:rPr>
        <w:t>están publicados en la web</w:t>
      </w:r>
      <w:r w:rsidR="0077727F">
        <w:rPr>
          <w:rFonts w:ascii="Mulish" w:eastAsia="Mulish" w:hAnsi="Mulish" w:cs="Mulish"/>
          <w:color w:val="0C0C0C" w:themeColor="text1"/>
          <w:lang w:eastAsia="es-ES" w:bidi="es-ES"/>
        </w:rPr>
        <w:t xml:space="preserve"> en e</w:t>
      </w:r>
      <w:r w:rsidR="005B7B5A">
        <w:rPr>
          <w:rFonts w:ascii="Mulish" w:eastAsia="Mulish" w:hAnsi="Mulish" w:cs="Mulish"/>
          <w:color w:val="0C0C0C" w:themeColor="text1"/>
          <w:lang w:eastAsia="es-ES" w:bidi="es-ES"/>
        </w:rPr>
        <w:t>ste</w:t>
      </w:r>
      <w:r w:rsidR="006E1DB7">
        <w:rPr>
          <w:rFonts w:ascii="Mulish" w:eastAsia="Mulish" w:hAnsi="Mulish" w:cs="Mulish"/>
          <w:color w:val="0C0C0C" w:themeColor="text1"/>
          <w:lang w:eastAsia="es-ES" w:bidi="es-ES"/>
        </w:rPr>
        <w:t xml:space="preserve"> </w:t>
      </w:r>
      <w:hyperlink r:id="rId9" w:history="1">
        <w:r w:rsidR="006E1DB7" w:rsidRPr="006E1DB7">
          <w:rPr>
            <w:rStyle w:val="Hipervnculo"/>
            <w:rFonts w:ascii="Mulish" w:eastAsia="Mulish" w:hAnsi="Mulish" w:cs="Mulish"/>
            <w:lang w:eastAsia="es-ES" w:bidi="es-ES"/>
          </w:rPr>
          <w:t>enlace</w:t>
        </w:r>
      </w:hyperlink>
      <w:r w:rsidR="006E1DB7">
        <w:rPr>
          <w:rFonts w:ascii="Mulish" w:eastAsia="Mulish" w:hAnsi="Mulish" w:cs="Mulish"/>
          <w:color w:val="0C0C0C" w:themeColor="text1"/>
          <w:lang w:eastAsia="es-ES" w:bidi="es-ES"/>
        </w:rPr>
        <w:t>.</w:t>
      </w:r>
    </w:p>
    <w:p w14:paraId="68F86F31" w14:textId="77777777" w:rsidR="00D70DAE" w:rsidRDefault="00D70DAE" w:rsidP="00AA0900">
      <w:pPr>
        <w:spacing w:after="0"/>
        <w:jc w:val="both"/>
        <w:rPr>
          <w:rFonts w:ascii="Mulish" w:eastAsia="Mulish" w:hAnsi="Mulish" w:cs="Mulish"/>
          <w:color w:val="0C0C0C" w:themeColor="text1"/>
          <w:lang w:eastAsia="es-ES" w:bidi="es-ES"/>
        </w:rPr>
      </w:pPr>
    </w:p>
    <w:tbl>
      <w:tblPr>
        <w:tblStyle w:val="Tablaconcuadrcula4-nfasis2"/>
        <w:tblW w:w="10490" w:type="dxa"/>
        <w:tblInd w:w="-714" w:type="dxa"/>
        <w:tblLayout w:type="fixed"/>
        <w:tblLook w:val="04A0" w:firstRow="1" w:lastRow="0" w:firstColumn="1" w:lastColumn="0" w:noHBand="0" w:noVBand="1"/>
      </w:tblPr>
      <w:tblGrid>
        <w:gridCol w:w="2552"/>
        <w:gridCol w:w="1276"/>
        <w:gridCol w:w="1701"/>
        <w:gridCol w:w="1701"/>
        <w:gridCol w:w="1559"/>
        <w:gridCol w:w="1701"/>
      </w:tblGrid>
      <w:tr w:rsidR="005E34BF" w:rsidRPr="00561A62" w14:paraId="43AE791F" w14:textId="77777777" w:rsidTr="001C28B1">
        <w:trPr>
          <w:cnfStyle w:val="100000000000" w:firstRow="1" w:lastRow="0" w:firstColumn="0" w:lastColumn="0" w:oddVBand="0" w:evenVBand="0" w:oddHBand="0" w:evenHBand="0" w:firstRowFirstColumn="0" w:firstRowLastColumn="0" w:lastRowFirstColumn="0" w:lastRowLastColumn="0"/>
          <w:trHeight w:val="1290"/>
          <w:tblHeader/>
        </w:trPr>
        <w:tc>
          <w:tcPr>
            <w:cnfStyle w:val="001000000000" w:firstRow="0" w:lastRow="0" w:firstColumn="1" w:lastColumn="0" w:oddVBand="0" w:evenVBand="0" w:oddHBand="0" w:evenHBand="0" w:firstRowFirstColumn="0" w:firstRowLastColumn="0" w:lastRowFirstColumn="0" w:lastRowLastColumn="0"/>
            <w:tcW w:w="2552" w:type="dxa"/>
            <w:shd w:val="clear" w:color="auto" w:fill="00806F" w:themeFill="text2"/>
            <w:noWrap/>
            <w:hideMark/>
          </w:tcPr>
          <w:p w14:paraId="4C992362" w14:textId="77777777" w:rsidR="005E34BF" w:rsidRPr="009F51A6" w:rsidRDefault="005E34BF" w:rsidP="00D14AAB">
            <w:pPr>
              <w:jc w:val="center"/>
              <w:rPr>
                <w:rFonts w:eastAsia="Times New Roman" w:cs="Calibri"/>
                <w:color w:val="FFFFFF"/>
                <w:sz w:val="16"/>
                <w:szCs w:val="16"/>
              </w:rPr>
            </w:pPr>
            <w:r w:rsidRPr="009F51A6">
              <w:rPr>
                <w:rFonts w:eastAsia="Times New Roman" w:cs="Calibri"/>
                <w:color w:val="FFFFFF"/>
                <w:sz w:val="16"/>
                <w:szCs w:val="16"/>
              </w:rPr>
              <w:t>Entidad</w:t>
            </w:r>
          </w:p>
        </w:tc>
        <w:tc>
          <w:tcPr>
            <w:tcW w:w="1276" w:type="dxa"/>
            <w:shd w:val="clear" w:color="auto" w:fill="00806F" w:themeFill="text2"/>
            <w:noWrap/>
            <w:hideMark/>
          </w:tcPr>
          <w:p w14:paraId="29EF4E74" w14:textId="77777777" w:rsidR="005E34BF" w:rsidRPr="009F51A6" w:rsidRDefault="005E34BF" w:rsidP="00D14AA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6"/>
                <w:szCs w:val="16"/>
              </w:rPr>
            </w:pPr>
            <w:r w:rsidRPr="009F51A6">
              <w:rPr>
                <w:rFonts w:eastAsia="Times New Roman" w:cs="Calibri"/>
                <w:color w:val="FFFFFF"/>
                <w:sz w:val="16"/>
                <w:szCs w:val="16"/>
              </w:rPr>
              <w:t>Cumplimiento</w:t>
            </w:r>
          </w:p>
        </w:tc>
        <w:tc>
          <w:tcPr>
            <w:tcW w:w="1701" w:type="dxa"/>
            <w:shd w:val="clear" w:color="auto" w:fill="00806F" w:themeFill="text2"/>
            <w:hideMark/>
          </w:tcPr>
          <w:p w14:paraId="5CA1888A" w14:textId="27312F3D" w:rsidR="005E34BF" w:rsidRPr="009F51A6" w:rsidRDefault="005E34BF" w:rsidP="00D14AA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6"/>
                <w:szCs w:val="16"/>
              </w:rPr>
            </w:pPr>
            <w:r w:rsidRPr="009F51A6">
              <w:rPr>
                <w:rFonts w:eastAsia="Times New Roman" w:cs="Calibri"/>
                <w:color w:val="FFFFFF"/>
                <w:sz w:val="16"/>
                <w:szCs w:val="16"/>
              </w:rPr>
              <w:t>Diferencia respecto de 202</w:t>
            </w:r>
            <w:r w:rsidR="001C28B1">
              <w:rPr>
                <w:rFonts w:eastAsia="Times New Roman" w:cs="Calibri"/>
                <w:color w:val="FFFFFF"/>
                <w:sz w:val="16"/>
                <w:szCs w:val="16"/>
              </w:rPr>
              <w:t>3</w:t>
            </w:r>
            <w:r w:rsidRPr="009F51A6">
              <w:rPr>
                <w:rFonts w:eastAsia="Times New Roman" w:cs="Calibri"/>
                <w:color w:val="FFFFFF"/>
                <w:sz w:val="16"/>
                <w:szCs w:val="16"/>
              </w:rPr>
              <w:t xml:space="preserve"> (puntos porcentuales)</w:t>
            </w:r>
          </w:p>
        </w:tc>
        <w:tc>
          <w:tcPr>
            <w:tcW w:w="1701" w:type="dxa"/>
            <w:shd w:val="clear" w:color="auto" w:fill="00806F" w:themeFill="text2"/>
            <w:hideMark/>
          </w:tcPr>
          <w:p w14:paraId="3BFFEC27" w14:textId="77777777" w:rsidR="005E34BF" w:rsidRPr="009F51A6" w:rsidRDefault="005E34BF" w:rsidP="00D14AA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6"/>
                <w:szCs w:val="16"/>
              </w:rPr>
            </w:pPr>
            <w:r w:rsidRPr="009F51A6">
              <w:rPr>
                <w:rFonts w:eastAsia="Times New Roman" w:cs="Calibri"/>
                <w:color w:val="FFFFFF"/>
                <w:sz w:val="16"/>
                <w:szCs w:val="16"/>
              </w:rPr>
              <w:t>Recomendaciones efectuadas</w:t>
            </w:r>
          </w:p>
        </w:tc>
        <w:tc>
          <w:tcPr>
            <w:tcW w:w="1559" w:type="dxa"/>
            <w:shd w:val="clear" w:color="auto" w:fill="00806F" w:themeFill="text2"/>
            <w:hideMark/>
          </w:tcPr>
          <w:p w14:paraId="64135BB9" w14:textId="77777777" w:rsidR="005E34BF" w:rsidRPr="009F51A6" w:rsidRDefault="005E34BF" w:rsidP="00D14AA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6"/>
                <w:szCs w:val="16"/>
              </w:rPr>
            </w:pPr>
            <w:r w:rsidRPr="009F51A6">
              <w:rPr>
                <w:rFonts w:eastAsia="Times New Roman" w:cs="Calibri"/>
                <w:color w:val="FFFFFF"/>
                <w:sz w:val="16"/>
                <w:szCs w:val="16"/>
              </w:rPr>
              <w:t>Recomendaciones aplicadas</w:t>
            </w:r>
          </w:p>
        </w:tc>
        <w:tc>
          <w:tcPr>
            <w:tcW w:w="1701" w:type="dxa"/>
            <w:shd w:val="clear" w:color="auto" w:fill="00806F" w:themeFill="text2"/>
            <w:hideMark/>
          </w:tcPr>
          <w:p w14:paraId="55B2B3F4" w14:textId="77777777" w:rsidR="005E34BF" w:rsidRPr="009F51A6" w:rsidRDefault="005E34BF" w:rsidP="00D14AA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16"/>
                <w:szCs w:val="16"/>
              </w:rPr>
            </w:pPr>
            <w:r w:rsidRPr="009F51A6">
              <w:rPr>
                <w:rFonts w:eastAsia="Times New Roman" w:cs="Calibri"/>
                <w:color w:val="FFFFFF"/>
                <w:sz w:val="16"/>
                <w:szCs w:val="16"/>
              </w:rPr>
              <w:t>Recomendaciones o mejoras implantadas durante el periodo de observaciones</w:t>
            </w:r>
          </w:p>
        </w:tc>
      </w:tr>
      <w:tr w:rsidR="005E34BF" w:rsidRPr="00561A62" w14:paraId="150357A8" w14:textId="77777777" w:rsidTr="00D14AA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769802B"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Fundación </w:t>
            </w:r>
            <w:proofErr w:type="spellStart"/>
            <w:r w:rsidRPr="00561A62">
              <w:rPr>
                <w:rFonts w:eastAsia="Times New Roman" w:cs="Calibri"/>
                <w:color w:val="000000"/>
                <w:sz w:val="16"/>
                <w:szCs w:val="16"/>
              </w:rPr>
              <w:t>Save</w:t>
            </w:r>
            <w:proofErr w:type="spellEnd"/>
            <w:r w:rsidRPr="00561A62">
              <w:rPr>
                <w:rFonts w:eastAsia="Times New Roman" w:cs="Calibri"/>
                <w:color w:val="000000"/>
                <w:sz w:val="16"/>
                <w:szCs w:val="16"/>
              </w:rPr>
              <w:t xml:space="preserve"> </w:t>
            </w:r>
            <w:proofErr w:type="spellStart"/>
            <w:r w:rsidRPr="00561A62">
              <w:rPr>
                <w:rFonts w:eastAsia="Times New Roman" w:cs="Calibri"/>
                <w:color w:val="000000"/>
                <w:sz w:val="16"/>
                <w:szCs w:val="16"/>
              </w:rPr>
              <w:t>the</w:t>
            </w:r>
            <w:proofErr w:type="spellEnd"/>
            <w:r w:rsidRPr="00561A62">
              <w:rPr>
                <w:rFonts w:eastAsia="Times New Roman" w:cs="Calibri"/>
                <w:color w:val="000000"/>
                <w:sz w:val="16"/>
                <w:szCs w:val="16"/>
              </w:rPr>
              <w:t xml:space="preserve"> </w:t>
            </w:r>
            <w:proofErr w:type="spellStart"/>
            <w:r w:rsidRPr="00561A62">
              <w:rPr>
                <w:rFonts w:eastAsia="Times New Roman" w:cs="Calibri"/>
                <w:color w:val="000000"/>
                <w:sz w:val="16"/>
                <w:szCs w:val="16"/>
              </w:rPr>
              <w:t>Children</w:t>
            </w:r>
            <w:proofErr w:type="spellEnd"/>
          </w:p>
        </w:tc>
        <w:tc>
          <w:tcPr>
            <w:tcW w:w="1276" w:type="dxa"/>
            <w:noWrap/>
            <w:hideMark/>
          </w:tcPr>
          <w:p w14:paraId="4566A64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100</w:t>
            </w:r>
          </w:p>
        </w:tc>
        <w:tc>
          <w:tcPr>
            <w:tcW w:w="1701" w:type="dxa"/>
            <w:noWrap/>
            <w:hideMark/>
          </w:tcPr>
          <w:p w14:paraId="0E067FB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36,7</w:t>
            </w:r>
          </w:p>
        </w:tc>
        <w:tc>
          <w:tcPr>
            <w:tcW w:w="1701" w:type="dxa"/>
            <w:noWrap/>
            <w:hideMark/>
          </w:tcPr>
          <w:p w14:paraId="2A5D40C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559" w:type="dxa"/>
            <w:noWrap/>
            <w:hideMark/>
          </w:tcPr>
          <w:p w14:paraId="568A005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701" w:type="dxa"/>
            <w:noWrap/>
            <w:hideMark/>
          </w:tcPr>
          <w:p w14:paraId="073B9D0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716F855C"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C467A29"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Confederación de Centros de Desarrollo Rural</w:t>
            </w:r>
          </w:p>
        </w:tc>
        <w:tc>
          <w:tcPr>
            <w:tcW w:w="1276" w:type="dxa"/>
            <w:noWrap/>
            <w:hideMark/>
          </w:tcPr>
          <w:p w14:paraId="76C93E39"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100</w:t>
            </w:r>
          </w:p>
        </w:tc>
        <w:tc>
          <w:tcPr>
            <w:tcW w:w="1701" w:type="dxa"/>
            <w:noWrap/>
            <w:hideMark/>
          </w:tcPr>
          <w:p w14:paraId="21650DE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54,9</w:t>
            </w:r>
          </w:p>
        </w:tc>
        <w:tc>
          <w:tcPr>
            <w:tcW w:w="1701" w:type="dxa"/>
            <w:noWrap/>
            <w:hideMark/>
          </w:tcPr>
          <w:p w14:paraId="3CD3919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8</w:t>
            </w:r>
          </w:p>
        </w:tc>
        <w:tc>
          <w:tcPr>
            <w:tcW w:w="1559" w:type="dxa"/>
            <w:noWrap/>
            <w:hideMark/>
          </w:tcPr>
          <w:p w14:paraId="1B842D1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8</w:t>
            </w:r>
          </w:p>
        </w:tc>
        <w:tc>
          <w:tcPr>
            <w:tcW w:w="1701" w:type="dxa"/>
            <w:noWrap/>
            <w:hideMark/>
          </w:tcPr>
          <w:p w14:paraId="38C179E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996316E"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E5C1BD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Plataforma del Voluntariado de España</w:t>
            </w:r>
          </w:p>
        </w:tc>
        <w:tc>
          <w:tcPr>
            <w:tcW w:w="1276" w:type="dxa"/>
            <w:noWrap/>
            <w:hideMark/>
          </w:tcPr>
          <w:p w14:paraId="0EA43BC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92,1</w:t>
            </w:r>
          </w:p>
        </w:tc>
        <w:tc>
          <w:tcPr>
            <w:tcW w:w="4961" w:type="dxa"/>
            <w:gridSpan w:val="3"/>
            <w:noWrap/>
            <w:hideMark/>
          </w:tcPr>
          <w:p w14:paraId="4D97129F"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7B22DDC"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6F69DA6D"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1F32101"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Confederación Española de Discapacidad Física y Orgánica</w:t>
            </w:r>
          </w:p>
        </w:tc>
        <w:tc>
          <w:tcPr>
            <w:tcW w:w="1276" w:type="dxa"/>
            <w:noWrap/>
            <w:hideMark/>
          </w:tcPr>
          <w:p w14:paraId="0745E74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91,6</w:t>
            </w:r>
          </w:p>
        </w:tc>
        <w:tc>
          <w:tcPr>
            <w:tcW w:w="1701" w:type="dxa"/>
            <w:noWrap/>
            <w:hideMark/>
          </w:tcPr>
          <w:p w14:paraId="1FC54B7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19,7</w:t>
            </w:r>
          </w:p>
        </w:tc>
        <w:tc>
          <w:tcPr>
            <w:tcW w:w="1701" w:type="dxa"/>
            <w:noWrap/>
            <w:hideMark/>
          </w:tcPr>
          <w:p w14:paraId="6EEC8CB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w:t>
            </w:r>
          </w:p>
        </w:tc>
        <w:tc>
          <w:tcPr>
            <w:tcW w:w="1559" w:type="dxa"/>
            <w:noWrap/>
            <w:hideMark/>
          </w:tcPr>
          <w:p w14:paraId="03E0023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701" w:type="dxa"/>
            <w:noWrap/>
            <w:hideMark/>
          </w:tcPr>
          <w:p w14:paraId="43C1731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71B28C05"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AED7EF5"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lastRenderedPageBreak/>
              <w:t>ACB Asociación de Clubs de Baloncesto</w:t>
            </w:r>
          </w:p>
        </w:tc>
        <w:tc>
          <w:tcPr>
            <w:tcW w:w="1276" w:type="dxa"/>
            <w:noWrap/>
            <w:hideMark/>
          </w:tcPr>
          <w:p w14:paraId="142C647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91,4</w:t>
            </w:r>
          </w:p>
        </w:tc>
        <w:tc>
          <w:tcPr>
            <w:tcW w:w="1701" w:type="dxa"/>
            <w:noWrap/>
            <w:hideMark/>
          </w:tcPr>
          <w:p w14:paraId="0617969B"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54,7</w:t>
            </w:r>
          </w:p>
        </w:tc>
        <w:tc>
          <w:tcPr>
            <w:tcW w:w="1701" w:type="dxa"/>
            <w:noWrap/>
            <w:hideMark/>
          </w:tcPr>
          <w:p w14:paraId="51F97C9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w:t>
            </w:r>
          </w:p>
        </w:tc>
        <w:tc>
          <w:tcPr>
            <w:tcW w:w="1559" w:type="dxa"/>
            <w:noWrap/>
            <w:hideMark/>
          </w:tcPr>
          <w:p w14:paraId="6B2CB2B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8</w:t>
            </w:r>
          </w:p>
        </w:tc>
        <w:tc>
          <w:tcPr>
            <w:tcW w:w="1701" w:type="dxa"/>
            <w:noWrap/>
            <w:hideMark/>
          </w:tcPr>
          <w:p w14:paraId="2CD13A3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0A2E79FC"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9B27F5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AVORIS</w:t>
            </w:r>
          </w:p>
        </w:tc>
        <w:tc>
          <w:tcPr>
            <w:tcW w:w="1276" w:type="dxa"/>
            <w:noWrap/>
            <w:hideMark/>
          </w:tcPr>
          <w:p w14:paraId="7FCB4F0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84,8</w:t>
            </w:r>
          </w:p>
        </w:tc>
        <w:tc>
          <w:tcPr>
            <w:tcW w:w="1701" w:type="dxa"/>
            <w:noWrap/>
            <w:hideMark/>
          </w:tcPr>
          <w:p w14:paraId="35A351A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17,2</w:t>
            </w:r>
          </w:p>
        </w:tc>
        <w:tc>
          <w:tcPr>
            <w:tcW w:w="1701" w:type="dxa"/>
            <w:noWrap/>
            <w:hideMark/>
          </w:tcPr>
          <w:p w14:paraId="5581323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559" w:type="dxa"/>
            <w:noWrap/>
            <w:hideMark/>
          </w:tcPr>
          <w:p w14:paraId="586F3B32"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2</w:t>
            </w:r>
          </w:p>
        </w:tc>
        <w:tc>
          <w:tcPr>
            <w:tcW w:w="1701" w:type="dxa"/>
            <w:noWrap/>
            <w:hideMark/>
          </w:tcPr>
          <w:p w14:paraId="3E3ECC4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032E99E8"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40A7E0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Cartera VIVANTA (AESTES)</w:t>
            </w:r>
          </w:p>
        </w:tc>
        <w:tc>
          <w:tcPr>
            <w:tcW w:w="1276" w:type="dxa"/>
            <w:noWrap/>
            <w:hideMark/>
          </w:tcPr>
          <w:p w14:paraId="1190D4D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76,4</w:t>
            </w:r>
          </w:p>
        </w:tc>
        <w:tc>
          <w:tcPr>
            <w:tcW w:w="1701" w:type="dxa"/>
            <w:noWrap/>
            <w:hideMark/>
          </w:tcPr>
          <w:p w14:paraId="7C41115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69,8</w:t>
            </w:r>
          </w:p>
        </w:tc>
        <w:tc>
          <w:tcPr>
            <w:tcW w:w="1701" w:type="dxa"/>
            <w:noWrap/>
            <w:hideMark/>
          </w:tcPr>
          <w:p w14:paraId="6743386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18D6D22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12</w:t>
            </w:r>
          </w:p>
        </w:tc>
        <w:tc>
          <w:tcPr>
            <w:tcW w:w="1701" w:type="dxa"/>
            <w:noWrap/>
            <w:hideMark/>
          </w:tcPr>
          <w:p w14:paraId="0449181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23BD64D"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DD3017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Joan Miró</w:t>
            </w:r>
          </w:p>
        </w:tc>
        <w:tc>
          <w:tcPr>
            <w:tcW w:w="1276" w:type="dxa"/>
            <w:noWrap/>
            <w:hideMark/>
          </w:tcPr>
          <w:p w14:paraId="12EB33A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75,6</w:t>
            </w:r>
          </w:p>
        </w:tc>
        <w:tc>
          <w:tcPr>
            <w:tcW w:w="1701" w:type="dxa"/>
            <w:noWrap/>
            <w:hideMark/>
          </w:tcPr>
          <w:p w14:paraId="642A6CB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39,9</w:t>
            </w:r>
          </w:p>
        </w:tc>
        <w:tc>
          <w:tcPr>
            <w:tcW w:w="1701" w:type="dxa"/>
            <w:noWrap/>
            <w:hideMark/>
          </w:tcPr>
          <w:p w14:paraId="4A99351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w:t>
            </w:r>
          </w:p>
        </w:tc>
        <w:tc>
          <w:tcPr>
            <w:tcW w:w="1559" w:type="dxa"/>
            <w:noWrap/>
            <w:hideMark/>
          </w:tcPr>
          <w:p w14:paraId="7295BACB"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w:t>
            </w:r>
          </w:p>
        </w:tc>
        <w:tc>
          <w:tcPr>
            <w:tcW w:w="1701" w:type="dxa"/>
            <w:noWrap/>
            <w:hideMark/>
          </w:tcPr>
          <w:p w14:paraId="752BF3FB"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5C663923"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C991407"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Air Europa</w:t>
            </w:r>
          </w:p>
        </w:tc>
        <w:tc>
          <w:tcPr>
            <w:tcW w:w="1276" w:type="dxa"/>
            <w:noWrap/>
            <w:hideMark/>
          </w:tcPr>
          <w:p w14:paraId="57A2120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73,4</w:t>
            </w:r>
          </w:p>
        </w:tc>
        <w:tc>
          <w:tcPr>
            <w:tcW w:w="1701" w:type="dxa"/>
            <w:noWrap/>
            <w:hideMark/>
          </w:tcPr>
          <w:p w14:paraId="7F9A8D4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65,7</w:t>
            </w:r>
          </w:p>
        </w:tc>
        <w:tc>
          <w:tcPr>
            <w:tcW w:w="1701" w:type="dxa"/>
            <w:noWrap/>
            <w:hideMark/>
          </w:tcPr>
          <w:p w14:paraId="672BBF5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1458CD9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w:t>
            </w:r>
          </w:p>
        </w:tc>
        <w:tc>
          <w:tcPr>
            <w:tcW w:w="1701" w:type="dxa"/>
            <w:noWrap/>
            <w:hideMark/>
          </w:tcPr>
          <w:p w14:paraId="2DD4EBC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765753FA"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8AAD99E"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Red Europa de Lucha contra la Pobreza y la Exclusión Social en el Estado español (EAPN)</w:t>
            </w:r>
          </w:p>
        </w:tc>
        <w:tc>
          <w:tcPr>
            <w:tcW w:w="1276" w:type="dxa"/>
            <w:noWrap/>
            <w:hideMark/>
          </w:tcPr>
          <w:p w14:paraId="2D6B5D7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72,8</w:t>
            </w:r>
          </w:p>
        </w:tc>
        <w:tc>
          <w:tcPr>
            <w:tcW w:w="1701" w:type="dxa"/>
            <w:noWrap/>
            <w:hideMark/>
          </w:tcPr>
          <w:p w14:paraId="0AEC5FC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922A00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559" w:type="dxa"/>
            <w:noWrap/>
            <w:hideMark/>
          </w:tcPr>
          <w:p w14:paraId="3061B409"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F449D6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3BF3E728"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F3D9CAD"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Coordinadora de ONG para el desarrollo</w:t>
            </w:r>
          </w:p>
        </w:tc>
        <w:tc>
          <w:tcPr>
            <w:tcW w:w="1276" w:type="dxa"/>
            <w:noWrap/>
            <w:hideMark/>
          </w:tcPr>
          <w:p w14:paraId="49B0604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72,4</w:t>
            </w:r>
          </w:p>
        </w:tc>
        <w:tc>
          <w:tcPr>
            <w:tcW w:w="4961" w:type="dxa"/>
            <w:gridSpan w:val="3"/>
            <w:noWrap/>
            <w:hideMark/>
          </w:tcPr>
          <w:p w14:paraId="0E697B6D"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7FB0C7F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w:t>
            </w:r>
          </w:p>
        </w:tc>
      </w:tr>
      <w:tr w:rsidR="005E34BF" w:rsidRPr="00561A62" w14:paraId="46315DF9"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6F7CBC4"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Federación de entidades religiosas evangélicas de España (FEREDE)</w:t>
            </w:r>
          </w:p>
        </w:tc>
        <w:tc>
          <w:tcPr>
            <w:tcW w:w="1276" w:type="dxa"/>
            <w:noWrap/>
            <w:hideMark/>
          </w:tcPr>
          <w:p w14:paraId="3B50D6B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71,7</w:t>
            </w:r>
          </w:p>
        </w:tc>
        <w:tc>
          <w:tcPr>
            <w:tcW w:w="1701" w:type="dxa"/>
            <w:noWrap/>
            <w:hideMark/>
          </w:tcPr>
          <w:p w14:paraId="2749693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34,5</w:t>
            </w:r>
          </w:p>
        </w:tc>
        <w:tc>
          <w:tcPr>
            <w:tcW w:w="1701" w:type="dxa"/>
            <w:noWrap/>
            <w:hideMark/>
          </w:tcPr>
          <w:p w14:paraId="46565B2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79F4419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w:t>
            </w:r>
          </w:p>
        </w:tc>
        <w:tc>
          <w:tcPr>
            <w:tcW w:w="1701" w:type="dxa"/>
            <w:noWrap/>
            <w:hideMark/>
          </w:tcPr>
          <w:p w14:paraId="2A84DD7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0AA4B053"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EEEEC53"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Médicos del Mundo</w:t>
            </w:r>
          </w:p>
        </w:tc>
        <w:tc>
          <w:tcPr>
            <w:tcW w:w="1276" w:type="dxa"/>
            <w:noWrap/>
            <w:hideMark/>
          </w:tcPr>
          <w:p w14:paraId="5EED284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71,4</w:t>
            </w:r>
          </w:p>
        </w:tc>
        <w:tc>
          <w:tcPr>
            <w:tcW w:w="4961" w:type="dxa"/>
            <w:gridSpan w:val="3"/>
            <w:noWrap/>
            <w:hideMark/>
          </w:tcPr>
          <w:p w14:paraId="4B3037CA"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13D9191A"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4503EF42"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B0D0444"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Asociación Española Contra el Cáncer</w:t>
            </w:r>
          </w:p>
        </w:tc>
        <w:tc>
          <w:tcPr>
            <w:tcW w:w="1276" w:type="dxa"/>
            <w:noWrap/>
            <w:hideMark/>
          </w:tcPr>
          <w:p w14:paraId="6D6993AB"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70,8</w:t>
            </w:r>
          </w:p>
        </w:tc>
        <w:tc>
          <w:tcPr>
            <w:tcW w:w="4961" w:type="dxa"/>
            <w:gridSpan w:val="3"/>
            <w:noWrap/>
            <w:hideMark/>
          </w:tcPr>
          <w:p w14:paraId="065307C7"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A5E0C20"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A56E0DA"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2FE8354" w14:textId="77777777" w:rsidR="005E34BF" w:rsidRPr="00561A62" w:rsidRDefault="005E34BF" w:rsidP="00D14AAB">
            <w:pPr>
              <w:rPr>
                <w:rFonts w:eastAsia="Times New Roman" w:cs="Calibri"/>
                <w:sz w:val="16"/>
                <w:szCs w:val="16"/>
              </w:rPr>
            </w:pPr>
            <w:r w:rsidRPr="00561A62">
              <w:rPr>
                <w:rFonts w:eastAsia="Times New Roman" w:cs="Calibri"/>
                <w:sz w:val="16"/>
                <w:szCs w:val="16"/>
              </w:rPr>
              <w:t>Hesperia</w:t>
            </w:r>
          </w:p>
        </w:tc>
        <w:tc>
          <w:tcPr>
            <w:tcW w:w="1276" w:type="dxa"/>
            <w:noWrap/>
            <w:hideMark/>
          </w:tcPr>
          <w:p w14:paraId="39010AE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70,4</w:t>
            </w:r>
          </w:p>
        </w:tc>
        <w:tc>
          <w:tcPr>
            <w:tcW w:w="1701" w:type="dxa"/>
            <w:noWrap/>
            <w:hideMark/>
          </w:tcPr>
          <w:p w14:paraId="780B19A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701" w:type="dxa"/>
            <w:noWrap/>
            <w:hideMark/>
          </w:tcPr>
          <w:p w14:paraId="5CE3F32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559" w:type="dxa"/>
            <w:noWrap/>
            <w:hideMark/>
          </w:tcPr>
          <w:p w14:paraId="2FF531E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c>
          <w:tcPr>
            <w:tcW w:w="1701" w:type="dxa"/>
            <w:noWrap/>
            <w:hideMark/>
          </w:tcPr>
          <w:p w14:paraId="6C88775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5F93571D"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1FCF779"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Real Federación Española de Gimnasia</w:t>
            </w:r>
          </w:p>
        </w:tc>
        <w:tc>
          <w:tcPr>
            <w:tcW w:w="1276" w:type="dxa"/>
            <w:noWrap/>
            <w:hideMark/>
          </w:tcPr>
          <w:p w14:paraId="60AE7C2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70,4</w:t>
            </w:r>
          </w:p>
        </w:tc>
        <w:tc>
          <w:tcPr>
            <w:tcW w:w="4961" w:type="dxa"/>
            <w:gridSpan w:val="3"/>
            <w:noWrap/>
            <w:hideMark/>
          </w:tcPr>
          <w:p w14:paraId="20DCC70C"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50CCE5A9"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0A4A57B7"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281E1C1"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Ayuda en acción</w:t>
            </w:r>
          </w:p>
        </w:tc>
        <w:tc>
          <w:tcPr>
            <w:tcW w:w="1276" w:type="dxa"/>
            <w:noWrap/>
            <w:hideMark/>
          </w:tcPr>
          <w:p w14:paraId="3BBE8A5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69,6</w:t>
            </w:r>
          </w:p>
        </w:tc>
        <w:tc>
          <w:tcPr>
            <w:tcW w:w="1701" w:type="dxa"/>
            <w:noWrap/>
            <w:hideMark/>
          </w:tcPr>
          <w:p w14:paraId="17CF2F8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11,4</w:t>
            </w:r>
          </w:p>
        </w:tc>
        <w:tc>
          <w:tcPr>
            <w:tcW w:w="1701" w:type="dxa"/>
            <w:noWrap/>
            <w:hideMark/>
          </w:tcPr>
          <w:p w14:paraId="025E75A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5</w:t>
            </w:r>
          </w:p>
        </w:tc>
        <w:tc>
          <w:tcPr>
            <w:tcW w:w="1559" w:type="dxa"/>
            <w:noWrap/>
            <w:hideMark/>
          </w:tcPr>
          <w:p w14:paraId="7CD36E7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w:t>
            </w:r>
          </w:p>
        </w:tc>
        <w:tc>
          <w:tcPr>
            <w:tcW w:w="1701" w:type="dxa"/>
            <w:noWrap/>
            <w:hideMark/>
          </w:tcPr>
          <w:p w14:paraId="5640AD6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r>
      <w:tr w:rsidR="005E34BF" w:rsidRPr="00561A62" w14:paraId="6966173C"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113B98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Márgenes y Vínculos</w:t>
            </w:r>
          </w:p>
        </w:tc>
        <w:tc>
          <w:tcPr>
            <w:tcW w:w="1276" w:type="dxa"/>
            <w:noWrap/>
            <w:hideMark/>
          </w:tcPr>
          <w:p w14:paraId="4CC17D22"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69,2</w:t>
            </w:r>
          </w:p>
        </w:tc>
        <w:tc>
          <w:tcPr>
            <w:tcW w:w="1701" w:type="dxa"/>
            <w:noWrap/>
            <w:hideMark/>
          </w:tcPr>
          <w:p w14:paraId="35EA5C5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47,3</w:t>
            </w:r>
          </w:p>
        </w:tc>
        <w:tc>
          <w:tcPr>
            <w:tcW w:w="1701" w:type="dxa"/>
            <w:noWrap/>
            <w:hideMark/>
          </w:tcPr>
          <w:p w14:paraId="7AE4568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24D887B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8</w:t>
            </w:r>
          </w:p>
        </w:tc>
        <w:tc>
          <w:tcPr>
            <w:tcW w:w="1701" w:type="dxa"/>
            <w:noWrap/>
            <w:hideMark/>
          </w:tcPr>
          <w:p w14:paraId="21DAFE9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r>
      <w:tr w:rsidR="005E34BF" w:rsidRPr="00561A62" w14:paraId="5A0BD26F"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C9648F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Fundación </w:t>
            </w:r>
            <w:proofErr w:type="spellStart"/>
            <w:r w:rsidRPr="00561A62">
              <w:rPr>
                <w:rFonts w:eastAsia="Times New Roman" w:cs="Calibri"/>
                <w:color w:val="000000"/>
                <w:sz w:val="16"/>
                <w:szCs w:val="16"/>
              </w:rPr>
              <w:t>J</w:t>
            </w:r>
            <w:r>
              <w:rPr>
                <w:rFonts w:eastAsia="Times New Roman" w:cs="Calibri"/>
                <w:color w:val="000000"/>
                <w:sz w:val="16"/>
                <w:szCs w:val="16"/>
              </w:rPr>
              <w:t>ose</w:t>
            </w:r>
            <w:proofErr w:type="spellEnd"/>
            <w:r w:rsidRPr="00561A62">
              <w:rPr>
                <w:rFonts w:eastAsia="Times New Roman" w:cs="Calibri"/>
                <w:color w:val="000000"/>
                <w:sz w:val="16"/>
                <w:szCs w:val="16"/>
              </w:rPr>
              <w:t xml:space="preserve"> </w:t>
            </w:r>
            <w:proofErr w:type="spellStart"/>
            <w:r w:rsidRPr="00561A62">
              <w:rPr>
                <w:rFonts w:eastAsia="Times New Roman" w:cs="Calibri"/>
                <w:color w:val="000000"/>
                <w:sz w:val="16"/>
                <w:szCs w:val="16"/>
              </w:rPr>
              <w:t>Matía</w:t>
            </w:r>
            <w:proofErr w:type="spellEnd"/>
            <w:r>
              <w:rPr>
                <w:rFonts w:eastAsia="Times New Roman" w:cs="Calibri"/>
                <w:color w:val="000000"/>
                <w:sz w:val="16"/>
                <w:szCs w:val="16"/>
              </w:rPr>
              <w:t xml:space="preserve"> </w:t>
            </w:r>
          </w:p>
        </w:tc>
        <w:tc>
          <w:tcPr>
            <w:tcW w:w="1276" w:type="dxa"/>
            <w:noWrap/>
            <w:hideMark/>
          </w:tcPr>
          <w:p w14:paraId="7C7A025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61,6</w:t>
            </w:r>
          </w:p>
        </w:tc>
        <w:tc>
          <w:tcPr>
            <w:tcW w:w="1701" w:type="dxa"/>
            <w:noWrap/>
            <w:hideMark/>
          </w:tcPr>
          <w:p w14:paraId="6FB8E94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17,7</w:t>
            </w:r>
          </w:p>
        </w:tc>
        <w:tc>
          <w:tcPr>
            <w:tcW w:w="1701" w:type="dxa"/>
            <w:noWrap/>
            <w:hideMark/>
          </w:tcPr>
          <w:p w14:paraId="23D9ED4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7A70CEA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w:t>
            </w:r>
          </w:p>
        </w:tc>
        <w:tc>
          <w:tcPr>
            <w:tcW w:w="1701" w:type="dxa"/>
            <w:noWrap/>
            <w:hideMark/>
          </w:tcPr>
          <w:p w14:paraId="54B5B5C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w:t>
            </w:r>
          </w:p>
        </w:tc>
      </w:tr>
      <w:tr w:rsidR="005E34BF" w:rsidRPr="00561A62" w14:paraId="1F9D4920"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294D42E"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Duro Felguera</w:t>
            </w:r>
          </w:p>
        </w:tc>
        <w:tc>
          <w:tcPr>
            <w:tcW w:w="1276" w:type="dxa"/>
            <w:noWrap/>
            <w:hideMark/>
          </w:tcPr>
          <w:p w14:paraId="729C92BE"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61,5</w:t>
            </w:r>
          </w:p>
        </w:tc>
        <w:tc>
          <w:tcPr>
            <w:tcW w:w="1701" w:type="dxa"/>
            <w:noWrap/>
            <w:hideMark/>
          </w:tcPr>
          <w:p w14:paraId="7BB67F6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342805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7</w:t>
            </w:r>
          </w:p>
        </w:tc>
        <w:tc>
          <w:tcPr>
            <w:tcW w:w="1559" w:type="dxa"/>
            <w:noWrap/>
            <w:hideMark/>
          </w:tcPr>
          <w:p w14:paraId="49424F1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0FE0014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0C5E87FA"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00B05AC"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Técnicas Reunidas</w:t>
            </w:r>
          </w:p>
        </w:tc>
        <w:tc>
          <w:tcPr>
            <w:tcW w:w="1276" w:type="dxa"/>
            <w:noWrap/>
            <w:hideMark/>
          </w:tcPr>
          <w:p w14:paraId="71E5886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59,3</w:t>
            </w:r>
          </w:p>
        </w:tc>
        <w:tc>
          <w:tcPr>
            <w:tcW w:w="1701" w:type="dxa"/>
            <w:noWrap/>
            <w:hideMark/>
          </w:tcPr>
          <w:p w14:paraId="0DAEA71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004C145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w:t>
            </w:r>
          </w:p>
        </w:tc>
        <w:tc>
          <w:tcPr>
            <w:tcW w:w="1559" w:type="dxa"/>
            <w:noWrap/>
            <w:hideMark/>
          </w:tcPr>
          <w:p w14:paraId="01B4127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434103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777FFD0A"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193476E"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Intermón Oxfam</w:t>
            </w:r>
          </w:p>
        </w:tc>
        <w:tc>
          <w:tcPr>
            <w:tcW w:w="1276" w:type="dxa"/>
            <w:noWrap/>
            <w:hideMark/>
          </w:tcPr>
          <w:p w14:paraId="2A2816F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57,1</w:t>
            </w:r>
          </w:p>
        </w:tc>
        <w:tc>
          <w:tcPr>
            <w:tcW w:w="4961" w:type="dxa"/>
            <w:gridSpan w:val="3"/>
            <w:noWrap/>
            <w:hideMark/>
          </w:tcPr>
          <w:p w14:paraId="5F069B16"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1B787728"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33ACCA1D"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41B5BBA"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Telefónica de España, S.A.</w:t>
            </w:r>
          </w:p>
        </w:tc>
        <w:tc>
          <w:tcPr>
            <w:tcW w:w="1276" w:type="dxa"/>
            <w:noWrap/>
            <w:hideMark/>
          </w:tcPr>
          <w:p w14:paraId="289AA20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55,5</w:t>
            </w:r>
          </w:p>
        </w:tc>
        <w:tc>
          <w:tcPr>
            <w:tcW w:w="1701" w:type="dxa"/>
            <w:noWrap/>
            <w:hideMark/>
          </w:tcPr>
          <w:p w14:paraId="4F47780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03D4A44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7</w:t>
            </w:r>
          </w:p>
        </w:tc>
        <w:tc>
          <w:tcPr>
            <w:tcW w:w="1559" w:type="dxa"/>
            <w:noWrap/>
            <w:hideMark/>
          </w:tcPr>
          <w:p w14:paraId="0FAFC5D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5456E7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672F403"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6D29B6C" w14:textId="77777777" w:rsidR="005E34BF" w:rsidRPr="00561A62" w:rsidRDefault="005E34BF" w:rsidP="00D14AAB">
            <w:pPr>
              <w:rPr>
                <w:rFonts w:eastAsia="Times New Roman" w:cs="Calibri"/>
                <w:sz w:val="16"/>
                <w:szCs w:val="16"/>
              </w:rPr>
            </w:pPr>
            <w:r w:rsidRPr="00561A62">
              <w:rPr>
                <w:rFonts w:eastAsia="Times New Roman" w:cs="Calibri"/>
                <w:sz w:val="16"/>
                <w:szCs w:val="16"/>
              </w:rPr>
              <w:t>Tubos Reunidos</w:t>
            </w:r>
          </w:p>
        </w:tc>
        <w:tc>
          <w:tcPr>
            <w:tcW w:w="1276" w:type="dxa"/>
            <w:noWrap/>
            <w:hideMark/>
          </w:tcPr>
          <w:p w14:paraId="58A12C6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54,4</w:t>
            </w:r>
          </w:p>
        </w:tc>
        <w:tc>
          <w:tcPr>
            <w:tcW w:w="1701" w:type="dxa"/>
            <w:noWrap/>
            <w:hideMark/>
          </w:tcPr>
          <w:p w14:paraId="3A30CDF9"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D5A948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w:t>
            </w:r>
          </w:p>
        </w:tc>
        <w:tc>
          <w:tcPr>
            <w:tcW w:w="1559" w:type="dxa"/>
            <w:noWrap/>
            <w:hideMark/>
          </w:tcPr>
          <w:p w14:paraId="170125C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212632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F6454FC"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307E1F1"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Plataforma de Organizaciones de Infancia</w:t>
            </w:r>
          </w:p>
        </w:tc>
        <w:tc>
          <w:tcPr>
            <w:tcW w:w="1276" w:type="dxa"/>
            <w:noWrap/>
            <w:hideMark/>
          </w:tcPr>
          <w:p w14:paraId="1073C60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53,1</w:t>
            </w:r>
          </w:p>
        </w:tc>
        <w:tc>
          <w:tcPr>
            <w:tcW w:w="4961" w:type="dxa"/>
            <w:gridSpan w:val="3"/>
            <w:noWrap/>
            <w:hideMark/>
          </w:tcPr>
          <w:p w14:paraId="447FB3C2"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721FF76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w:t>
            </w:r>
          </w:p>
        </w:tc>
      </w:tr>
      <w:tr w:rsidR="005E34BF" w:rsidRPr="00561A62" w14:paraId="33CEBB05"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71D248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Real Federación Española de Tenis</w:t>
            </w:r>
          </w:p>
        </w:tc>
        <w:tc>
          <w:tcPr>
            <w:tcW w:w="1276" w:type="dxa"/>
            <w:noWrap/>
            <w:hideMark/>
          </w:tcPr>
          <w:p w14:paraId="140F5F3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51,8</w:t>
            </w:r>
          </w:p>
        </w:tc>
        <w:tc>
          <w:tcPr>
            <w:tcW w:w="4961" w:type="dxa"/>
            <w:gridSpan w:val="3"/>
            <w:noWrap/>
            <w:hideMark/>
          </w:tcPr>
          <w:p w14:paraId="2CC43A03"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7EF2630C"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705BCD59"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CE98BCE"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Asamblea de Cooperación por la Paz</w:t>
            </w:r>
          </w:p>
        </w:tc>
        <w:tc>
          <w:tcPr>
            <w:tcW w:w="1276" w:type="dxa"/>
            <w:noWrap/>
            <w:hideMark/>
          </w:tcPr>
          <w:p w14:paraId="46A5214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51,5</w:t>
            </w:r>
          </w:p>
        </w:tc>
        <w:tc>
          <w:tcPr>
            <w:tcW w:w="4961" w:type="dxa"/>
            <w:gridSpan w:val="3"/>
            <w:noWrap/>
            <w:hideMark/>
          </w:tcPr>
          <w:p w14:paraId="47FA4030"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667D4F65"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1C915AAD"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CE1D29C"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Ronald McDonald</w:t>
            </w:r>
          </w:p>
        </w:tc>
        <w:tc>
          <w:tcPr>
            <w:tcW w:w="1276" w:type="dxa"/>
            <w:noWrap/>
            <w:hideMark/>
          </w:tcPr>
          <w:p w14:paraId="4E59672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50,0</w:t>
            </w:r>
          </w:p>
        </w:tc>
        <w:tc>
          <w:tcPr>
            <w:tcW w:w="4961" w:type="dxa"/>
            <w:gridSpan w:val="3"/>
            <w:noWrap/>
            <w:hideMark/>
          </w:tcPr>
          <w:p w14:paraId="56D699F5"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01DD2998"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50F4F050"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F506A0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Tomillo</w:t>
            </w:r>
          </w:p>
        </w:tc>
        <w:tc>
          <w:tcPr>
            <w:tcW w:w="1276" w:type="dxa"/>
            <w:noWrap/>
            <w:hideMark/>
          </w:tcPr>
          <w:p w14:paraId="1AFF79F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46,0</w:t>
            </w:r>
          </w:p>
        </w:tc>
        <w:tc>
          <w:tcPr>
            <w:tcW w:w="4961" w:type="dxa"/>
            <w:gridSpan w:val="3"/>
            <w:noWrap/>
            <w:hideMark/>
          </w:tcPr>
          <w:p w14:paraId="55F6A4CA"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721CABB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w:t>
            </w:r>
          </w:p>
        </w:tc>
      </w:tr>
      <w:tr w:rsidR="005E34BF" w:rsidRPr="00561A62" w14:paraId="11004FCD"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FB3FCB6"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Confederación Empresarial Española de la Economía Social</w:t>
            </w:r>
          </w:p>
        </w:tc>
        <w:tc>
          <w:tcPr>
            <w:tcW w:w="1276" w:type="dxa"/>
            <w:noWrap/>
            <w:hideMark/>
          </w:tcPr>
          <w:p w14:paraId="16F2AF2E"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45,1</w:t>
            </w:r>
          </w:p>
        </w:tc>
        <w:tc>
          <w:tcPr>
            <w:tcW w:w="1701" w:type="dxa"/>
            <w:noWrap/>
            <w:hideMark/>
          </w:tcPr>
          <w:p w14:paraId="7737421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7,9</w:t>
            </w:r>
          </w:p>
        </w:tc>
        <w:tc>
          <w:tcPr>
            <w:tcW w:w="1701" w:type="dxa"/>
            <w:noWrap/>
            <w:hideMark/>
          </w:tcPr>
          <w:p w14:paraId="1DF03A8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2402781B"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c>
          <w:tcPr>
            <w:tcW w:w="1701" w:type="dxa"/>
            <w:noWrap/>
            <w:hideMark/>
          </w:tcPr>
          <w:p w14:paraId="0DC6719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0EC5F4DB"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40229D0"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Federación Española de Daño Cerebral</w:t>
            </w:r>
          </w:p>
        </w:tc>
        <w:tc>
          <w:tcPr>
            <w:tcW w:w="1276" w:type="dxa"/>
            <w:noWrap/>
            <w:hideMark/>
          </w:tcPr>
          <w:p w14:paraId="720AEF3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43,4</w:t>
            </w:r>
          </w:p>
        </w:tc>
        <w:tc>
          <w:tcPr>
            <w:tcW w:w="1701" w:type="dxa"/>
            <w:noWrap/>
            <w:hideMark/>
          </w:tcPr>
          <w:p w14:paraId="28873AD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-8,1</w:t>
            </w:r>
          </w:p>
        </w:tc>
        <w:tc>
          <w:tcPr>
            <w:tcW w:w="1701" w:type="dxa"/>
            <w:noWrap/>
            <w:hideMark/>
          </w:tcPr>
          <w:p w14:paraId="66E81BE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7</w:t>
            </w:r>
          </w:p>
        </w:tc>
        <w:tc>
          <w:tcPr>
            <w:tcW w:w="1559" w:type="dxa"/>
            <w:noWrap/>
            <w:hideMark/>
          </w:tcPr>
          <w:p w14:paraId="7183145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CAFC92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13BB82FB"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B4F34CC"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Bureau Veritas Inspección y </w:t>
            </w:r>
            <w:proofErr w:type="spellStart"/>
            <w:r w:rsidRPr="00561A62">
              <w:rPr>
                <w:rFonts w:eastAsia="Times New Roman" w:cs="Calibri"/>
                <w:color w:val="000000"/>
                <w:sz w:val="16"/>
                <w:szCs w:val="16"/>
              </w:rPr>
              <w:t>Testing</w:t>
            </w:r>
            <w:proofErr w:type="spellEnd"/>
            <w:r w:rsidRPr="00561A62">
              <w:rPr>
                <w:rFonts w:eastAsia="Times New Roman" w:cs="Calibri"/>
                <w:color w:val="000000"/>
                <w:sz w:val="16"/>
                <w:szCs w:val="16"/>
              </w:rPr>
              <w:t>, SL Unipersonal</w:t>
            </w:r>
          </w:p>
        </w:tc>
        <w:tc>
          <w:tcPr>
            <w:tcW w:w="1276" w:type="dxa"/>
            <w:noWrap/>
            <w:hideMark/>
          </w:tcPr>
          <w:p w14:paraId="08A95BA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42,3</w:t>
            </w:r>
          </w:p>
        </w:tc>
        <w:tc>
          <w:tcPr>
            <w:tcW w:w="4961" w:type="dxa"/>
            <w:gridSpan w:val="3"/>
            <w:noWrap/>
            <w:hideMark/>
          </w:tcPr>
          <w:p w14:paraId="642D5AC6"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B00409C"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318DDB56"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B9C96A7"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Fundación </w:t>
            </w:r>
            <w:proofErr w:type="spellStart"/>
            <w:r w:rsidRPr="00561A62">
              <w:rPr>
                <w:rFonts w:eastAsia="Times New Roman" w:cs="Calibri"/>
                <w:color w:val="000000"/>
                <w:sz w:val="16"/>
                <w:szCs w:val="16"/>
              </w:rPr>
              <w:t>Anar</w:t>
            </w:r>
            <w:proofErr w:type="spellEnd"/>
          </w:p>
        </w:tc>
        <w:tc>
          <w:tcPr>
            <w:tcW w:w="1276" w:type="dxa"/>
            <w:noWrap/>
            <w:hideMark/>
          </w:tcPr>
          <w:p w14:paraId="614C325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39,3</w:t>
            </w:r>
          </w:p>
        </w:tc>
        <w:tc>
          <w:tcPr>
            <w:tcW w:w="1701" w:type="dxa"/>
            <w:noWrap/>
            <w:hideMark/>
          </w:tcPr>
          <w:p w14:paraId="43355F1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18D195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4D121CB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AE4409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7</w:t>
            </w:r>
          </w:p>
        </w:tc>
      </w:tr>
      <w:tr w:rsidR="005E34BF" w:rsidRPr="00561A62" w14:paraId="17CC6BB2"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A2431DC"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Movimiento Scout Católico</w:t>
            </w:r>
          </w:p>
        </w:tc>
        <w:tc>
          <w:tcPr>
            <w:tcW w:w="1276" w:type="dxa"/>
            <w:noWrap/>
            <w:hideMark/>
          </w:tcPr>
          <w:p w14:paraId="4999809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39,3</w:t>
            </w:r>
          </w:p>
        </w:tc>
        <w:tc>
          <w:tcPr>
            <w:tcW w:w="4961" w:type="dxa"/>
            <w:gridSpan w:val="3"/>
            <w:noWrap/>
            <w:hideMark/>
          </w:tcPr>
          <w:p w14:paraId="20E604A2"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34C790B"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A296489"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84C5732"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Ilunion</w:t>
            </w:r>
            <w:proofErr w:type="spellEnd"/>
            <w:r w:rsidRPr="00561A62">
              <w:rPr>
                <w:rFonts w:eastAsia="Times New Roman" w:cs="Calibri"/>
                <w:color w:val="000000"/>
                <w:sz w:val="16"/>
                <w:szCs w:val="16"/>
              </w:rPr>
              <w:t xml:space="preserve"> Lavanderías, S.A.</w:t>
            </w:r>
          </w:p>
        </w:tc>
        <w:tc>
          <w:tcPr>
            <w:tcW w:w="1276" w:type="dxa"/>
            <w:noWrap/>
            <w:hideMark/>
          </w:tcPr>
          <w:p w14:paraId="43B9D03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37,0</w:t>
            </w:r>
          </w:p>
        </w:tc>
        <w:tc>
          <w:tcPr>
            <w:tcW w:w="4961" w:type="dxa"/>
            <w:gridSpan w:val="3"/>
            <w:noWrap/>
            <w:hideMark/>
          </w:tcPr>
          <w:p w14:paraId="4A767B0B"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E5B2864"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18189666"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102BE4D"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Ferroatlántica</w:t>
            </w:r>
            <w:proofErr w:type="spellEnd"/>
          </w:p>
        </w:tc>
        <w:tc>
          <w:tcPr>
            <w:tcW w:w="1276" w:type="dxa"/>
            <w:noWrap/>
            <w:hideMark/>
          </w:tcPr>
          <w:p w14:paraId="514B645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34,1</w:t>
            </w:r>
          </w:p>
        </w:tc>
        <w:tc>
          <w:tcPr>
            <w:tcW w:w="1701" w:type="dxa"/>
            <w:noWrap/>
            <w:hideMark/>
          </w:tcPr>
          <w:p w14:paraId="54554BA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744FF2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w:t>
            </w:r>
          </w:p>
        </w:tc>
        <w:tc>
          <w:tcPr>
            <w:tcW w:w="1559" w:type="dxa"/>
            <w:noWrap/>
            <w:hideMark/>
          </w:tcPr>
          <w:p w14:paraId="5CFDEDD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49AF79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0EE99EBE"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24E9249"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Red y Apoyo para la Integración Sociolaboral</w:t>
            </w:r>
          </w:p>
        </w:tc>
        <w:tc>
          <w:tcPr>
            <w:tcW w:w="1276" w:type="dxa"/>
            <w:noWrap/>
            <w:hideMark/>
          </w:tcPr>
          <w:p w14:paraId="1B4EBC1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32,1</w:t>
            </w:r>
          </w:p>
        </w:tc>
        <w:tc>
          <w:tcPr>
            <w:tcW w:w="1701" w:type="dxa"/>
            <w:noWrap/>
            <w:hideMark/>
          </w:tcPr>
          <w:p w14:paraId="3692490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5,6</w:t>
            </w:r>
          </w:p>
        </w:tc>
        <w:tc>
          <w:tcPr>
            <w:tcW w:w="1701" w:type="dxa"/>
            <w:noWrap/>
            <w:hideMark/>
          </w:tcPr>
          <w:p w14:paraId="2507478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2350380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c>
          <w:tcPr>
            <w:tcW w:w="1701" w:type="dxa"/>
            <w:noWrap/>
            <w:hideMark/>
          </w:tcPr>
          <w:p w14:paraId="57811AA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6CF6251C"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37B997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Fundación </w:t>
            </w:r>
            <w:proofErr w:type="spellStart"/>
            <w:r w:rsidRPr="00561A62">
              <w:rPr>
                <w:rFonts w:eastAsia="Times New Roman" w:cs="Calibri"/>
                <w:color w:val="000000"/>
                <w:sz w:val="16"/>
                <w:szCs w:val="16"/>
              </w:rPr>
              <w:t>Emet</w:t>
            </w:r>
            <w:proofErr w:type="spellEnd"/>
            <w:r w:rsidRPr="00561A62">
              <w:rPr>
                <w:rFonts w:eastAsia="Times New Roman" w:cs="Calibri"/>
                <w:color w:val="000000"/>
                <w:sz w:val="16"/>
                <w:szCs w:val="16"/>
              </w:rPr>
              <w:t xml:space="preserve"> Arco Iris</w:t>
            </w:r>
          </w:p>
        </w:tc>
        <w:tc>
          <w:tcPr>
            <w:tcW w:w="1276" w:type="dxa"/>
            <w:noWrap/>
            <w:hideMark/>
          </w:tcPr>
          <w:p w14:paraId="27BB5E2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31,1</w:t>
            </w:r>
          </w:p>
        </w:tc>
        <w:tc>
          <w:tcPr>
            <w:tcW w:w="1701" w:type="dxa"/>
            <w:noWrap/>
            <w:hideMark/>
          </w:tcPr>
          <w:p w14:paraId="5A178B3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4443AF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5896A68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67EE3CE"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3F223E2A"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9FA83C1"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AFELIN Asociaciones Federadas de Empresarios de Limpieza</w:t>
            </w:r>
          </w:p>
        </w:tc>
        <w:tc>
          <w:tcPr>
            <w:tcW w:w="1276" w:type="dxa"/>
            <w:noWrap/>
            <w:hideMark/>
          </w:tcPr>
          <w:p w14:paraId="5A9D623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28,6</w:t>
            </w:r>
          </w:p>
        </w:tc>
        <w:tc>
          <w:tcPr>
            <w:tcW w:w="1701" w:type="dxa"/>
            <w:noWrap/>
            <w:hideMark/>
          </w:tcPr>
          <w:p w14:paraId="62CD054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10,2</w:t>
            </w:r>
          </w:p>
        </w:tc>
        <w:tc>
          <w:tcPr>
            <w:tcW w:w="1701" w:type="dxa"/>
            <w:noWrap/>
            <w:hideMark/>
          </w:tcPr>
          <w:p w14:paraId="6E4FA0C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7FD89A8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4</w:t>
            </w:r>
          </w:p>
        </w:tc>
        <w:tc>
          <w:tcPr>
            <w:tcW w:w="1701" w:type="dxa"/>
            <w:noWrap/>
            <w:hideMark/>
          </w:tcPr>
          <w:p w14:paraId="33AE41E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0EDA2BA1"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FB79A8A"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lastRenderedPageBreak/>
              <w:t>Airtificil</w:t>
            </w:r>
            <w:proofErr w:type="spellEnd"/>
            <w:r w:rsidRPr="00561A62">
              <w:rPr>
                <w:rFonts w:eastAsia="Times New Roman" w:cs="Calibri"/>
                <w:color w:val="000000"/>
                <w:sz w:val="16"/>
                <w:szCs w:val="16"/>
              </w:rPr>
              <w:t xml:space="preserve"> </w:t>
            </w:r>
            <w:proofErr w:type="spellStart"/>
            <w:r w:rsidRPr="00561A62">
              <w:rPr>
                <w:rFonts w:eastAsia="Times New Roman" w:cs="Calibri"/>
                <w:color w:val="000000"/>
                <w:sz w:val="16"/>
                <w:szCs w:val="16"/>
              </w:rPr>
              <w:t>Intelligence</w:t>
            </w:r>
            <w:proofErr w:type="spellEnd"/>
            <w:r w:rsidRPr="00561A62">
              <w:rPr>
                <w:rFonts w:eastAsia="Times New Roman" w:cs="Calibri"/>
                <w:color w:val="000000"/>
                <w:sz w:val="16"/>
                <w:szCs w:val="16"/>
              </w:rPr>
              <w:t xml:space="preserve"> </w:t>
            </w:r>
            <w:proofErr w:type="spellStart"/>
            <w:r w:rsidRPr="00561A62">
              <w:rPr>
                <w:rFonts w:eastAsia="Times New Roman" w:cs="Calibri"/>
                <w:color w:val="000000"/>
                <w:sz w:val="16"/>
                <w:szCs w:val="16"/>
              </w:rPr>
              <w:t>Structures</w:t>
            </w:r>
            <w:proofErr w:type="spellEnd"/>
          </w:p>
        </w:tc>
        <w:tc>
          <w:tcPr>
            <w:tcW w:w="1276" w:type="dxa"/>
            <w:noWrap/>
            <w:hideMark/>
          </w:tcPr>
          <w:p w14:paraId="61B06C5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28,2</w:t>
            </w:r>
          </w:p>
        </w:tc>
        <w:tc>
          <w:tcPr>
            <w:tcW w:w="1701" w:type="dxa"/>
            <w:noWrap/>
            <w:hideMark/>
          </w:tcPr>
          <w:p w14:paraId="4838EEA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-30</w:t>
            </w:r>
          </w:p>
        </w:tc>
        <w:tc>
          <w:tcPr>
            <w:tcW w:w="1701" w:type="dxa"/>
            <w:noWrap/>
            <w:hideMark/>
          </w:tcPr>
          <w:p w14:paraId="4B28DE4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7</w:t>
            </w:r>
          </w:p>
        </w:tc>
        <w:tc>
          <w:tcPr>
            <w:tcW w:w="1559" w:type="dxa"/>
            <w:noWrap/>
            <w:hideMark/>
          </w:tcPr>
          <w:p w14:paraId="79E4208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FC1F4D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689A8C1"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2C8855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del Toro de lidia</w:t>
            </w:r>
          </w:p>
        </w:tc>
        <w:tc>
          <w:tcPr>
            <w:tcW w:w="1276" w:type="dxa"/>
            <w:noWrap/>
            <w:hideMark/>
          </w:tcPr>
          <w:p w14:paraId="41AF7FB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28,1</w:t>
            </w:r>
          </w:p>
        </w:tc>
        <w:tc>
          <w:tcPr>
            <w:tcW w:w="4961" w:type="dxa"/>
            <w:gridSpan w:val="3"/>
            <w:noWrap/>
            <w:hideMark/>
          </w:tcPr>
          <w:p w14:paraId="04C38306"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5B86341A"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599668C8"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A1BCFC1"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Naturaleza y Hombre</w:t>
            </w:r>
          </w:p>
        </w:tc>
        <w:tc>
          <w:tcPr>
            <w:tcW w:w="1276" w:type="dxa"/>
            <w:noWrap/>
            <w:hideMark/>
          </w:tcPr>
          <w:p w14:paraId="07FDD83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27,6</w:t>
            </w:r>
          </w:p>
        </w:tc>
        <w:tc>
          <w:tcPr>
            <w:tcW w:w="1701" w:type="dxa"/>
            <w:noWrap/>
            <w:hideMark/>
          </w:tcPr>
          <w:p w14:paraId="305C52D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0E2663B"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11</w:t>
            </w:r>
          </w:p>
        </w:tc>
        <w:tc>
          <w:tcPr>
            <w:tcW w:w="1559" w:type="dxa"/>
            <w:noWrap/>
            <w:hideMark/>
          </w:tcPr>
          <w:p w14:paraId="6878CFC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DC715A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7122A278"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A3E94A6" w14:textId="77777777" w:rsidR="005E34BF" w:rsidRPr="00561A62" w:rsidRDefault="005E34BF" w:rsidP="00D14AAB">
            <w:pPr>
              <w:rPr>
                <w:rFonts w:eastAsia="Times New Roman" w:cs="Calibri"/>
                <w:sz w:val="16"/>
                <w:szCs w:val="16"/>
              </w:rPr>
            </w:pPr>
            <w:r w:rsidRPr="00561A62">
              <w:rPr>
                <w:rFonts w:eastAsia="Times New Roman" w:cs="Calibri"/>
                <w:sz w:val="16"/>
                <w:szCs w:val="16"/>
              </w:rPr>
              <w:t>SERHS</w:t>
            </w:r>
          </w:p>
        </w:tc>
        <w:tc>
          <w:tcPr>
            <w:tcW w:w="1276" w:type="dxa"/>
            <w:noWrap/>
            <w:hideMark/>
          </w:tcPr>
          <w:p w14:paraId="4DD995E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27,5</w:t>
            </w:r>
          </w:p>
        </w:tc>
        <w:tc>
          <w:tcPr>
            <w:tcW w:w="1701" w:type="dxa"/>
            <w:noWrap/>
            <w:hideMark/>
          </w:tcPr>
          <w:p w14:paraId="2F585A1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B86084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w:t>
            </w:r>
          </w:p>
        </w:tc>
        <w:tc>
          <w:tcPr>
            <w:tcW w:w="1559" w:type="dxa"/>
            <w:noWrap/>
            <w:hideMark/>
          </w:tcPr>
          <w:p w14:paraId="0FF7EA9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4EFDDF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6F7232BF"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8BFC4B6"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Vicinay</w:t>
            </w:r>
            <w:proofErr w:type="spellEnd"/>
            <w:r w:rsidRPr="00561A62">
              <w:rPr>
                <w:rFonts w:eastAsia="Times New Roman" w:cs="Calibri"/>
                <w:color w:val="000000"/>
                <w:sz w:val="16"/>
                <w:szCs w:val="16"/>
              </w:rPr>
              <w:t xml:space="preserve"> Marine SL</w:t>
            </w:r>
          </w:p>
        </w:tc>
        <w:tc>
          <w:tcPr>
            <w:tcW w:w="1276" w:type="dxa"/>
            <w:noWrap/>
            <w:hideMark/>
          </w:tcPr>
          <w:p w14:paraId="4FEA625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27,5</w:t>
            </w:r>
          </w:p>
        </w:tc>
        <w:tc>
          <w:tcPr>
            <w:tcW w:w="1701" w:type="dxa"/>
            <w:noWrap/>
            <w:hideMark/>
          </w:tcPr>
          <w:p w14:paraId="6DCB96D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666C43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11</w:t>
            </w:r>
          </w:p>
        </w:tc>
        <w:tc>
          <w:tcPr>
            <w:tcW w:w="1559" w:type="dxa"/>
            <w:noWrap/>
            <w:hideMark/>
          </w:tcPr>
          <w:p w14:paraId="1F836E6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02ED37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13B00BAC"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B11B909"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Smurfit Kappa Nervión SA</w:t>
            </w:r>
          </w:p>
        </w:tc>
        <w:tc>
          <w:tcPr>
            <w:tcW w:w="1276" w:type="dxa"/>
            <w:noWrap/>
            <w:hideMark/>
          </w:tcPr>
          <w:p w14:paraId="41F4344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27,5</w:t>
            </w:r>
          </w:p>
        </w:tc>
        <w:tc>
          <w:tcPr>
            <w:tcW w:w="1701" w:type="dxa"/>
            <w:noWrap/>
            <w:hideMark/>
          </w:tcPr>
          <w:p w14:paraId="5085A55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224BA8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10</w:t>
            </w:r>
          </w:p>
        </w:tc>
        <w:tc>
          <w:tcPr>
            <w:tcW w:w="1559" w:type="dxa"/>
            <w:noWrap/>
            <w:hideMark/>
          </w:tcPr>
          <w:p w14:paraId="461457D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57A663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4687FA12"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3BC881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Confederación Empresarial de Hostelería de España</w:t>
            </w:r>
          </w:p>
        </w:tc>
        <w:tc>
          <w:tcPr>
            <w:tcW w:w="1276" w:type="dxa"/>
            <w:noWrap/>
            <w:hideMark/>
          </w:tcPr>
          <w:p w14:paraId="52BDECE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27,3</w:t>
            </w:r>
          </w:p>
        </w:tc>
        <w:tc>
          <w:tcPr>
            <w:tcW w:w="4961" w:type="dxa"/>
            <w:gridSpan w:val="3"/>
            <w:noWrap/>
            <w:hideMark/>
          </w:tcPr>
          <w:p w14:paraId="5B36B1EF"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5C55115D"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578CCD3"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99163D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Unión de Profesionales y Trabajadores Autónomos de España (UPTA)</w:t>
            </w:r>
          </w:p>
        </w:tc>
        <w:tc>
          <w:tcPr>
            <w:tcW w:w="1276" w:type="dxa"/>
            <w:noWrap/>
            <w:hideMark/>
          </w:tcPr>
          <w:p w14:paraId="09B0577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26,5</w:t>
            </w:r>
          </w:p>
        </w:tc>
        <w:tc>
          <w:tcPr>
            <w:tcW w:w="4961" w:type="dxa"/>
            <w:gridSpan w:val="3"/>
            <w:noWrap/>
            <w:hideMark/>
          </w:tcPr>
          <w:p w14:paraId="4D18760D"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E75BA4C"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63BEA67"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656A4FA"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Fundación La Merced Migraciones</w:t>
            </w:r>
          </w:p>
        </w:tc>
        <w:tc>
          <w:tcPr>
            <w:tcW w:w="1276" w:type="dxa"/>
            <w:noWrap/>
            <w:hideMark/>
          </w:tcPr>
          <w:p w14:paraId="0503DAF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25,4</w:t>
            </w:r>
          </w:p>
        </w:tc>
        <w:tc>
          <w:tcPr>
            <w:tcW w:w="1701" w:type="dxa"/>
            <w:noWrap/>
            <w:hideMark/>
          </w:tcPr>
          <w:p w14:paraId="7FF529B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-18,3</w:t>
            </w:r>
          </w:p>
        </w:tc>
        <w:tc>
          <w:tcPr>
            <w:tcW w:w="1701" w:type="dxa"/>
            <w:noWrap/>
            <w:hideMark/>
          </w:tcPr>
          <w:p w14:paraId="7B4F7EAB"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9</w:t>
            </w:r>
          </w:p>
        </w:tc>
        <w:tc>
          <w:tcPr>
            <w:tcW w:w="1559" w:type="dxa"/>
            <w:noWrap/>
            <w:hideMark/>
          </w:tcPr>
          <w:p w14:paraId="33BB50B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415752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15487016"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39C42B7" w14:textId="77777777" w:rsidR="005E34BF" w:rsidRPr="00561A62" w:rsidRDefault="005E34BF" w:rsidP="00D14AAB">
            <w:pPr>
              <w:rPr>
                <w:rFonts w:eastAsia="Times New Roman" w:cs="Calibri"/>
                <w:sz w:val="16"/>
                <w:szCs w:val="16"/>
              </w:rPr>
            </w:pPr>
            <w:r w:rsidRPr="00561A62">
              <w:rPr>
                <w:rFonts w:eastAsia="Times New Roman" w:cs="Calibri"/>
                <w:sz w:val="16"/>
                <w:szCs w:val="16"/>
              </w:rPr>
              <w:t>INGENIERIA Y SUMINISTROS ASTURIAS</w:t>
            </w:r>
          </w:p>
        </w:tc>
        <w:tc>
          <w:tcPr>
            <w:tcW w:w="1276" w:type="dxa"/>
            <w:noWrap/>
            <w:hideMark/>
          </w:tcPr>
          <w:p w14:paraId="0CB8436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20,9</w:t>
            </w:r>
          </w:p>
        </w:tc>
        <w:tc>
          <w:tcPr>
            <w:tcW w:w="1701" w:type="dxa"/>
            <w:noWrap/>
            <w:hideMark/>
          </w:tcPr>
          <w:p w14:paraId="13FE362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6,6</w:t>
            </w:r>
          </w:p>
        </w:tc>
        <w:tc>
          <w:tcPr>
            <w:tcW w:w="1701" w:type="dxa"/>
            <w:noWrap/>
            <w:hideMark/>
          </w:tcPr>
          <w:p w14:paraId="1A708CC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6AD5658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c>
          <w:tcPr>
            <w:tcW w:w="1701" w:type="dxa"/>
            <w:noWrap/>
            <w:hideMark/>
          </w:tcPr>
          <w:p w14:paraId="17A44DC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6F80F9A3"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700B697"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Sidenor </w:t>
            </w:r>
            <w:proofErr w:type="spellStart"/>
            <w:r w:rsidRPr="00561A62">
              <w:rPr>
                <w:rFonts w:eastAsia="Times New Roman" w:cs="Calibri"/>
                <w:color w:val="000000"/>
                <w:sz w:val="16"/>
                <w:szCs w:val="16"/>
              </w:rPr>
              <w:t>Forgings&amp;Castings</w:t>
            </w:r>
            <w:proofErr w:type="spellEnd"/>
            <w:r w:rsidRPr="00561A62">
              <w:rPr>
                <w:rFonts w:eastAsia="Times New Roman" w:cs="Calibri"/>
                <w:color w:val="000000"/>
                <w:sz w:val="16"/>
                <w:szCs w:val="16"/>
              </w:rPr>
              <w:t xml:space="preserve"> SLU</w:t>
            </w:r>
          </w:p>
        </w:tc>
        <w:tc>
          <w:tcPr>
            <w:tcW w:w="1276" w:type="dxa"/>
            <w:noWrap/>
            <w:hideMark/>
          </w:tcPr>
          <w:p w14:paraId="116973F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20,9</w:t>
            </w:r>
          </w:p>
        </w:tc>
        <w:tc>
          <w:tcPr>
            <w:tcW w:w="1701" w:type="dxa"/>
            <w:noWrap/>
            <w:hideMark/>
          </w:tcPr>
          <w:p w14:paraId="159335B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B802C3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11</w:t>
            </w:r>
          </w:p>
        </w:tc>
        <w:tc>
          <w:tcPr>
            <w:tcW w:w="1559" w:type="dxa"/>
            <w:noWrap/>
            <w:hideMark/>
          </w:tcPr>
          <w:p w14:paraId="0F2CC3B9"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35D5B3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E4386CC"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1F5C5F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Energía Sur de Europa SL</w:t>
            </w:r>
          </w:p>
        </w:tc>
        <w:tc>
          <w:tcPr>
            <w:tcW w:w="1276" w:type="dxa"/>
            <w:noWrap/>
            <w:hideMark/>
          </w:tcPr>
          <w:p w14:paraId="0CB7A5C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19,8</w:t>
            </w:r>
          </w:p>
        </w:tc>
        <w:tc>
          <w:tcPr>
            <w:tcW w:w="1701" w:type="dxa"/>
            <w:noWrap/>
            <w:hideMark/>
          </w:tcPr>
          <w:p w14:paraId="7C5F034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40E9C8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11</w:t>
            </w:r>
          </w:p>
        </w:tc>
        <w:tc>
          <w:tcPr>
            <w:tcW w:w="1559" w:type="dxa"/>
            <w:noWrap/>
            <w:hideMark/>
          </w:tcPr>
          <w:p w14:paraId="1F97D51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ED78CD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13711F30"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F9726C4"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Confederación Española de Asociaciones de Jóvenes Empresarios (CEAJE)</w:t>
            </w:r>
          </w:p>
        </w:tc>
        <w:tc>
          <w:tcPr>
            <w:tcW w:w="1276" w:type="dxa"/>
            <w:noWrap/>
            <w:hideMark/>
          </w:tcPr>
          <w:p w14:paraId="34B6DAD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19,2</w:t>
            </w:r>
          </w:p>
        </w:tc>
        <w:tc>
          <w:tcPr>
            <w:tcW w:w="4961" w:type="dxa"/>
            <w:gridSpan w:val="3"/>
            <w:noWrap/>
            <w:hideMark/>
          </w:tcPr>
          <w:p w14:paraId="65F60EF8"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2BA92805"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24D0DDA0"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5C61FF8"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Fundación para las Tecnologías Auxiliares de la Agricultura (Fundación </w:t>
            </w:r>
            <w:proofErr w:type="spellStart"/>
            <w:r w:rsidRPr="00561A62">
              <w:rPr>
                <w:rFonts w:eastAsia="Times New Roman" w:cs="Calibri"/>
                <w:color w:val="000000"/>
                <w:sz w:val="16"/>
                <w:szCs w:val="16"/>
              </w:rPr>
              <w:t>Tecnova</w:t>
            </w:r>
            <w:proofErr w:type="spellEnd"/>
            <w:r w:rsidRPr="00561A62">
              <w:rPr>
                <w:rFonts w:eastAsia="Times New Roman" w:cs="Calibri"/>
                <w:color w:val="000000"/>
                <w:sz w:val="16"/>
                <w:szCs w:val="16"/>
              </w:rPr>
              <w:t>)</w:t>
            </w:r>
          </w:p>
        </w:tc>
        <w:tc>
          <w:tcPr>
            <w:tcW w:w="1276" w:type="dxa"/>
            <w:noWrap/>
            <w:hideMark/>
          </w:tcPr>
          <w:p w14:paraId="4CC55B6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18,4</w:t>
            </w:r>
          </w:p>
        </w:tc>
        <w:tc>
          <w:tcPr>
            <w:tcW w:w="4961" w:type="dxa"/>
            <w:gridSpan w:val="3"/>
            <w:noWrap/>
            <w:hideMark/>
          </w:tcPr>
          <w:p w14:paraId="4A4FCD31"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727F9DAD"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82DBE7A"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BD30CA0"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WAMOS</w:t>
            </w:r>
          </w:p>
        </w:tc>
        <w:tc>
          <w:tcPr>
            <w:tcW w:w="1276" w:type="dxa"/>
            <w:noWrap/>
            <w:hideMark/>
          </w:tcPr>
          <w:p w14:paraId="6A985D9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17,6</w:t>
            </w:r>
          </w:p>
        </w:tc>
        <w:tc>
          <w:tcPr>
            <w:tcW w:w="1701" w:type="dxa"/>
            <w:noWrap/>
            <w:hideMark/>
          </w:tcPr>
          <w:p w14:paraId="724B79A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486783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12</w:t>
            </w:r>
          </w:p>
        </w:tc>
        <w:tc>
          <w:tcPr>
            <w:tcW w:w="1559" w:type="dxa"/>
            <w:noWrap/>
            <w:hideMark/>
          </w:tcPr>
          <w:p w14:paraId="45BEEF0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8E5EFC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911695A"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DF125D6"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HOTUSA</w:t>
            </w:r>
          </w:p>
        </w:tc>
        <w:tc>
          <w:tcPr>
            <w:tcW w:w="1276" w:type="dxa"/>
            <w:noWrap/>
            <w:hideMark/>
          </w:tcPr>
          <w:p w14:paraId="3745629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7BE3877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2D0561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6D8482C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0F9B04B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BD8B081"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C037F5B"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Barna Steel</w:t>
            </w:r>
          </w:p>
        </w:tc>
        <w:tc>
          <w:tcPr>
            <w:tcW w:w="1276" w:type="dxa"/>
            <w:noWrap/>
            <w:hideMark/>
          </w:tcPr>
          <w:p w14:paraId="6D39A1D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5702C8D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0E0A79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658B305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7CB431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2C3D43AE"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2F809BA"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Losan</w:t>
            </w:r>
          </w:p>
        </w:tc>
        <w:tc>
          <w:tcPr>
            <w:tcW w:w="1276" w:type="dxa"/>
            <w:noWrap/>
            <w:hideMark/>
          </w:tcPr>
          <w:p w14:paraId="0099D54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2897BAD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FE6D35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35467B1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BEE339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6057FA2C"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55A236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IMASA</w:t>
            </w:r>
          </w:p>
        </w:tc>
        <w:tc>
          <w:tcPr>
            <w:tcW w:w="1276" w:type="dxa"/>
            <w:noWrap/>
            <w:hideMark/>
          </w:tcPr>
          <w:p w14:paraId="2E0C30C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24B83BC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-13,2</w:t>
            </w:r>
          </w:p>
        </w:tc>
        <w:tc>
          <w:tcPr>
            <w:tcW w:w="1701" w:type="dxa"/>
            <w:noWrap/>
            <w:hideMark/>
          </w:tcPr>
          <w:p w14:paraId="4AD91F7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11</w:t>
            </w:r>
          </w:p>
        </w:tc>
        <w:tc>
          <w:tcPr>
            <w:tcW w:w="1559" w:type="dxa"/>
            <w:noWrap/>
            <w:hideMark/>
          </w:tcPr>
          <w:p w14:paraId="06984B6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B928DD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1C2EC052"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A254300"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Plus ultra</w:t>
            </w:r>
          </w:p>
        </w:tc>
        <w:tc>
          <w:tcPr>
            <w:tcW w:w="1276" w:type="dxa"/>
            <w:noWrap/>
            <w:hideMark/>
          </w:tcPr>
          <w:p w14:paraId="728828B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6C9007B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C85F4A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6A0711B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C3F871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708E759E"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894D564"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Rugui</w:t>
            </w:r>
            <w:proofErr w:type="spellEnd"/>
            <w:r w:rsidRPr="00561A62">
              <w:rPr>
                <w:rFonts w:eastAsia="Times New Roman" w:cs="Calibri"/>
                <w:color w:val="000000"/>
                <w:sz w:val="16"/>
                <w:szCs w:val="16"/>
              </w:rPr>
              <w:t xml:space="preserve"> Steel SL</w:t>
            </w:r>
          </w:p>
        </w:tc>
        <w:tc>
          <w:tcPr>
            <w:tcW w:w="1276" w:type="dxa"/>
            <w:noWrap/>
            <w:hideMark/>
          </w:tcPr>
          <w:p w14:paraId="10CB41B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60A58C0E"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9FAEF3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3AB8140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2E544D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1EE48082"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443313A"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Mediterránea de Catering SL</w:t>
            </w:r>
          </w:p>
        </w:tc>
        <w:tc>
          <w:tcPr>
            <w:tcW w:w="1276" w:type="dxa"/>
            <w:noWrap/>
            <w:hideMark/>
          </w:tcPr>
          <w:p w14:paraId="40C4373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42880FB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8CF3F7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41C362B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FB0060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7782FAA"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F22AACE"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Volotea</w:t>
            </w:r>
            <w:proofErr w:type="spellEnd"/>
            <w:r w:rsidRPr="00561A62">
              <w:rPr>
                <w:rFonts w:eastAsia="Times New Roman" w:cs="Calibri"/>
                <w:color w:val="000000"/>
                <w:sz w:val="16"/>
                <w:szCs w:val="16"/>
              </w:rPr>
              <w:t xml:space="preserve"> SL</w:t>
            </w:r>
          </w:p>
        </w:tc>
        <w:tc>
          <w:tcPr>
            <w:tcW w:w="1276" w:type="dxa"/>
            <w:noWrap/>
            <w:hideMark/>
          </w:tcPr>
          <w:p w14:paraId="2FFF87C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14,3</w:t>
            </w:r>
          </w:p>
        </w:tc>
        <w:tc>
          <w:tcPr>
            <w:tcW w:w="1701" w:type="dxa"/>
            <w:noWrap/>
            <w:hideMark/>
          </w:tcPr>
          <w:p w14:paraId="790919E2"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D32FA92"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57C39C7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06564A9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20307951"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8C95810"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Federación Católica Española de Servicios a la Juventud Femenina</w:t>
            </w:r>
          </w:p>
        </w:tc>
        <w:tc>
          <w:tcPr>
            <w:tcW w:w="1276" w:type="dxa"/>
            <w:noWrap/>
            <w:hideMark/>
          </w:tcPr>
          <w:p w14:paraId="7F44265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14,2</w:t>
            </w:r>
          </w:p>
        </w:tc>
        <w:tc>
          <w:tcPr>
            <w:tcW w:w="1701" w:type="dxa"/>
            <w:noWrap/>
            <w:hideMark/>
          </w:tcPr>
          <w:p w14:paraId="747FD13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6689FD5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56C84AF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CF0E28F"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463CCA67"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EAAEB71"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Biolvegas</w:t>
            </w:r>
            <w:proofErr w:type="spellEnd"/>
            <w:r w:rsidRPr="00561A62">
              <w:rPr>
                <w:rFonts w:eastAsia="Times New Roman" w:cs="Calibri"/>
                <w:color w:val="000000"/>
                <w:sz w:val="16"/>
                <w:szCs w:val="16"/>
              </w:rPr>
              <w:t xml:space="preserve"> SL</w:t>
            </w:r>
          </w:p>
        </w:tc>
        <w:tc>
          <w:tcPr>
            <w:tcW w:w="1276" w:type="dxa"/>
            <w:noWrap/>
            <w:hideMark/>
          </w:tcPr>
          <w:p w14:paraId="7E17582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13,2</w:t>
            </w:r>
          </w:p>
        </w:tc>
        <w:tc>
          <w:tcPr>
            <w:tcW w:w="1701" w:type="dxa"/>
            <w:noWrap/>
            <w:hideMark/>
          </w:tcPr>
          <w:p w14:paraId="609D544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6,6</w:t>
            </w:r>
          </w:p>
        </w:tc>
        <w:tc>
          <w:tcPr>
            <w:tcW w:w="1701" w:type="dxa"/>
            <w:noWrap/>
            <w:hideMark/>
          </w:tcPr>
          <w:p w14:paraId="0EB7746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2EFA2F66"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w:t>
            </w:r>
          </w:p>
        </w:tc>
        <w:tc>
          <w:tcPr>
            <w:tcW w:w="1701" w:type="dxa"/>
            <w:noWrap/>
            <w:hideMark/>
          </w:tcPr>
          <w:p w14:paraId="4EF91F9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79BB418F"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52DAB42"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ABBA hoteles</w:t>
            </w:r>
          </w:p>
        </w:tc>
        <w:tc>
          <w:tcPr>
            <w:tcW w:w="1276" w:type="dxa"/>
            <w:noWrap/>
            <w:hideMark/>
          </w:tcPr>
          <w:p w14:paraId="640FD4A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7,7</w:t>
            </w:r>
          </w:p>
        </w:tc>
        <w:tc>
          <w:tcPr>
            <w:tcW w:w="1701" w:type="dxa"/>
            <w:noWrap/>
            <w:hideMark/>
          </w:tcPr>
          <w:p w14:paraId="4E5DBDB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D4323E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13C4AD9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B43F92E"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09B6FED0"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FCF01DD"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Tenedora de valores Océano Pacífico</w:t>
            </w:r>
          </w:p>
        </w:tc>
        <w:tc>
          <w:tcPr>
            <w:tcW w:w="1276" w:type="dxa"/>
            <w:noWrap/>
            <w:hideMark/>
          </w:tcPr>
          <w:p w14:paraId="638738F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7,7</w:t>
            </w:r>
          </w:p>
        </w:tc>
        <w:tc>
          <w:tcPr>
            <w:tcW w:w="1701" w:type="dxa"/>
            <w:noWrap/>
            <w:hideMark/>
          </w:tcPr>
          <w:p w14:paraId="55A0AEE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0637C1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539D18F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CD45B14"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4F9F3852"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C5A1E4B"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EURODIVISAS</w:t>
            </w:r>
          </w:p>
        </w:tc>
        <w:tc>
          <w:tcPr>
            <w:tcW w:w="1276" w:type="dxa"/>
            <w:noWrap/>
            <w:hideMark/>
          </w:tcPr>
          <w:p w14:paraId="38490DF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65A8C99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749928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7C87DAA6"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02DC11B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3A734877"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A408227" w14:textId="77777777" w:rsidR="005E34BF" w:rsidRPr="00561A62" w:rsidRDefault="005E34BF" w:rsidP="00D14AAB">
            <w:pPr>
              <w:rPr>
                <w:rFonts w:eastAsia="Times New Roman" w:cs="Calibri"/>
                <w:sz w:val="16"/>
                <w:szCs w:val="16"/>
              </w:rPr>
            </w:pPr>
            <w:r w:rsidRPr="00561A62">
              <w:rPr>
                <w:rFonts w:eastAsia="Times New Roman" w:cs="Calibri"/>
                <w:sz w:val="16"/>
                <w:szCs w:val="16"/>
              </w:rPr>
              <w:t>Blue Sea</w:t>
            </w:r>
          </w:p>
        </w:tc>
        <w:tc>
          <w:tcPr>
            <w:tcW w:w="1276" w:type="dxa"/>
            <w:noWrap/>
            <w:hideMark/>
          </w:tcPr>
          <w:p w14:paraId="07CDCCE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7D3AF01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918ABD1"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228463A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BEF67F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66C20F5D"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3AFD4BE"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Unión Empresas Abades</w:t>
            </w:r>
          </w:p>
        </w:tc>
        <w:tc>
          <w:tcPr>
            <w:tcW w:w="1276" w:type="dxa"/>
            <w:noWrap/>
            <w:hideMark/>
          </w:tcPr>
          <w:p w14:paraId="3B81833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7293E178"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E3DA88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0E77780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8433E84"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04AEE135"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DD45294"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Julia Internacional SL</w:t>
            </w:r>
          </w:p>
        </w:tc>
        <w:tc>
          <w:tcPr>
            <w:tcW w:w="1276" w:type="dxa"/>
            <w:noWrap/>
            <w:hideMark/>
          </w:tcPr>
          <w:p w14:paraId="1570D1E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24317877"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8E7362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7914AC6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292828B8"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5C66607F"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40250DF"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Meeting Point </w:t>
            </w:r>
            <w:proofErr w:type="spellStart"/>
            <w:r w:rsidRPr="00561A62">
              <w:rPr>
                <w:rFonts w:eastAsia="Times New Roman" w:cs="Calibri"/>
                <w:color w:val="000000"/>
                <w:sz w:val="16"/>
                <w:szCs w:val="16"/>
              </w:rPr>
              <w:t>Spain</w:t>
            </w:r>
            <w:proofErr w:type="spellEnd"/>
            <w:r w:rsidRPr="00561A62">
              <w:rPr>
                <w:rFonts w:eastAsia="Times New Roman" w:cs="Calibri"/>
                <w:color w:val="000000"/>
                <w:sz w:val="16"/>
                <w:szCs w:val="16"/>
              </w:rPr>
              <w:t xml:space="preserve"> SLU</w:t>
            </w:r>
          </w:p>
        </w:tc>
        <w:tc>
          <w:tcPr>
            <w:tcW w:w="1276" w:type="dxa"/>
            <w:noWrap/>
            <w:hideMark/>
          </w:tcPr>
          <w:p w14:paraId="27E551B5"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237C464D"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71A1BEA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13</w:t>
            </w:r>
          </w:p>
        </w:tc>
        <w:tc>
          <w:tcPr>
            <w:tcW w:w="1559" w:type="dxa"/>
            <w:noWrap/>
            <w:hideMark/>
          </w:tcPr>
          <w:p w14:paraId="651B0B5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98EF553"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449E4D44"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E90BED4"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 xml:space="preserve">Air </w:t>
            </w:r>
            <w:proofErr w:type="spellStart"/>
            <w:r w:rsidRPr="00561A62">
              <w:rPr>
                <w:rFonts w:eastAsia="Times New Roman" w:cs="Calibri"/>
                <w:color w:val="000000"/>
                <w:sz w:val="16"/>
                <w:szCs w:val="16"/>
              </w:rPr>
              <w:t>Investment</w:t>
            </w:r>
            <w:proofErr w:type="spellEnd"/>
            <w:r w:rsidRPr="00561A62">
              <w:rPr>
                <w:rFonts w:eastAsia="Times New Roman" w:cs="Calibri"/>
                <w:color w:val="000000"/>
                <w:sz w:val="16"/>
                <w:szCs w:val="16"/>
              </w:rPr>
              <w:t xml:space="preserve"> Valencia SL (Air Nostrum)</w:t>
            </w:r>
          </w:p>
        </w:tc>
        <w:tc>
          <w:tcPr>
            <w:tcW w:w="1276" w:type="dxa"/>
            <w:noWrap/>
            <w:hideMark/>
          </w:tcPr>
          <w:p w14:paraId="71F5AAE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78AB0CC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5152D0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286DCC4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1741712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33F41560"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80705B8"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Envirohemp</w:t>
            </w:r>
            <w:proofErr w:type="spellEnd"/>
            <w:r w:rsidRPr="00561A62">
              <w:rPr>
                <w:rFonts w:eastAsia="Times New Roman" w:cs="Calibri"/>
                <w:color w:val="000000"/>
                <w:sz w:val="16"/>
                <w:szCs w:val="16"/>
              </w:rPr>
              <w:t xml:space="preserve"> SL</w:t>
            </w:r>
          </w:p>
        </w:tc>
        <w:tc>
          <w:tcPr>
            <w:tcW w:w="1276" w:type="dxa"/>
            <w:noWrap/>
            <w:hideMark/>
          </w:tcPr>
          <w:p w14:paraId="1073196C"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2AA2F2D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484AFB32"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7F9385E0"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983E4F9"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094989F6"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5E4D373"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lastRenderedPageBreak/>
              <w:t>Organización de Productores de Mejillón de Galicia</w:t>
            </w:r>
          </w:p>
        </w:tc>
        <w:tc>
          <w:tcPr>
            <w:tcW w:w="1276" w:type="dxa"/>
            <w:noWrap/>
            <w:hideMark/>
          </w:tcPr>
          <w:p w14:paraId="2690B8D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1701" w:type="dxa"/>
            <w:noWrap/>
            <w:hideMark/>
          </w:tcPr>
          <w:p w14:paraId="1911118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EDA9C65"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14</w:t>
            </w:r>
          </w:p>
        </w:tc>
        <w:tc>
          <w:tcPr>
            <w:tcW w:w="1559" w:type="dxa"/>
            <w:noWrap/>
            <w:hideMark/>
          </w:tcPr>
          <w:p w14:paraId="63AEB08C"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FB7CD3E"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58D33F55"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53E4BF3"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Torraspapel</w:t>
            </w:r>
            <w:proofErr w:type="spellEnd"/>
            <w:r w:rsidRPr="00561A62">
              <w:rPr>
                <w:rFonts w:eastAsia="Times New Roman" w:cs="Calibri"/>
                <w:color w:val="000000"/>
                <w:sz w:val="16"/>
                <w:szCs w:val="16"/>
              </w:rPr>
              <w:t>, S.A.</w:t>
            </w:r>
          </w:p>
        </w:tc>
        <w:tc>
          <w:tcPr>
            <w:tcW w:w="1276" w:type="dxa"/>
            <w:noWrap/>
            <w:hideMark/>
          </w:tcPr>
          <w:p w14:paraId="21F4A237"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4961" w:type="dxa"/>
            <w:gridSpan w:val="3"/>
            <w:noWrap/>
            <w:hideMark/>
          </w:tcPr>
          <w:p w14:paraId="40FFD1E6"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31244E0E"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4D791064"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B318E53" w14:textId="77777777" w:rsidR="005E34BF" w:rsidRPr="00561A62" w:rsidRDefault="005E34BF" w:rsidP="00D14AAB">
            <w:pPr>
              <w:rPr>
                <w:rFonts w:eastAsia="Times New Roman" w:cs="Calibri"/>
                <w:color w:val="000000"/>
                <w:sz w:val="16"/>
                <w:szCs w:val="16"/>
              </w:rPr>
            </w:pPr>
            <w:r w:rsidRPr="00561A62">
              <w:rPr>
                <w:rFonts w:eastAsia="Times New Roman" w:cs="Calibri"/>
                <w:color w:val="000000"/>
                <w:sz w:val="16"/>
                <w:szCs w:val="16"/>
              </w:rPr>
              <w:t>Solidaridad y Trabajo Virgen del Camino, S.L.</w:t>
            </w:r>
          </w:p>
        </w:tc>
        <w:tc>
          <w:tcPr>
            <w:tcW w:w="1276" w:type="dxa"/>
            <w:noWrap/>
            <w:hideMark/>
          </w:tcPr>
          <w:p w14:paraId="772DD5F3"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4961" w:type="dxa"/>
            <w:gridSpan w:val="3"/>
            <w:noWrap/>
            <w:hideMark/>
          </w:tcPr>
          <w:p w14:paraId="3475B647"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22DE83F5" w14:textId="77777777" w:rsidR="005E34BF" w:rsidRPr="00561A62" w:rsidRDefault="005E34BF" w:rsidP="00D14AA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7790AA67"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876A39F"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Ribercamp</w:t>
            </w:r>
            <w:proofErr w:type="spellEnd"/>
            <w:r w:rsidRPr="00561A62">
              <w:rPr>
                <w:rFonts w:eastAsia="Times New Roman" w:cs="Calibri"/>
                <w:color w:val="000000"/>
                <w:sz w:val="16"/>
                <w:szCs w:val="16"/>
              </w:rPr>
              <w:t xml:space="preserve">, Cooperativa </w:t>
            </w:r>
          </w:p>
        </w:tc>
        <w:tc>
          <w:tcPr>
            <w:tcW w:w="1276" w:type="dxa"/>
            <w:noWrap/>
            <w:hideMark/>
          </w:tcPr>
          <w:p w14:paraId="3A6FD5B1"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6,6</w:t>
            </w:r>
          </w:p>
        </w:tc>
        <w:tc>
          <w:tcPr>
            <w:tcW w:w="4961" w:type="dxa"/>
            <w:gridSpan w:val="3"/>
            <w:noWrap/>
            <w:hideMark/>
          </w:tcPr>
          <w:p w14:paraId="6F65B35A"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2B9E6B8C"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5E34BF" w:rsidRPr="00561A62" w14:paraId="09F7EB71" w14:textId="77777777" w:rsidTr="00D14AA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3E63BBD"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Logroza</w:t>
            </w:r>
            <w:proofErr w:type="spellEnd"/>
            <w:r w:rsidRPr="00561A62">
              <w:rPr>
                <w:rFonts w:eastAsia="Times New Roman" w:cs="Calibri"/>
                <w:color w:val="000000"/>
                <w:sz w:val="16"/>
                <w:szCs w:val="16"/>
              </w:rPr>
              <w:t xml:space="preserve"> SL</w:t>
            </w:r>
          </w:p>
        </w:tc>
        <w:tc>
          <w:tcPr>
            <w:tcW w:w="1276" w:type="dxa"/>
            <w:noWrap/>
            <w:hideMark/>
          </w:tcPr>
          <w:p w14:paraId="328E8120"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0</w:t>
            </w:r>
          </w:p>
        </w:tc>
        <w:tc>
          <w:tcPr>
            <w:tcW w:w="1701" w:type="dxa"/>
            <w:noWrap/>
            <w:hideMark/>
          </w:tcPr>
          <w:p w14:paraId="1FFC7CB2"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34488ADD"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15</w:t>
            </w:r>
          </w:p>
        </w:tc>
        <w:tc>
          <w:tcPr>
            <w:tcW w:w="1559" w:type="dxa"/>
            <w:noWrap/>
            <w:hideMark/>
          </w:tcPr>
          <w:p w14:paraId="5E03FDBA"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0</w:t>
            </w:r>
          </w:p>
        </w:tc>
        <w:tc>
          <w:tcPr>
            <w:tcW w:w="1701" w:type="dxa"/>
            <w:noWrap/>
            <w:hideMark/>
          </w:tcPr>
          <w:p w14:paraId="5A29A04F" w14:textId="77777777" w:rsidR="005E34BF" w:rsidRPr="00561A62" w:rsidRDefault="005E34BF" w:rsidP="00D14AA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E34BF" w:rsidRPr="00561A62" w14:paraId="6421302C" w14:textId="77777777" w:rsidTr="00D14A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7100161" w14:textId="77777777" w:rsidR="005E34BF" w:rsidRPr="00561A62" w:rsidRDefault="005E34BF" w:rsidP="00D14AAB">
            <w:pPr>
              <w:rPr>
                <w:rFonts w:eastAsia="Times New Roman" w:cs="Calibri"/>
                <w:color w:val="000000"/>
                <w:sz w:val="16"/>
                <w:szCs w:val="16"/>
              </w:rPr>
            </w:pPr>
            <w:proofErr w:type="spellStart"/>
            <w:r w:rsidRPr="00561A62">
              <w:rPr>
                <w:rFonts w:eastAsia="Times New Roman" w:cs="Calibri"/>
                <w:color w:val="000000"/>
                <w:sz w:val="16"/>
                <w:szCs w:val="16"/>
              </w:rPr>
              <w:t>Avateltelecom</w:t>
            </w:r>
            <w:proofErr w:type="spellEnd"/>
            <w:r w:rsidRPr="00561A62">
              <w:rPr>
                <w:rFonts w:eastAsia="Times New Roman" w:cs="Calibri"/>
                <w:color w:val="000000"/>
                <w:sz w:val="16"/>
                <w:szCs w:val="16"/>
              </w:rPr>
              <w:t>, S.A.</w:t>
            </w:r>
          </w:p>
        </w:tc>
        <w:tc>
          <w:tcPr>
            <w:tcW w:w="1276" w:type="dxa"/>
            <w:noWrap/>
            <w:hideMark/>
          </w:tcPr>
          <w:p w14:paraId="0C11A9FA" w14:textId="77777777" w:rsidR="005E34BF" w:rsidRPr="00561A62" w:rsidRDefault="005E34BF" w:rsidP="00D14AAB">
            <w:pPr>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rPr>
            </w:pPr>
            <w:r w:rsidRPr="00561A62">
              <w:rPr>
                <w:rFonts w:eastAsia="Times New Roman" w:cs="Calibri"/>
                <w:sz w:val="16"/>
                <w:szCs w:val="16"/>
              </w:rPr>
              <w:t>0</w:t>
            </w:r>
          </w:p>
        </w:tc>
        <w:tc>
          <w:tcPr>
            <w:tcW w:w="4961" w:type="dxa"/>
            <w:gridSpan w:val="3"/>
            <w:noWrap/>
            <w:hideMark/>
          </w:tcPr>
          <w:p w14:paraId="1CB29717"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561A62">
              <w:rPr>
                <w:rFonts w:eastAsia="Times New Roman" w:cs="Calibri"/>
                <w:color w:val="000000"/>
                <w:sz w:val="16"/>
                <w:szCs w:val="16"/>
              </w:rPr>
              <w:t>Primera evaluación en 2024</w:t>
            </w:r>
          </w:p>
        </w:tc>
        <w:tc>
          <w:tcPr>
            <w:tcW w:w="1701" w:type="dxa"/>
            <w:noWrap/>
            <w:hideMark/>
          </w:tcPr>
          <w:p w14:paraId="0A5B1AD6" w14:textId="77777777" w:rsidR="005E34BF" w:rsidRPr="00561A62" w:rsidRDefault="005E34BF" w:rsidP="00D14AA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bl>
    <w:p w14:paraId="40DD9BBC" w14:textId="77777777" w:rsidR="00C27BA6" w:rsidRDefault="00C27BA6" w:rsidP="00EF7F60">
      <w:pPr>
        <w:spacing w:after="0"/>
        <w:jc w:val="both"/>
        <w:rPr>
          <w:rFonts w:ascii="Mulish" w:eastAsia="Mulish" w:hAnsi="Mulish" w:cs="Mulish"/>
          <w:b/>
          <w:bCs/>
          <w:color w:val="00806F" w:themeColor="text2"/>
          <w:lang w:eastAsia="es-ES" w:bidi="es-ES"/>
        </w:rPr>
      </w:pPr>
    </w:p>
    <w:p w14:paraId="20901A9F" w14:textId="560CB737" w:rsidR="003C3727" w:rsidRDefault="003C3727" w:rsidP="00EF7F60">
      <w:pPr>
        <w:spacing w:after="0"/>
        <w:jc w:val="both"/>
        <w:rPr>
          <w:rFonts w:ascii="Mulish" w:eastAsia="Mulish" w:hAnsi="Mulish" w:cs="Mulish"/>
          <w:b/>
          <w:bCs/>
          <w:color w:val="0C0C0C" w:themeColor="text1"/>
          <w:lang w:eastAsia="es-ES" w:bidi="es-ES"/>
        </w:rPr>
      </w:pPr>
      <w:r w:rsidRPr="005E34BF">
        <w:rPr>
          <w:rFonts w:ascii="Mulish" w:eastAsia="Mulish" w:hAnsi="Mulish" w:cs="Mulish"/>
          <w:b/>
          <w:bCs/>
          <w:color w:val="00806F" w:themeColor="text2"/>
          <w:lang w:eastAsia="es-ES" w:bidi="es-ES"/>
        </w:rPr>
        <w:t xml:space="preserve">La evaluación del cumplimiento de la Ley de transparencia, un mandato legal </w:t>
      </w:r>
    </w:p>
    <w:p w14:paraId="19B05A43" w14:textId="77777777" w:rsidR="00EF7F60" w:rsidRPr="00EF7F60" w:rsidRDefault="00EF7F60" w:rsidP="00EF7F60">
      <w:pPr>
        <w:spacing w:after="0"/>
        <w:jc w:val="both"/>
        <w:rPr>
          <w:rFonts w:ascii="Mulish" w:eastAsia="Mulish" w:hAnsi="Mulish" w:cs="Mulish"/>
          <w:b/>
          <w:bCs/>
          <w:color w:val="0C0C0C" w:themeColor="text1"/>
          <w:lang w:eastAsia="es-ES" w:bidi="es-ES"/>
        </w:rPr>
      </w:pPr>
    </w:p>
    <w:p w14:paraId="429AF2B4" w14:textId="767324A7" w:rsidR="003C3727" w:rsidRPr="00EF7F60" w:rsidRDefault="003C3727" w:rsidP="003C3727">
      <w:pPr>
        <w:jc w:val="both"/>
        <w:rPr>
          <w:rFonts w:ascii="Mulish" w:hAnsi="Mulish"/>
          <w:sz w:val="20"/>
          <w:szCs w:val="20"/>
        </w:rPr>
      </w:pPr>
      <w:bookmarkStart w:id="0" w:name="_Hlk157589216"/>
      <w:r w:rsidRPr="00EF7F60">
        <w:rPr>
          <w:rFonts w:ascii="Mulish" w:hAnsi="Mulish"/>
          <w:sz w:val="20"/>
          <w:szCs w:val="20"/>
        </w:rPr>
        <w:t xml:space="preserve">El artículo </w:t>
      </w:r>
      <w:hyperlink r:id="rId10" w:anchor="a38" w:history="1">
        <w:r w:rsidRPr="00EF7F60">
          <w:rPr>
            <w:rStyle w:val="Hipervnculo"/>
            <w:rFonts w:ascii="Mulish" w:hAnsi="Mulish"/>
            <w:sz w:val="20"/>
            <w:szCs w:val="20"/>
          </w:rPr>
          <w:t>38 de la Ley 19/2013, de 9 de diciembre, de transparencia, acceso a la información pública y buen Gobierno</w:t>
        </w:r>
      </w:hyperlink>
      <w:r w:rsidRPr="00EF7F60">
        <w:rPr>
          <w:rFonts w:ascii="Mulish" w:hAnsi="Mulish"/>
          <w:sz w:val="20"/>
          <w:szCs w:val="20"/>
        </w:rPr>
        <w:t xml:space="preserve"> (LTAIGB) encomienda al </w:t>
      </w:r>
      <w:r w:rsidR="0077727F">
        <w:rPr>
          <w:rFonts w:ascii="Mulish" w:hAnsi="Mulish"/>
          <w:sz w:val="20"/>
          <w:szCs w:val="20"/>
        </w:rPr>
        <w:t>CTBG</w:t>
      </w:r>
      <w:r w:rsidRPr="00EF7F60">
        <w:rPr>
          <w:rFonts w:ascii="Mulish" w:hAnsi="Mulish"/>
          <w:sz w:val="20"/>
          <w:szCs w:val="20"/>
        </w:rPr>
        <w:t xml:space="preserve">, entre otras funciones, la de evaluar el grado de aplicación de la ley por los diferentes sujetos obligados, elaborando anualmente una memoria en la que se incluirá información sobre el cumplimiento de las obligaciones previstas y que será presentada ante las Cortes Generales. </w:t>
      </w:r>
    </w:p>
    <w:p w14:paraId="224DB9CB" w14:textId="03A1B4EC" w:rsidR="003C3727" w:rsidRDefault="003C3727" w:rsidP="003C3727">
      <w:pPr>
        <w:jc w:val="both"/>
        <w:rPr>
          <w:rFonts w:ascii="Mulish" w:hAnsi="Mulish"/>
          <w:sz w:val="20"/>
          <w:szCs w:val="20"/>
        </w:rPr>
      </w:pPr>
      <w:r w:rsidRPr="00EF7F60">
        <w:rPr>
          <w:rFonts w:ascii="Mulish" w:hAnsi="Mulish"/>
          <w:sz w:val="20"/>
          <w:szCs w:val="20"/>
        </w:rPr>
        <w:t xml:space="preserve">Para ello, </w:t>
      </w:r>
      <w:r w:rsidR="0077727F">
        <w:rPr>
          <w:rFonts w:ascii="Mulish" w:hAnsi="Mulish"/>
          <w:sz w:val="20"/>
          <w:szCs w:val="20"/>
        </w:rPr>
        <w:t>el Consejo</w:t>
      </w:r>
      <w:r w:rsidRPr="00EF7F60">
        <w:rPr>
          <w:rFonts w:ascii="Mulish" w:hAnsi="Mulish"/>
          <w:sz w:val="20"/>
          <w:szCs w:val="20"/>
        </w:rPr>
        <w:t xml:space="preserve"> establece cada año un Plan de Evaluación en el que determina qué entidades serán evaluadas ese ejercicio. </w:t>
      </w:r>
      <w:bookmarkEnd w:id="0"/>
      <w:r w:rsidRPr="00EF7F60">
        <w:rPr>
          <w:rFonts w:ascii="Mulish" w:hAnsi="Mulish"/>
          <w:sz w:val="20"/>
          <w:szCs w:val="20"/>
        </w:rPr>
        <w:t xml:space="preserve">La LTAIBG </w:t>
      </w:r>
      <w:r w:rsidRPr="00EF7F60">
        <w:rPr>
          <w:rFonts w:ascii="Mulish" w:eastAsia="Mulish" w:hAnsi="Mulish" w:cs="Mulish"/>
          <w:color w:val="0C0C0C" w:themeColor="text1"/>
          <w:sz w:val="20"/>
          <w:szCs w:val="20"/>
          <w:lang w:eastAsia="es-ES" w:bidi="es-ES"/>
        </w:rPr>
        <w:t>establece</w:t>
      </w:r>
      <w:r w:rsidRPr="00EF7F60">
        <w:rPr>
          <w:rFonts w:ascii="Mulish" w:hAnsi="Mulish"/>
          <w:sz w:val="20"/>
          <w:szCs w:val="20"/>
        </w:rPr>
        <w:t xml:space="preserve"> diferentes obligaciones de publicidad activa y de gestión del derecho de acceso a la información pública para los distintos sujetos comprendidos en su ámbito de aplicación atendiendo a su naturaleza y tipología, por lo que el Consejo organiza las evaluaciones en torno a siete grupos o categorías:</w:t>
      </w:r>
    </w:p>
    <w:tbl>
      <w:tblPr>
        <w:tblStyle w:val="Tablaconcuadrcula"/>
        <w:tblW w:w="0" w:type="auto"/>
        <w:tblBorders>
          <w:top w:val="single" w:sz="12" w:space="0" w:color="438086"/>
          <w:left w:val="none" w:sz="0" w:space="0" w:color="auto"/>
          <w:bottom w:val="single" w:sz="12" w:space="0" w:color="438086"/>
          <w:right w:val="none" w:sz="0" w:space="0" w:color="auto"/>
          <w:insideH w:val="single" w:sz="8" w:space="0" w:color="438086"/>
          <w:insideV w:val="single" w:sz="8" w:space="0" w:color="438086"/>
        </w:tblBorders>
        <w:tblLook w:val="04A0" w:firstRow="1" w:lastRow="0" w:firstColumn="1" w:lastColumn="0" w:noHBand="0" w:noVBand="1"/>
      </w:tblPr>
      <w:tblGrid>
        <w:gridCol w:w="1794"/>
        <w:gridCol w:w="7276"/>
      </w:tblGrid>
      <w:tr w:rsidR="003C3727" w:rsidRPr="00EF7F60" w14:paraId="184E9B0A" w14:textId="77777777" w:rsidTr="00EF7F60">
        <w:tc>
          <w:tcPr>
            <w:tcW w:w="1794" w:type="dxa"/>
          </w:tcPr>
          <w:p w14:paraId="3C83EBE0"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w:t>
            </w:r>
          </w:p>
        </w:tc>
        <w:tc>
          <w:tcPr>
            <w:tcW w:w="7276" w:type="dxa"/>
          </w:tcPr>
          <w:p w14:paraId="2BFCB23D" w14:textId="77777777" w:rsidR="003C3727" w:rsidRPr="00EF7F60" w:rsidRDefault="003C3727" w:rsidP="00AE1ABE">
            <w:pPr>
              <w:rPr>
                <w:rFonts w:ascii="Mulish" w:hAnsi="Mulish"/>
                <w:sz w:val="20"/>
                <w:szCs w:val="20"/>
              </w:rPr>
            </w:pPr>
            <w:r w:rsidRPr="00EF7F60">
              <w:rPr>
                <w:rFonts w:ascii="Mulish" w:hAnsi="Mulish"/>
                <w:sz w:val="20"/>
                <w:szCs w:val="20"/>
              </w:rPr>
              <w:t xml:space="preserve">Órganos constitucionales y de relevancia constitucional del Estado; Banco de España, Autoridades Administrativas Independientes y organismos con funciones de regulación y supervisión. </w:t>
            </w:r>
          </w:p>
        </w:tc>
      </w:tr>
      <w:tr w:rsidR="003C3727" w:rsidRPr="00EF7F60" w14:paraId="00645087" w14:textId="77777777" w:rsidTr="00EF7F60">
        <w:tc>
          <w:tcPr>
            <w:tcW w:w="1794" w:type="dxa"/>
          </w:tcPr>
          <w:p w14:paraId="1A9E900C"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II</w:t>
            </w:r>
          </w:p>
        </w:tc>
        <w:tc>
          <w:tcPr>
            <w:tcW w:w="7276" w:type="dxa"/>
          </w:tcPr>
          <w:p w14:paraId="5008E5CA" w14:textId="77777777" w:rsidR="003C3727" w:rsidRPr="00EF7F60" w:rsidRDefault="003C3727" w:rsidP="00AE1ABE">
            <w:pPr>
              <w:rPr>
                <w:rFonts w:ascii="Mulish" w:hAnsi="Mulish"/>
                <w:sz w:val="20"/>
                <w:szCs w:val="20"/>
              </w:rPr>
            </w:pPr>
            <w:r w:rsidRPr="00EF7F60">
              <w:rPr>
                <w:rFonts w:ascii="Mulish" w:hAnsi="Mulish"/>
                <w:sz w:val="20"/>
                <w:szCs w:val="20"/>
              </w:rPr>
              <w:t>Administración General del Estado (en adelante AGE).</w:t>
            </w:r>
          </w:p>
        </w:tc>
      </w:tr>
      <w:tr w:rsidR="003C3727" w:rsidRPr="00EF7F60" w14:paraId="0EFBA3EA" w14:textId="77777777" w:rsidTr="00EF7F60">
        <w:tc>
          <w:tcPr>
            <w:tcW w:w="1794" w:type="dxa"/>
          </w:tcPr>
          <w:p w14:paraId="2371EBDD"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III</w:t>
            </w:r>
          </w:p>
        </w:tc>
        <w:tc>
          <w:tcPr>
            <w:tcW w:w="7276" w:type="dxa"/>
          </w:tcPr>
          <w:p w14:paraId="64724631" w14:textId="77777777" w:rsidR="003C3727" w:rsidRPr="00EF7F60" w:rsidRDefault="003C3727" w:rsidP="00AE1ABE">
            <w:pPr>
              <w:rPr>
                <w:rFonts w:ascii="Mulish" w:hAnsi="Mulish"/>
                <w:sz w:val="20"/>
                <w:szCs w:val="20"/>
              </w:rPr>
            </w:pPr>
            <w:r w:rsidRPr="00EF7F60">
              <w:rPr>
                <w:rFonts w:ascii="Mulish" w:hAnsi="Mulish"/>
                <w:sz w:val="20"/>
                <w:szCs w:val="20"/>
              </w:rPr>
              <w:t>Organismos y entidades del sector público institucional.</w:t>
            </w:r>
          </w:p>
        </w:tc>
      </w:tr>
      <w:tr w:rsidR="003C3727" w:rsidRPr="00EF7F60" w14:paraId="35F9555D" w14:textId="77777777" w:rsidTr="00EF7F60">
        <w:tc>
          <w:tcPr>
            <w:tcW w:w="1794" w:type="dxa"/>
          </w:tcPr>
          <w:p w14:paraId="66CC00E0"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IV</w:t>
            </w:r>
          </w:p>
        </w:tc>
        <w:tc>
          <w:tcPr>
            <w:tcW w:w="7276" w:type="dxa"/>
          </w:tcPr>
          <w:p w14:paraId="3B4A8C68" w14:textId="77777777" w:rsidR="003C3727" w:rsidRPr="00EF7F60" w:rsidRDefault="003C3727" w:rsidP="00AE1ABE">
            <w:pPr>
              <w:rPr>
                <w:rFonts w:ascii="Mulish" w:hAnsi="Mulish"/>
                <w:sz w:val="20"/>
                <w:szCs w:val="20"/>
              </w:rPr>
            </w:pPr>
            <w:r w:rsidRPr="00EF7F60">
              <w:rPr>
                <w:rFonts w:ascii="Mulish" w:hAnsi="Mulish"/>
                <w:sz w:val="20"/>
                <w:szCs w:val="20"/>
              </w:rPr>
              <w:t>Corporaciones de Derecho Público.</w:t>
            </w:r>
          </w:p>
        </w:tc>
      </w:tr>
      <w:tr w:rsidR="003C3727" w:rsidRPr="00EF7F60" w14:paraId="1BEDA811" w14:textId="77777777" w:rsidTr="00EF7F60">
        <w:tc>
          <w:tcPr>
            <w:tcW w:w="1794" w:type="dxa"/>
          </w:tcPr>
          <w:p w14:paraId="394C939F"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V</w:t>
            </w:r>
          </w:p>
        </w:tc>
        <w:tc>
          <w:tcPr>
            <w:tcW w:w="7276" w:type="dxa"/>
          </w:tcPr>
          <w:p w14:paraId="49C81580" w14:textId="77777777" w:rsidR="003C3727" w:rsidRPr="00EF7F60" w:rsidRDefault="003C3727" w:rsidP="00AE1ABE">
            <w:pPr>
              <w:rPr>
                <w:rFonts w:ascii="Mulish" w:hAnsi="Mulish"/>
                <w:sz w:val="20"/>
                <w:szCs w:val="20"/>
              </w:rPr>
            </w:pPr>
            <w:r w:rsidRPr="00EF7F60">
              <w:rPr>
                <w:rFonts w:ascii="Mulish" w:hAnsi="Mulish"/>
                <w:sz w:val="20"/>
                <w:szCs w:val="20"/>
              </w:rPr>
              <w:t xml:space="preserve">Comunidades Autónomas (en adelante CCAA). </w:t>
            </w:r>
          </w:p>
        </w:tc>
      </w:tr>
      <w:tr w:rsidR="003C3727" w:rsidRPr="00EF7F60" w14:paraId="7CC12ED9" w14:textId="77777777" w:rsidTr="00EF7F60">
        <w:tc>
          <w:tcPr>
            <w:tcW w:w="1794" w:type="dxa"/>
          </w:tcPr>
          <w:p w14:paraId="0755627B"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VI</w:t>
            </w:r>
          </w:p>
        </w:tc>
        <w:tc>
          <w:tcPr>
            <w:tcW w:w="7276" w:type="dxa"/>
          </w:tcPr>
          <w:p w14:paraId="71AFB50A" w14:textId="77777777" w:rsidR="003C3727" w:rsidRPr="00EF7F60" w:rsidRDefault="003C3727" w:rsidP="00AE1ABE">
            <w:pPr>
              <w:rPr>
                <w:rFonts w:ascii="Mulish" w:hAnsi="Mulish"/>
                <w:sz w:val="20"/>
                <w:szCs w:val="20"/>
              </w:rPr>
            </w:pPr>
            <w:r w:rsidRPr="00EF7F60">
              <w:rPr>
                <w:rFonts w:ascii="Mulish" w:hAnsi="Mulish"/>
                <w:sz w:val="20"/>
                <w:szCs w:val="20"/>
              </w:rPr>
              <w:t>Entidades Locales (en adelante EELL).</w:t>
            </w:r>
          </w:p>
        </w:tc>
      </w:tr>
      <w:tr w:rsidR="003C3727" w:rsidRPr="00EF7F60" w14:paraId="0FBAC8E1" w14:textId="77777777" w:rsidTr="00EF7F60">
        <w:tc>
          <w:tcPr>
            <w:tcW w:w="1794" w:type="dxa"/>
          </w:tcPr>
          <w:p w14:paraId="1A2F4288" w14:textId="77777777" w:rsidR="003C3727" w:rsidRPr="00EF7F60" w:rsidRDefault="003C3727" w:rsidP="00AE1ABE">
            <w:pPr>
              <w:jc w:val="center"/>
              <w:rPr>
                <w:rFonts w:ascii="Mulish" w:hAnsi="Mulish"/>
                <w:b/>
                <w:color w:val="438086"/>
                <w:sz w:val="20"/>
                <w:szCs w:val="20"/>
              </w:rPr>
            </w:pPr>
            <w:r w:rsidRPr="00EF7F60">
              <w:rPr>
                <w:rFonts w:ascii="Mulish" w:hAnsi="Mulish"/>
                <w:b/>
                <w:color w:val="438086"/>
                <w:sz w:val="20"/>
                <w:szCs w:val="20"/>
              </w:rPr>
              <w:t>GRUPO VII</w:t>
            </w:r>
          </w:p>
        </w:tc>
        <w:tc>
          <w:tcPr>
            <w:tcW w:w="7276" w:type="dxa"/>
          </w:tcPr>
          <w:p w14:paraId="22180D16" w14:textId="77777777" w:rsidR="003C3727" w:rsidRPr="00EF7F60" w:rsidRDefault="003C3727" w:rsidP="00AE1ABE">
            <w:pPr>
              <w:rPr>
                <w:rFonts w:ascii="Mulish" w:hAnsi="Mulish"/>
                <w:sz w:val="20"/>
                <w:szCs w:val="20"/>
              </w:rPr>
            </w:pPr>
            <w:r w:rsidRPr="00EF7F60">
              <w:rPr>
                <w:rFonts w:ascii="Mulish" w:hAnsi="Mulish"/>
                <w:sz w:val="20"/>
                <w:szCs w:val="20"/>
              </w:rPr>
              <w:t>Sujetos privados.</w:t>
            </w:r>
          </w:p>
        </w:tc>
      </w:tr>
    </w:tbl>
    <w:p w14:paraId="703DEA84" w14:textId="77777777" w:rsidR="0077727F" w:rsidRDefault="0077727F" w:rsidP="003C3727">
      <w:pPr>
        <w:jc w:val="both"/>
        <w:rPr>
          <w:rFonts w:ascii="Mulish" w:hAnsi="Mulish"/>
          <w:sz w:val="20"/>
          <w:szCs w:val="20"/>
        </w:rPr>
      </w:pPr>
    </w:p>
    <w:p w14:paraId="59649126" w14:textId="51C43BFB" w:rsidR="003C3727" w:rsidRPr="00EF7F60" w:rsidRDefault="003C3727" w:rsidP="003C3727">
      <w:pPr>
        <w:jc w:val="both"/>
        <w:rPr>
          <w:rFonts w:ascii="Mulish" w:hAnsi="Mulish"/>
          <w:sz w:val="20"/>
          <w:szCs w:val="20"/>
        </w:rPr>
      </w:pPr>
      <w:r w:rsidRPr="00EF7F60">
        <w:rPr>
          <w:rFonts w:ascii="Mulish" w:hAnsi="Mulish"/>
          <w:sz w:val="20"/>
          <w:szCs w:val="20"/>
        </w:rPr>
        <w:t xml:space="preserve">Con el objetivo de que los resultados de las evaluaciones realizadas estén públicamente disponibles de forma inmediata a su conclusión, desde 2021 el Consejo va publicando los informes en su página web a medida que se van concluyendo las evaluaciones de cada grupo fijadas para cada año, con independencia de que un resumen de la labor evaluación se recopile al cierre del ejercicio en la memoria anual del CTBG. En sus informes, que se publican junto a las observaciones realizadas, en su caso, por las entidades analizadas, el Consejo incorpora recomendaciones e identifica buenas prácticas en transparencia que pueden ser aplicadas por otras entidades. </w:t>
      </w:r>
    </w:p>
    <w:p w14:paraId="2C0904CC" w14:textId="1DD9B0F0" w:rsidR="003C3727" w:rsidRPr="00EF7F60" w:rsidRDefault="003C3727" w:rsidP="003C3727">
      <w:pPr>
        <w:jc w:val="both"/>
        <w:rPr>
          <w:rFonts w:ascii="Mulish" w:hAnsi="Mulish"/>
          <w:sz w:val="20"/>
          <w:szCs w:val="20"/>
        </w:rPr>
      </w:pPr>
      <w:r w:rsidRPr="00EF7F60">
        <w:rPr>
          <w:rFonts w:ascii="Mulish" w:hAnsi="Mulish"/>
          <w:sz w:val="20"/>
          <w:szCs w:val="20"/>
        </w:rPr>
        <w:t xml:space="preserve">El Plan de Evaluación 2024 íntegro y sus anexos, donde se especifica qué entidades concretas </w:t>
      </w:r>
      <w:r w:rsidR="0077727F">
        <w:rPr>
          <w:rFonts w:ascii="Mulish" w:hAnsi="Mulish"/>
          <w:sz w:val="20"/>
          <w:szCs w:val="20"/>
        </w:rPr>
        <w:t xml:space="preserve">van a ser </w:t>
      </w:r>
      <w:r w:rsidR="00EF7F60" w:rsidRPr="00EF7F60">
        <w:rPr>
          <w:rFonts w:ascii="Mulish" w:hAnsi="Mulish"/>
          <w:sz w:val="20"/>
          <w:szCs w:val="20"/>
        </w:rPr>
        <w:t xml:space="preserve">analizadas en este ejercicio </w:t>
      </w:r>
      <w:hyperlink r:id="rId11" w:history="1">
        <w:r w:rsidRPr="00EF7F60">
          <w:rPr>
            <w:rStyle w:val="Hipervnculo"/>
            <w:rFonts w:ascii="Mulish" w:hAnsi="Mulish"/>
            <w:sz w:val="20"/>
            <w:szCs w:val="20"/>
          </w:rPr>
          <w:t xml:space="preserve">puede consultarse íntegramente en la web del CTBG: </w:t>
        </w:r>
      </w:hyperlink>
      <w:r w:rsidRPr="00EF7F60">
        <w:rPr>
          <w:rFonts w:ascii="Mulish" w:hAnsi="Mulish"/>
          <w:sz w:val="20"/>
          <w:szCs w:val="20"/>
        </w:rPr>
        <w:t xml:space="preserve"> </w:t>
      </w:r>
    </w:p>
    <w:p w14:paraId="44DE4BF0" w14:textId="48236E37" w:rsidR="00B80115" w:rsidRPr="0076793C" w:rsidRDefault="00B80115" w:rsidP="00B80115">
      <w:pPr>
        <w:spacing w:after="0" w:line="240" w:lineRule="auto"/>
        <w:jc w:val="both"/>
        <w:rPr>
          <w:sz w:val="24"/>
          <w:szCs w:val="24"/>
          <w:u w:val="single"/>
        </w:rPr>
      </w:pPr>
      <w:r w:rsidRPr="0076793C">
        <w:rPr>
          <w:sz w:val="24"/>
          <w:szCs w:val="24"/>
          <w:u w:val="single"/>
        </w:rPr>
        <w:lastRenderedPageBreak/>
        <w:t>Más información:</w:t>
      </w:r>
      <w:r w:rsidR="00C27BA6">
        <w:rPr>
          <w:sz w:val="24"/>
          <w:szCs w:val="24"/>
          <w:u w:val="single"/>
        </w:rPr>
        <w:t xml:space="preserve"> </w:t>
      </w:r>
    </w:p>
    <w:p w14:paraId="6C40E5E0" w14:textId="70C888A6" w:rsidR="009B3A1E" w:rsidRPr="005B0C58" w:rsidRDefault="00B80115" w:rsidP="00C05613">
      <w:pPr>
        <w:spacing w:after="0" w:line="240" w:lineRule="auto"/>
        <w:jc w:val="both"/>
        <w:rPr>
          <w:rFonts w:ascii="Arial" w:hAnsi="Arial" w:cs="Arial"/>
        </w:rPr>
      </w:pPr>
      <w:r w:rsidRPr="0076793C">
        <w:rPr>
          <w:rStyle w:val="Hipervnculo"/>
          <w:sz w:val="24"/>
          <w:szCs w:val="24"/>
        </w:rPr>
        <w:t>prensa</w:t>
      </w:r>
      <w:hyperlink r:id="rId12" w:history="1">
        <w:r w:rsidRPr="0076793C">
          <w:rPr>
            <w:rStyle w:val="Hipervnculo"/>
            <w:sz w:val="24"/>
            <w:szCs w:val="24"/>
          </w:rPr>
          <w:t>@consejodetransparencia.es</w:t>
        </w:r>
      </w:hyperlink>
      <w:r w:rsidR="00C27BA6">
        <w:rPr>
          <w:rStyle w:val="Hipervnculo"/>
          <w:sz w:val="24"/>
          <w:szCs w:val="24"/>
        </w:rPr>
        <w:t xml:space="preserve">  </w:t>
      </w:r>
    </w:p>
    <w:sectPr w:rsidR="009B3A1E" w:rsidRPr="005B0C58" w:rsidSect="00C34F68">
      <w:headerReference w:type="default" r:id="rId13"/>
      <w:footerReference w:type="default" r:id="rId14"/>
      <w:headerReference w:type="first" r:id="rId15"/>
      <w:footerReference w:type="first" r:id="rId16"/>
      <w:pgSz w:w="11906" w:h="16838" w:code="9"/>
      <w:pgMar w:top="1418" w:right="1418" w:bottom="1418" w:left="1418" w:header="709"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6D64" w14:textId="77777777" w:rsidR="00E1510B" w:rsidRDefault="00E1510B" w:rsidP="00E033DF">
      <w:pPr>
        <w:spacing w:after="0" w:line="240" w:lineRule="auto"/>
      </w:pPr>
      <w:r>
        <w:separator/>
      </w:r>
    </w:p>
  </w:endnote>
  <w:endnote w:type="continuationSeparator" w:id="0">
    <w:p w14:paraId="3C3915FC" w14:textId="77777777" w:rsidR="00E1510B" w:rsidRDefault="00E1510B" w:rsidP="00E0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197"/>
      <w:docPartObj>
        <w:docPartGallery w:val="Page Numbers (Bottom of Page)"/>
        <w:docPartUnique/>
      </w:docPartObj>
    </w:sdtPr>
    <w:sdtEndPr/>
    <w:sdtContent>
      <w:p w14:paraId="6C40E5E8" w14:textId="388E40E1" w:rsidR="009B3A1E" w:rsidRPr="00A40308" w:rsidRDefault="00A667E2" w:rsidP="00F436DD">
        <w:pPr>
          <w:pStyle w:val="Piedepgina"/>
          <w:tabs>
            <w:tab w:val="clear" w:pos="8504"/>
          </w:tabs>
          <w:ind w:right="-568"/>
          <w:jc w:val="center"/>
          <w:rPr>
            <w:rFonts w:ascii="Mulish" w:hAnsi="Mulish"/>
            <w:sz w:val="16"/>
            <w:szCs w:val="16"/>
          </w:rPr>
        </w:pPr>
        <w:r w:rsidRPr="00F436DD">
          <w:rPr>
            <w:rFonts w:ascii="Mulish" w:hAnsi="Mulish"/>
            <w:noProof/>
            <w:sz w:val="16"/>
            <w:szCs w:val="16"/>
            <w:lang w:eastAsia="es-ES"/>
          </w:rPr>
          <mc:AlternateContent>
            <mc:Choice Requires="wps">
              <w:drawing>
                <wp:anchor distT="0" distB="0" distL="114300" distR="114300" simplePos="0" relativeHeight="251672576" behindDoc="0" locked="0" layoutInCell="1" allowOverlap="1" wp14:anchorId="6C40E5F9" wp14:editId="572EC6D2">
                  <wp:simplePos x="0" y="0"/>
                  <wp:positionH relativeFrom="column">
                    <wp:posOffset>7855585</wp:posOffset>
                  </wp:positionH>
                  <wp:positionV relativeFrom="paragraph">
                    <wp:posOffset>164465</wp:posOffset>
                  </wp:positionV>
                  <wp:extent cx="0" cy="358140"/>
                  <wp:effectExtent l="6985" t="12065" r="12065" b="10795"/>
                  <wp:wrapNone/>
                  <wp:docPr id="9805813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5C4C47" id="_x0000_t32" coordsize="21600,21600" o:spt="32" o:oned="t" path="m,l21600,21600e" filled="f">
                  <v:path arrowok="t" fillok="f" o:connecttype="none"/>
                  <o:lock v:ext="edit" shapetype="t"/>
                </v:shapetype>
                <v:shape id="AutoShape 11" o:spid="_x0000_s1026" type="#_x0000_t32" style="position:absolute;margin-left:618.55pt;margin-top:12.95pt;width:0;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twEAAFUDAAAOAAAAZHJzL2Uyb0RvYy54bWysU02P0zAQvSPxHyzfaZpC0RI13UOX5bJA&#10;pV1+wNR2EgvHY824Tfvvsd0PVnBD5GDZ8/HmzZvJ6v44OnEwxBZ9K+vZXArjFWrr+1b+eHl8dycF&#10;R/AaHHrTypNheb9++2Y1hcYscECnDYkE4rmZQiuHGENTVawGMwLPMBifnB3SCDE9qa80wZTQR1ct&#10;5vOP1YSkA6EyzMn6cHbKdcHvOqPi965jE4VrZeIWy0nl3OWzWq+g6QnCYNWFBvwDixGsT0VvUA8Q&#10;QezJ/gU1WkXI2MWZwrHCrrPKlB5SN/X8j26eBwim9JLE4XCTif8frPp22PgtZerq6J/DE6qfLDxu&#10;BvC9KQReTiENrs5SVVPg5paSHxy2JHbTV9QpBvYRiwrHjsYMmfoTxyL26Sa2OUahzkaVrO+Xd/WH&#10;MocKmmteII5fDI4iX1rJkcD2Q9yg92miSHWpAocnjpkVNNeEXNTjo3WuDNZ5MbXy03KxLAmMzurs&#10;zGFM/W7jSBwgr0b5SovJ8zqMcO91ARsM6M+XewTrzvdU3PmLMlmMvHnc7FCftnRVLM2usLzsWV6O&#10;1++S/ftvWP8CAAD//wMAUEsDBBQABgAIAAAAIQBvps3x3gAAAAsBAAAPAAAAZHJzL2Rvd25yZXYu&#10;eG1sTI/BTsMwDIbvSLxDZCQuaEubabCVutOExIEj2ySuWeO1hcapmnQte3oycYDjb3/6/TnfTLYV&#10;Z+p94xghnScgiEtnGq4QDvvX2QqED5qNbh0Twjd52BS3N7nOjBv5nc67UIlYwj7TCHUIXSalL2uy&#10;2s9dRxx3J9dbHWLsK2l6PcZy20qVJI/S6objhVp39FJT+bUbLAL5YZkm27WtDm+X8eFDXT7Hbo94&#10;fzdtn0EEmsIfDFf9qA5FdDq6gY0Xbcxq8ZRGFkEt1yCuxO/kiLBSC5BFLv//UPwAAAD//wMAUEsB&#10;Ai0AFAAGAAgAAAAhALaDOJL+AAAA4QEAABMAAAAAAAAAAAAAAAAAAAAAAFtDb250ZW50X1R5cGVz&#10;XS54bWxQSwECLQAUAAYACAAAACEAOP0h/9YAAACUAQAACwAAAAAAAAAAAAAAAAAvAQAAX3JlbHMv&#10;LnJlbHNQSwECLQAUAAYACAAAACEAJfr8rLcBAABVAwAADgAAAAAAAAAAAAAAAAAuAgAAZHJzL2Uy&#10;b0RvYy54bWxQSwECLQAUAAYACAAAACEAb6bN8d4AAAALAQAADwAAAAAAAAAAAAAAAAARBAAAZHJz&#10;L2Rvd25yZXYueG1sUEsFBgAAAAAEAAQA8wAAABwFAAAAAA==&#10;"/>
              </w:pict>
            </mc:Fallback>
          </mc:AlternateContent>
        </w:r>
        <w:r w:rsidR="00E94641">
          <w:tab/>
        </w:r>
        <w:r w:rsidRPr="00F436DD">
          <w:rPr>
            <w:rFonts w:ascii="Mulish" w:hAnsi="Mulish"/>
            <w:sz w:val="16"/>
            <w:szCs w:val="16"/>
          </w:rPr>
          <w:fldChar w:fldCharType="begin"/>
        </w:r>
        <w:r w:rsidRPr="00F436DD">
          <w:rPr>
            <w:rFonts w:ascii="Mulish" w:hAnsi="Mulish"/>
            <w:sz w:val="16"/>
            <w:szCs w:val="16"/>
          </w:rPr>
          <w:instrText xml:space="preserve"> PAGE   \* MERGEFORMAT </w:instrText>
        </w:r>
        <w:r w:rsidRPr="00F436DD">
          <w:rPr>
            <w:rFonts w:ascii="Mulish" w:hAnsi="Mulish"/>
            <w:sz w:val="16"/>
            <w:szCs w:val="16"/>
          </w:rPr>
          <w:fldChar w:fldCharType="separate"/>
        </w:r>
        <w:r w:rsidR="000A35BB">
          <w:rPr>
            <w:rFonts w:ascii="Mulish" w:hAnsi="Mulish"/>
            <w:noProof/>
            <w:sz w:val="16"/>
            <w:szCs w:val="16"/>
          </w:rPr>
          <w:t>1</w:t>
        </w:r>
        <w:r w:rsidRPr="00F436DD">
          <w:rPr>
            <w:rFonts w:ascii="Mulish" w:hAnsi="Mulish"/>
            <w:noProof/>
            <w:sz w:val="16"/>
            <w:szCs w:val="16"/>
          </w:rPr>
          <w:fldChar w:fldCharType="end"/>
        </w:r>
        <w:r w:rsidR="009B3A1E" w:rsidRPr="00F436DD">
          <w:rPr>
            <w:rFonts w:ascii="Mulish" w:hAnsi="Mulish"/>
            <w:sz w:val="16"/>
            <w:szCs w:val="16"/>
          </w:rPr>
          <w:t xml:space="preserve">  </w:t>
        </w:r>
        <w:r w:rsidR="009B3A1E" w:rsidRPr="00A40308">
          <w:rPr>
            <w:rFonts w:ascii="Mulish" w:hAnsi="Mulish"/>
          </w:rPr>
          <w:t xml:space="preserve">                                                                                                            </w:t>
        </w:r>
        <w:r w:rsidR="009B3A1E" w:rsidRPr="00A40308">
          <w:rPr>
            <w:rFonts w:ascii="Mulish" w:hAnsi="Mulish"/>
            <w:sz w:val="16"/>
            <w:szCs w:val="16"/>
          </w:rPr>
          <w:t>CONSEJO DE TRANSPARENCIA</w:t>
        </w:r>
        <w:r w:rsidR="00F51DB5" w:rsidRPr="00A40308">
          <w:rPr>
            <w:rFonts w:ascii="Mulish" w:hAnsi="Mulish"/>
            <w:sz w:val="16"/>
            <w:szCs w:val="16"/>
          </w:rPr>
          <w:t xml:space="preserve"> </w:t>
        </w:r>
        <w:r w:rsidR="00DD76CF" w:rsidRPr="00A40308">
          <w:rPr>
            <w:rFonts w:ascii="Mulish" w:hAnsi="Mulish"/>
            <w:sz w:val="16"/>
            <w:szCs w:val="16"/>
          </w:rPr>
          <w:t>AAI</w:t>
        </w:r>
        <w:r w:rsidR="009B3A1E" w:rsidRPr="00A40308">
          <w:rPr>
            <w:rFonts w:ascii="Mulish" w:hAnsi="Mulish"/>
            <w:noProof/>
            <w:sz w:val="24"/>
            <w:szCs w:val="24"/>
            <w:lang w:eastAsia="es-ES"/>
          </w:rPr>
          <w:t xml:space="preserve"> </w:t>
        </w:r>
      </w:p>
      <w:p w14:paraId="6C40E5E9" w14:textId="77777777" w:rsidR="004E6B2E" w:rsidRDefault="006E1DB7" w:rsidP="005B3D95">
        <w:pPr>
          <w:pStyle w:val="Piedepgina"/>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F5" w14:textId="413E2187" w:rsidR="009B3A1E" w:rsidRPr="000974DF" w:rsidRDefault="00A667E2" w:rsidP="001021B2">
    <w:pPr>
      <w:pStyle w:val="Piedepgina"/>
      <w:jc w:val="center"/>
      <w:rPr>
        <w:rFonts w:ascii="Mulish" w:hAnsi="Mulish"/>
      </w:rPr>
    </w:pPr>
    <w:r>
      <w:rPr>
        <w:noProof/>
        <w:lang w:eastAsia="es-ES"/>
      </w:rPr>
      <mc:AlternateContent>
        <mc:Choice Requires="wps">
          <w:drawing>
            <wp:anchor distT="0" distB="0" distL="114300" distR="114300" simplePos="0" relativeHeight="251678720" behindDoc="1" locked="0" layoutInCell="1" allowOverlap="1" wp14:anchorId="556DAD95" wp14:editId="4E703215">
              <wp:simplePos x="0" y="0"/>
              <wp:positionH relativeFrom="page">
                <wp:posOffset>876935</wp:posOffset>
              </wp:positionH>
              <wp:positionV relativeFrom="page">
                <wp:posOffset>10072370</wp:posOffset>
              </wp:positionV>
              <wp:extent cx="1299845" cy="365760"/>
              <wp:effectExtent l="0" t="0" r="0" b="0"/>
              <wp:wrapNone/>
              <wp:docPr id="3599534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65760"/>
                      </a:xfrm>
                      <a:prstGeom prst="rect">
                        <a:avLst/>
                      </a:prstGeom>
                      <a:noFill/>
                      <a:ln>
                        <a:noFill/>
                      </a:ln>
                    </wps:spPr>
                    <wps:txbx>
                      <w:txbxContent>
                        <w:p w14:paraId="5DFF72EF" w14:textId="77777777" w:rsidR="00362D91" w:rsidRPr="00A655A2" w:rsidRDefault="00362D91" w:rsidP="00362D91">
                          <w:pPr>
                            <w:spacing w:before="20" w:line="225" w:lineRule="auto"/>
                            <w:ind w:left="20" w:right="-18"/>
                            <w:rPr>
                              <w:rFonts w:ascii="Mulish" w:hAnsi="Mulish"/>
                              <w:sz w:val="14"/>
                            </w:rPr>
                          </w:pPr>
                          <w:r w:rsidRPr="00A655A2">
                            <w:rPr>
                              <w:rFonts w:ascii="Mulish" w:hAnsi="Mulish"/>
                              <w:b/>
                              <w:sz w:val="14"/>
                            </w:rPr>
                            <w:t xml:space="preserve">Consejo de Transparencia AAI </w:t>
                          </w:r>
                          <w:r w:rsidRPr="00A655A2">
                            <w:rPr>
                              <w:rFonts w:ascii="Mulish" w:hAnsi="Mulish"/>
                              <w:sz w:val="14"/>
                            </w:rPr>
                            <w:t>C/ José Abascal, nº 2, 5º-C 28003 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AD95" id="_x0000_t202" coordsize="21600,21600" o:spt="202" path="m,l,21600r21600,l21600,xe">
              <v:stroke joinstyle="miter"/>
              <v:path gradientshapeok="t" o:connecttype="rect"/>
            </v:shapetype>
            <v:shape id="Cuadro de texto 2" o:spid="_x0000_s1026" type="#_x0000_t202" style="position:absolute;left:0;text-align:left;margin-left:69.05pt;margin-top:793.1pt;width:102.35pt;height:28.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Kl9gEAAMUDAAAOAAAAZHJzL2Uyb0RvYy54bWysU9tu2zAMfR+wfxD0vjiXJmuMOEWXosOA&#10;rhvQ9QMYWY6F2aJGKbGzrx8lJ1m3vg17EagLDw8Pj1Y3fduIgyZv0BZyMhpLoa3C0thdIZ+/3b+7&#10;lsIHsCU0aHUhj9rLm/XbN6vO5XqKNTalJsEg1uedK2QdgsuzzKtat+BH6LTlywqphcBb2mUlQcfo&#10;bZNNx+NF1iGVjlBp7/n0briU64RfVVqFL1XldRBNIZlbSCuldRvXbL2CfEfgaqNONOAfWLRgLBe9&#10;QN1BALEn8wqqNYrQYxVGCtsMq8oonXrgbibjv7p5qsHp1AuL491FJv//YNXj4SsJUxZyNl8u57Or&#10;yVwKCy2ParOHklCUWgTdBxTTKFbnfM45T46zQv8Bex56aty7B1TfvbC4qcHu9C0RdrWGkslOYmb2&#10;InXA8RFk233GkqvBPmAC6itqo5KsjWB0HtrxMijmIVQsOV0ur6+YqeK72WL+fpEmmUF+znbkw0eN&#10;rYhBIYmNkNDh8OBDZAP5+UksZvHeNE0yQ2P/OOCH8SSxj4QH6qHf9ic1tlgeuQ/CwVv8FziokX5K&#10;0bGvCul/7IG0FM0ny1pEE54DOgfbcwBWcWohgxRDuAmDWfeOzK5m5EFti7esV2VSK1HYgcWJJ3sl&#10;dXjydTTjy3169fv3rX8BAAD//wMAUEsDBBQABgAIAAAAIQACMpp94QAAAA0BAAAPAAAAZHJzL2Rv&#10;d25yZXYueG1sTI9BT4NAEIXvJv6HzZh4s0uhEkSWpjF6MjFSPHhcYAqbsrPIblv8944nvc2beXnz&#10;vWK72FGccfbGkYL1KgKB1LrOUK/go365y0D4oKnToyNU8I0etuX1VaHzzl2owvM+9IJDyOdawRDC&#10;lEvp2wGt9is3IfHt4GarA8u5l92sLxxuRxlHUSqtNsQfBj3h04DtcX+yCnafVD2br7fmvTpUpq4f&#10;InpNj0rd3iy7RxABl/Bnhl98RoeSmRp3os6LkXWSrdnKw32WxiDYkmxibtPwKt0kGciykP9blD8A&#10;AAD//wMAUEsBAi0AFAAGAAgAAAAhALaDOJL+AAAA4QEAABMAAAAAAAAAAAAAAAAAAAAAAFtDb250&#10;ZW50X1R5cGVzXS54bWxQSwECLQAUAAYACAAAACEAOP0h/9YAAACUAQAACwAAAAAAAAAAAAAAAAAv&#10;AQAAX3JlbHMvLnJlbHNQSwECLQAUAAYACAAAACEALXRCpfYBAADFAwAADgAAAAAAAAAAAAAAAAAu&#10;AgAAZHJzL2Uyb0RvYy54bWxQSwECLQAUAAYACAAAACEAAjKafeEAAAANAQAADwAAAAAAAAAAAAAA&#10;AABQBAAAZHJzL2Rvd25yZXYueG1sUEsFBgAAAAAEAAQA8wAAAF4FAAAAAA==&#10;" filled="f" stroked="f">
              <v:textbox inset="0,0,0,0">
                <w:txbxContent>
                  <w:p w14:paraId="5DFF72EF" w14:textId="77777777" w:rsidR="00362D91" w:rsidRPr="00A655A2" w:rsidRDefault="00362D91" w:rsidP="00362D91">
                    <w:pPr>
                      <w:spacing w:before="20" w:line="225" w:lineRule="auto"/>
                      <w:ind w:left="20" w:right="-18"/>
                      <w:rPr>
                        <w:rFonts w:ascii="Mulish" w:hAnsi="Mulish"/>
                        <w:sz w:val="14"/>
                      </w:rPr>
                    </w:pPr>
                    <w:r w:rsidRPr="00A655A2">
                      <w:rPr>
                        <w:rFonts w:ascii="Mulish" w:hAnsi="Mulish"/>
                        <w:b/>
                        <w:sz w:val="14"/>
                      </w:rPr>
                      <w:t xml:space="preserve">Consejo de Transparencia AAI </w:t>
                    </w:r>
                    <w:r w:rsidRPr="00A655A2">
                      <w:rPr>
                        <w:rFonts w:ascii="Mulish" w:hAnsi="Mulish"/>
                        <w:sz w:val="14"/>
                      </w:rPr>
                      <w:t>C/ José Abascal, nº 2, 5º-C 28003 MADRID</w:t>
                    </w:r>
                  </w:p>
                </w:txbxContent>
              </v:textbox>
              <w10:wrap anchorx="page" anchory="page"/>
            </v:shape>
          </w:pict>
        </mc:Fallback>
      </mc:AlternateContent>
    </w:r>
    <w:r>
      <w:rPr>
        <w:noProof/>
        <w:lang w:eastAsia="es-ES"/>
      </w:rPr>
      <mc:AlternateContent>
        <mc:Choice Requires="wps">
          <w:drawing>
            <wp:anchor distT="0" distB="0" distL="114300" distR="114300" simplePos="0" relativeHeight="251680768" behindDoc="1" locked="0" layoutInCell="1" allowOverlap="1" wp14:anchorId="69F40DE2" wp14:editId="52CD6E8A">
              <wp:simplePos x="0" y="0"/>
              <wp:positionH relativeFrom="page">
                <wp:posOffset>4848860</wp:posOffset>
              </wp:positionH>
              <wp:positionV relativeFrom="page">
                <wp:posOffset>10081260</wp:posOffset>
              </wp:positionV>
              <wp:extent cx="2000250" cy="419100"/>
              <wp:effectExtent l="0" t="0" r="0" b="0"/>
              <wp:wrapNone/>
              <wp:docPr id="4438871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19100"/>
                      </a:xfrm>
                      <a:prstGeom prst="rect">
                        <a:avLst/>
                      </a:prstGeom>
                      <a:noFill/>
                      <a:ln>
                        <a:noFill/>
                      </a:ln>
                    </wps:spPr>
                    <wps:txbx>
                      <w:txbxContent>
                        <w:p w14:paraId="59EF72C9" w14:textId="77777777" w:rsidR="001C2B35" w:rsidRPr="00A655A2" w:rsidRDefault="006E1DB7" w:rsidP="001C2B35">
                          <w:pPr>
                            <w:tabs>
                              <w:tab w:val="left" w:pos="2798"/>
                            </w:tabs>
                            <w:spacing w:before="20" w:line="225" w:lineRule="auto"/>
                            <w:ind w:left="101" w:right="342" w:hanging="82"/>
                            <w:jc w:val="right"/>
                            <w:rPr>
                              <w:rFonts w:ascii="Mulish" w:hAnsi="Mulish"/>
                              <w:sz w:val="14"/>
                            </w:rPr>
                          </w:pPr>
                          <w:hyperlink r:id="rId1">
                            <w:r w:rsidR="001C2B35" w:rsidRPr="00A655A2">
                              <w:rPr>
                                <w:rFonts w:ascii="Mulish" w:hAnsi="Mulish"/>
                                <w:sz w:val="14"/>
                              </w:rPr>
                              <w:t>email: ctbg@consejodetransparencia.es</w:t>
                            </w:r>
                          </w:hyperlink>
                          <w:r w:rsidR="001C2B35" w:rsidRPr="00A655A2">
                            <w:rPr>
                              <w:rFonts w:ascii="Mulish" w:hAnsi="Mulish"/>
                              <w:sz w:val="14"/>
                            </w:rPr>
                            <w:t xml:space="preserve"> Teléfono: 91 273 33 20 - 91 273 33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DE2" id="Cuadro de texto 1" o:spid="_x0000_s1027" type="#_x0000_t202" style="position:absolute;left:0;text-align:left;margin-left:381.8pt;margin-top:793.8pt;width:157.5pt;height:3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8J9QEAAMwDAAAOAAAAZHJzL2Uyb0RvYy54bWysU9GO0zAQfEfiHyy/0ySlQImano6eDiEd&#10;B9IdH+DaTmKReM3aaVK+nrXTloN7Q7xYG9s7npmdbK6mvmMHjd6ArXixyDnTVoIytqn4t8fbV2vO&#10;fBBWiQ6srvhRe361ffliM7pSL6GFTmlkBGJ9ObqKtyG4Msu8bHUv/AKctnRYA/Yi0Cc2mUIxEnrf&#10;Zcs8f5uNgMohSO097d7Mh3yb8Otay/Clrr0OrKs4cQtpxbTu45ptN6JsULjWyBMN8Q8semEsPXqB&#10;uhFBsAHNM6jeSAQPdVhI6DOoayN10kBqivwvNQ+tcDppIXO8u9jk/x+svD98RWZUxVer1+v1u6Kg&#10;gVnR06h2g1AITGkW9BSAFdGs0fmSeh4cdYXpA0w09CTcuzuQ3z2zsGuFbfQ1IoytForIps7sSeuM&#10;4yPIfvwMil4TQ4AENNXYRyfJG0boNLTjZVDEg0napMnnyzd0JOlsVbwv8jTJTJTnboc+fNTQs1hU&#10;HCkICV0c7nwgHXT1fCU+ZuHWdF0KQ2f/2KCLcSexj4Rn6mHaT8m1iyl7UEeSgzBHjH4JKlrAn5yN&#10;FK+K+x+DQM1Z98mSJTGL5wLPxf5cCCupteKBs7nchTmzg0PTtIQ8m27hmmyrTVIU/Z1ZnOhSZJLQ&#10;U7xjJp9+p1u/f8LtLwAAAP//AwBQSwMEFAAGAAgAAAAhAK1zZw/gAAAADgEAAA8AAABkcnMvZG93&#10;bnJldi54bWxMj8FOwzAQRO9I/IO1SNyoXVCTkMapKgQnJEQaDhyd2E2sxusQu234e7ancpvVPM3O&#10;FJvZDexkpmA9SlguBDCDrdcWOwlf9dtDBixEhVoNHo2EXxNgU97eFCrX/oyVOe1ixygEQ64k9DGO&#10;Oeeh7Y1TYeFHg+Tt/eRUpHPquJ7UmcLdwB+FSLhTFulDr0bz0pv2sDs6CdtvrF7tz0fzWe0rW9fP&#10;At+Tg5T3d/N2DSyaOV5huNSn6lBSp8YfUQc2SEiTp4RQMlZZSuqCiDQj1ZBKVuTysuD/Z5R/AAAA&#10;//8DAFBLAQItABQABgAIAAAAIQC2gziS/gAAAOEBAAATAAAAAAAAAAAAAAAAAAAAAABbQ29udGVu&#10;dF9UeXBlc10ueG1sUEsBAi0AFAAGAAgAAAAhADj9If/WAAAAlAEAAAsAAAAAAAAAAAAAAAAALwEA&#10;AF9yZWxzLy5yZWxzUEsBAi0AFAAGAAgAAAAhAEnyXwn1AQAAzAMAAA4AAAAAAAAAAAAAAAAALgIA&#10;AGRycy9lMm9Eb2MueG1sUEsBAi0AFAAGAAgAAAAhAK1zZw/gAAAADgEAAA8AAAAAAAAAAAAAAAAA&#10;TwQAAGRycy9kb3ducmV2LnhtbFBLBQYAAAAABAAEAPMAAABcBQAAAAA=&#10;" filled="f" stroked="f">
              <v:textbox inset="0,0,0,0">
                <w:txbxContent>
                  <w:p w14:paraId="59EF72C9" w14:textId="77777777" w:rsidR="001C2B35" w:rsidRPr="00A655A2" w:rsidRDefault="00CD17C3" w:rsidP="001C2B35">
                    <w:pPr>
                      <w:tabs>
                        <w:tab w:val="left" w:pos="2798"/>
                      </w:tabs>
                      <w:spacing w:before="20" w:line="225" w:lineRule="auto"/>
                      <w:ind w:left="101" w:right="342" w:hanging="82"/>
                      <w:jc w:val="right"/>
                      <w:rPr>
                        <w:rFonts w:ascii="Mulish" w:hAnsi="Mulish"/>
                        <w:sz w:val="14"/>
                      </w:rPr>
                    </w:pPr>
                    <w:hyperlink r:id="rId2">
                      <w:r w:rsidR="001C2B35" w:rsidRPr="00A655A2">
                        <w:rPr>
                          <w:rFonts w:ascii="Mulish" w:hAnsi="Mulish"/>
                          <w:sz w:val="14"/>
                        </w:rPr>
                        <w:t>email: ctbg@consejodetransparencia.es</w:t>
                      </w:r>
                    </w:hyperlink>
                    <w:r w:rsidR="001C2B35" w:rsidRPr="00A655A2">
                      <w:rPr>
                        <w:rFonts w:ascii="Mulish" w:hAnsi="Mulish"/>
                        <w:sz w:val="14"/>
                      </w:rPr>
                      <w:t xml:space="preserve"> Teléfono: 91 273 33 20 - 91 273 33 17</w:t>
                    </w:r>
                  </w:p>
                </w:txbxContent>
              </v:textbox>
              <w10:wrap anchorx="page" anchory="page"/>
            </v:shape>
          </w:pict>
        </mc:Fallback>
      </mc:AlternateContent>
    </w:r>
    <w:r w:rsidR="00F31A91">
      <w:tab/>
    </w:r>
    <w:r w:rsidR="00F31A91">
      <w:tab/>
    </w:r>
    <w:r w:rsidR="00F31A91">
      <w:tab/>
    </w:r>
    <w:r w:rsidR="00F31A91">
      <w:tab/>
    </w:r>
    <w:r w:rsidR="001C2B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B404" w14:textId="77777777" w:rsidR="00E1510B" w:rsidRDefault="00E1510B" w:rsidP="00E033DF">
      <w:pPr>
        <w:spacing w:after="0" w:line="240" w:lineRule="auto"/>
      </w:pPr>
      <w:r>
        <w:separator/>
      </w:r>
    </w:p>
  </w:footnote>
  <w:footnote w:type="continuationSeparator" w:id="0">
    <w:p w14:paraId="1C9627E8" w14:textId="77777777" w:rsidR="00E1510B" w:rsidRDefault="00E1510B" w:rsidP="00E0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1301" w14:textId="77777777" w:rsidR="00A666AD" w:rsidRDefault="00A666AD" w:rsidP="008D3392">
    <w:pPr>
      <w:pStyle w:val="Encabezado"/>
      <w:ind w:left="-284"/>
      <w:rPr>
        <w:sz w:val="16"/>
        <w:szCs w:val="16"/>
      </w:rPr>
    </w:pPr>
  </w:p>
  <w:p w14:paraId="26353F07" w14:textId="7209693C" w:rsidR="00A666AD" w:rsidRDefault="00A666AD" w:rsidP="008D3392">
    <w:pPr>
      <w:pStyle w:val="Encabezado"/>
      <w:ind w:left="-284"/>
      <w:rPr>
        <w:sz w:val="16"/>
        <w:szCs w:val="16"/>
      </w:rPr>
    </w:pPr>
    <w:r>
      <w:rPr>
        <w:noProof/>
        <w:lang w:eastAsia="es-ES"/>
      </w:rPr>
      <w:drawing>
        <wp:anchor distT="0" distB="0" distL="114300" distR="114300" simplePos="0" relativeHeight="251683840" behindDoc="0" locked="0" layoutInCell="1" allowOverlap="1" wp14:anchorId="009FC8A4" wp14:editId="2A592D2B">
          <wp:simplePos x="0" y="0"/>
          <wp:positionH relativeFrom="margin">
            <wp:posOffset>2018665</wp:posOffset>
          </wp:positionH>
          <wp:positionV relativeFrom="margin">
            <wp:posOffset>-615950</wp:posOffset>
          </wp:positionV>
          <wp:extent cx="1798320" cy="419100"/>
          <wp:effectExtent l="0" t="0" r="0" b="0"/>
          <wp:wrapSquare wrapText="bothSides"/>
          <wp:docPr id="170497085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512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19100"/>
                  </a:xfrm>
                  <a:prstGeom prst="rect">
                    <a:avLst/>
                  </a:prstGeom>
                  <a:noFill/>
                  <a:ln>
                    <a:noFill/>
                  </a:ln>
                </pic:spPr>
              </pic:pic>
            </a:graphicData>
          </a:graphic>
        </wp:anchor>
      </w:drawing>
    </w:r>
  </w:p>
  <w:p w14:paraId="4F080CFF" w14:textId="77777777" w:rsidR="00A666AD" w:rsidRDefault="00A666AD" w:rsidP="008D3392">
    <w:pPr>
      <w:pStyle w:val="Encabezado"/>
      <w:ind w:left="-284"/>
      <w:rPr>
        <w:sz w:val="16"/>
        <w:szCs w:val="16"/>
      </w:rPr>
    </w:pPr>
  </w:p>
  <w:p w14:paraId="06866FF9" w14:textId="77777777" w:rsidR="00A666AD" w:rsidRDefault="00A666AD" w:rsidP="008D3392">
    <w:pPr>
      <w:pStyle w:val="Encabezado"/>
      <w:ind w:left="-284"/>
      <w:rPr>
        <w:sz w:val="16"/>
        <w:szCs w:val="16"/>
      </w:rPr>
    </w:pPr>
  </w:p>
  <w:p w14:paraId="1BA3DC98" w14:textId="77777777" w:rsidR="00A666AD" w:rsidRDefault="00A666AD" w:rsidP="008D3392">
    <w:pPr>
      <w:pStyle w:val="Encabezado"/>
      <w:ind w:left="-284"/>
      <w:rPr>
        <w:sz w:val="16"/>
        <w:szCs w:val="16"/>
      </w:rPr>
    </w:pPr>
  </w:p>
  <w:p w14:paraId="6C40E5E5" w14:textId="081D95D3" w:rsidR="004E6B2E" w:rsidRPr="005951F3" w:rsidRDefault="004E6B2E" w:rsidP="008D3392">
    <w:pPr>
      <w:pStyle w:val="Encabezado"/>
      <w:ind w:left="-28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EB" w14:textId="31BCD447" w:rsidR="005D4FB7" w:rsidRDefault="00F3528C" w:rsidP="00407A64">
    <w:pPr>
      <w:pStyle w:val="Sinespaciado"/>
      <w:tabs>
        <w:tab w:val="left" w:pos="6705"/>
      </w:tabs>
      <w:ind w:left="-284"/>
    </w:pPr>
    <w:r>
      <w:tab/>
    </w:r>
  </w:p>
  <w:p w14:paraId="6C40E5EC" w14:textId="568A3200" w:rsidR="004E6B2E" w:rsidRDefault="004E6B2E" w:rsidP="00E873AB">
    <w:pPr>
      <w:pStyle w:val="Encabezado"/>
    </w:pPr>
  </w:p>
  <w:p w14:paraId="6C40E5F1" w14:textId="77777777" w:rsidR="00F31A91" w:rsidRDefault="00F31A91" w:rsidP="00E87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5189"/>
    <w:multiLevelType w:val="hybridMultilevel"/>
    <w:tmpl w:val="93604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B305A0"/>
    <w:multiLevelType w:val="hybridMultilevel"/>
    <w:tmpl w:val="FF68F5BC"/>
    <w:lvl w:ilvl="0" w:tplc="CA582274">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53610947"/>
    <w:multiLevelType w:val="hybridMultilevel"/>
    <w:tmpl w:val="7AD0E230"/>
    <w:lvl w:ilvl="0" w:tplc="F22AECF0">
      <w:numFmt w:val="bullet"/>
      <w:lvlText w:val="•"/>
      <w:lvlJc w:val="left"/>
      <w:pPr>
        <w:ind w:left="786" w:hanging="360"/>
      </w:pPr>
      <w:rPr>
        <w:rFonts w:ascii="Mulish" w:eastAsia="Mulish" w:hAnsi="Mulish" w:cs="Mulish"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8"/>
    <w:rsid w:val="00011958"/>
    <w:rsid w:val="00020447"/>
    <w:rsid w:val="000319A0"/>
    <w:rsid w:val="000566D2"/>
    <w:rsid w:val="00067423"/>
    <w:rsid w:val="000974DF"/>
    <w:rsid w:val="000A35BB"/>
    <w:rsid w:val="000B3967"/>
    <w:rsid w:val="00101E4F"/>
    <w:rsid w:val="001021B2"/>
    <w:rsid w:val="00110D03"/>
    <w:rsid w:val="00126747"/>
    <w:rsid w:val="00153863"/>
    <w:rsid w:val="001543D9"/>
    <w:rsid w:val="001565DF"/>
    <w:rsid w:val="00161CD5"/>
    <w:rsid w:val="00164B7D"/>
    <w:rsid w:val="00172B40"/>
    <w:rsid w:val="0018353B"/>
    <w:rsid w:val="001C28B1"/>
    <w:rsid w:val="001C2B35"/>
    <w:rsid w:val="00224350"/>
    <w:rsid w:val="00224C4F"/>
    <w:rsid w:val="002438FA"/>
    <w:rsid w:val="0025152B"/>
    <w:rsid w:val="00285BCA"/>
    <w:rsid w:val="00292E9B"/>
    <w:rsid w:val="002D6E52"/>
    <w:rsid w:val="002E3710"/>
    <w:rsid w:val="002E4E66"/>
    <w:rsid w:val="00343319"/>
    <w:rsid w:val="00362D91"/>
    <w:rsid w:val="003712C7"/>
    <w:rsid w:val="003B4951"/>
    <w:rsid w:val="003B6659"/>
    <w:rsid w:val="003C3727"/>
    <w:rsid w:val="003C665C"/>
    <w:rsid w:val="003C685A"/>
    <w:rsid w:val="003D41CC"/>
    <w:rsid w:val="003D5AFA"/>
    <w:rsid w:val="003E58C6"/>
    <w:rsid w:val="00407A64"/>
    <w:rsid w:val="0045349D"/>
    <w:rsid w:val="00485A86"/>
    <w:rsid w:val="00492494"/>
    <w:rsid w:val="004A5EA5"/>
    <w:rsid w:val="004B6393"/>
    <w:rsid w:val="004D002C"/>
    <w:rsid w:val="004D3C31"/>
    <w:rsid w:val="004E3AC4"/>
    <w:rsid w:val="004E6B2E"/>
    <w:rsid w:val="00505712"/>
    <w:rsid w:val="00516FAB"/>
    <w:rsid w:val="00532CA0"/>
    <w:rsid w:val="00533D96"/>
    <w:rsid w:val="005432EE"/>
    <w:rsid w:val="00553F22"/>
    <w:rsid w:val="00577451"/>
    <w:rsid w:val="005832D7"/>
    <w:rsid w:val="005951F3"/>
    <w:rsid w:val="00596401"/>
    <w:rsid w:val="00597D3E"/>
    <w:rsid w:val="005B0C58"/>
    <w:rsid w:val="005B1E17"/>
    <w:rsid w:val="005B3D95"/>
    <w:rsid w:val="005B7B5A"/>
    <w:rsid w:val="005D4FB7"/>
    <w:rsid w:val="005E34BF"/>
    <w:rsid w:val="006136F0"/>
    <w:rsid w:val="0064406A"/>
    <w:rsid w:val="00644241"/>
    <w:rsid w:val="0064511D"/>
    <w:rsid w:val="00651D35"/>
    <w:rsid w:val="00686DAC"/>
    <w:rsid w:val="0069451C"/>
    <w:rsid w:val="006E1DB7"/>
    <w:rsid w:val="006E2CA6"/>
    <w:rsid w:val="006E6BAE"/>
    <w:rsid w:val="007101D5"/>
    <w:rsid w:val="00721825"/>
    <w:rsid w:val="007526F7"/>
    <w:rsid w:val="0077727F"/>
    <w:rsid w:val="007B410A"/>
    <w:rsid w:val="007D462E"/>
    <w:rsid w:val="007F57CD"/>
    <w:rsid w:val="008217AF"/>
    <w:rsid w:val="00882413"/>
    <w:rsid w:val="008D3354"/>
    <w:rsid w:val="008D3392"/>
    <w:rsid w:val="008E2617"/>
    <w:rsid w:val="00902756"/>
    <w:rsid w:val="00916A7F"/>
    <w:rsid w:val="00920FC8"/>
    <w:rsid w:val="00922C73"/>
    <w:rsid w:val="0093132C"/>
    <w:rsid w:val="00945360"/>
    <w:rsid w:val="00946059"/>
    <w:rsid w:val="00960A8E"/>
    <w:rsid w:val="00964EB4"/>
    <w:rsid w:val="00966AFC"/>
    <w:rsid w:val="00967E04"/>
    <w:rsid w:val="00993416"/>
    <w:rsid w:val="009B3A1E"/>
    <w:rsid w:val="009C1C4B"/>
    <w:rsid w:val="00A0030B"/>
    <w:rsid w:val="00A035A9"/>
    <w:rsid w:val="00A251FA"/>
    <w:rsid w:val="00A40308"/>
    <w:rsid w:val="00A666AD"/>
    <w:rsid w:val="00A667E2"/>
    <w:rsid w:val="00A90913"/>
    <w:rsid w:val="00AA0900"/>
    <w:rsid w:val="00AC124E"/>
    <w:rsid w:val="00AD4EAB"/>
    <w:rsid w:val="00B25D70"/>
    <w:rsid w:val="00B27714"/>
    <w:rsid w:val="00B33F7D"/>
    <w:rsid w:val="00B3521D"/>
    <w:rsid w:val="00B80115"/>
    <w:rsid w:val="00B92379"/>
    <w:rsid w:val="00B965B4"/>
    <w:rsid w:val="00BA4068"/>
    <w:rsid w:val="00BA62A5"/>
    <w:rsid w:val="00BC1926"/>
    <w:rsid w:val="00BD42E2"/>
    <w:rsid w:val="00C00902"/>
    <w:rsid w:val="00C05613"/>
    <w:rsid w:val="00C23867"/>
    <w:rsid w:val="00C27BA6"/>
    <w:rsid w:val="00C34F68"/>
    <w:rsid w:val="00C40DD4"/>
    <w:rsid w:val="00C6302D"/>
    <w:rsid w:val="00C94749"/>
    <w:rsid w:val="00CA1CA7"/>
    <w:rsid w:val="00CA4A22"/>
    <w:rsid w:val="00CD17C3"/>
    <w:rsid w:val="00CD436E"/>
    <w:rsid w:val="00CD4664"/>
    <w:rsid w:val="00CF04E9"/>
    <w:rsid w:val="00CF7BBC"/>
    <w:rsid w:val="00D04F1E"/>
    <w:rsid w:val="00D13FB4"/>
    <w:rsid w:val="00D519BA"/>
    <w:rsid w:val="00D70DAE"/>
    <w:rsid w:val="00D71C8B"/>
    <w:rsid w:val="00D74DBF"/>
    <w:rsid w:val="00DA1AA8"/>
    <w:rsid w:val="00DA2CF7"/>
    <w:rsid w:val="00DC45C2"/>
    <w:rsid w:val="00DD76CF"/>
    <w:rsid w:val="00DF0AA4"/>
    <w:rsid w:val="00DF50CF"/>
    <w:rsid w:val="00DF52D8"/>
    <w:rsid w:val="00DF62C2"/>
    <w:rsid w:val="00E033DF"/>
    <w:rsid w:val="00E1510B"/>
    <w:rsid w:val="00E369D7"/>
    <w:rsid w:val="00E42F8B"/>
    <w:rsid w:val="00E873AB"/>
    <w:rsid w:val="00E94641"/>
    <w:rsid w:val="00EB7AAC"/>
    <w:rsid w:val="00EF73FE"/>
    <w:rsid w:val="00EF7F60"/>
    <w:rsid w:val="00F253DF"/>
    <w:rsid w:val="00F30B12"/>
    <w:rsid w:val="00F31A91"/>
    <w:rsid w:val="00F34666"/>
    <w:rsid w:val="00F3528C"/>
    <w:rsid w:val="00F436DD"/>
    <w:rsid w:val="00F51DB5"/>
    <w:rsid w:val="00F73ACD"/>
    <w:rsid w:val="00FC7309"/>
    <w:rsid w:val="00FD0A75"/>
    <w:rsid w:val="00FD375B"/>
    <w:rsid w:val="00FD7623"/>
    <w:rsid w:val="00FE5C64"/>
    <w:rsid w:val="00FE6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40E5B0"/>
  <w15:docId w15:val="{3A54E176-1594-43FE-802E-0F09132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8E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33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3DF"/>
  </w:style>
  <w:style w:type="paragraph" w:styleId="Piedepgina">
    <w:name w:val="footer"/>
    <w:basedOn w:val="Normal"/>
    <w:link w:val="PiedepginaCar"/>
    <w:uiPriority w:val="99"/>
    <w:unhideWhenUsed/>
    <w:rsid w:val="00E033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3DF"/>
  </w:style>
  <w:style w:type="paragraph" w:styleId="Sinespaciado">
    <w:name w:val="No Spacing"/>
    <w:uiPriority w:val="1"/>
    <w:qFormat/>
    <w:rsid w:val="0018353B"/>
    <w:pPr>
      <w:spacing w:after="0" w:line="240" w:lineRule="auto"/>
    </w:pPr>
  </w:style>
  <w:style w:type="character" w:styleId="Refdecomentario">
    <w:name w:val="annotation reference"/>
    <w:basedOn w:val="Fuentedeprrafopredeter"/>
    <w:uiPriority w:val="99"/>
    <w:semiHidden/>
    <w:unhideWhenUsed/>
    <w:rsid w:val="0018353B"/>
    <w:rPr>
      <w:sz w:val="16"/>
      <w:szCs w:val="16"/>
    </w:rPr>
  </w:style>
  <w:style w:type="paragraph" w:styleId="Textocomentario">
    <w:name w:val="annotation text"/>
    <w:basedOn w:val="Normal"/>
    <w:link w:val="TextocomentarioCar"/>
    <w:uiPriority w:val="99"/>
    <w:semiHidden/>
    <w:unhideWhenUsed/>
    <w:rsid w:val="00183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53B"/>
    <w:rPr>
      <w:sz w:val="20"/>
      <w:szCs w:val="20"/>
    </w:rPr>
  </w:style>
  <w:style w:type="paragraph" w:styleId="Textodeglobo">
    <w:name w:val="Balloon Text"/>
    <w:basedOn w:val="Normal"/>
    <w:link w:val="TextodegloboCar"/>
    <w:uiPriority w:val="99"/>
    <w:semiHidden/>
    <w:unhideWhenUsed/>
    <w:rsid w:val="00183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53B"/>
    <w:rPr>
      <w:rFonts w:ascii="Tahoma" w:hAnsi="Tahoma" w:cs="Tahoma"/>
      <w:sz w:val="16"/>
      <w:szCs w:val="16"/>
    </w:rPr>
  </w:style>
  <w:style w:type="character" w:styleId="Hipervnculo">
    <w:name w:val="Hyperlink"/>
    <w:basedOn w:val="Fuentedeprrafopredeter"/>
    <w:uiPriority w:val="99"/>
    <w:unhideWhenUsed/>
    <w:rsid w:val="009B3A1E"/>
    <w:rPr>
      <w:color w:val="034638" w:themeColor="hyperlink"/>
      <w:u w:val="single"/>
    </w:rPr>
  </w:style>
  <w:style w:type="paragraph" w:styleId="Textoindependiente">
    <w:name w:val="Body Text"/>
    <w:basedOn w:val="Normal"/>
    <w:link w:val="TextoindependienteCar"/>
    <w:uiPriority w:val="1"/>
    <w:qFormat/>
    <w:rsid w:val="00407A64"/>
    <w:pPr>
      <w:widowControl w:val="0"/>
      <w:autoSpaceDE w:val="0"/>
      <w:autoSpaceDN w:val="0"/>
      <w:spacing w:after="0" w:line="240" w:lineRule="auto"/>
    </w:pPr>
    <w:rPr>
      <w:rFonts w:ascii="Mulish" w:eastAsia="Mulish" w:hAnsi="Mulish" w:cs="Mulish"/>
      <w:sz w:val="20"/>
      <w:szCs w:val="20"/>
      <w:lang w:eastAsia="es-ES" w:bidi="es-ES"/>
    </w:rPr>
  </w:style>
  <w:style w:type="character" w:customStyle="1" w:styleId="TextoindependienteCar">
    <w:name w:val="Texto independiente Car"/>
    <w:basedOn w:val="Fuentedeprrafopredeter"/>
    <w:link w:val="Textoindependiente"/>
    <w:uiPriority w:val="1"/>
    <w:rsid w:val="00407A64"/>
    <w:rPr>
      <w:rFonts w:ascii="Mulish" w:eastAsia="Mulish" w:hAnsi="Mulish" w:cs="Mulish"/>
      <w:sz w:val="20"/>
      <w:szCs w:val="20"/>
      <w:lang w:eastAsia="es-ES" w:bidi="es-ES"/>
    </w:rPr>
  </w:style>
  <w:style w:type="paragraph" w:styleId="Prrafodelista">
    <w:name w:val="List Paragraph"/>
    <w:basedOn w:val="Normal"/>
    <w:uiPriority w:val="34"/>
    <w:qFormat/>
    <w:rsid w:val="00BA4068"/>
    <w:pPr>
      <w:ind w:left="720"/>
      <w:contextualSpacing/>
    </w:pPr>
  </w:style>
  <w:style w:type="table" w:customStyle="1" w:styleId="Sombreadomedio2-nfasis32">
    <w:name w:val="Sombreado medio 2 - Énfasis 32"/>
    <w:basedOn w:val="Tablanormal"/>
    <w:next w:val="Sombreadomedio2-nfasis3"/>
    <w:uiPriority w:val="64"/>
    <w:rsid w:val="00BA4068"/>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BA40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4C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4C5A" w:themeFill="accent3"/>
      </w:tcPr>
    </w:tblStylePr>
    <w:tblStylePr w:type="lastCol">
      <w:rPr>
        <w:b/>
        <w:bCs/>
        <w:color w:val="FFFFFF" w:themeColor="background1"/>
      </w:rPr>
      <w:tblPr/>
      <w:tcPr>
        <w:tcBorders>
          <w:left w:val="nil"/>
          <w:right w:val="nil"/>
          <w:insideH w:val="nil"/>
          <w:insideV w:val="nil"/>
        </w:tcBorders>
        <w:shd w:val="clear" w:color="auto" w:fill="244C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cuadrculaclara">
    <w:name w:val="Grid Table Light"/>
    <w:basedOn w:val="Tablanormal"/>
    <w:uiPriority w:val="40"/>
    <w:rsid w:val="00BA4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2">
    <w:name w:val="List Table 3 Accent 2"/>
    <w:basedOn w:val="Tablanormal"/>
    <w:uiPriority w:val="48"/>
    <w:rsid w:val="00EF73FE"/>
    <w:pPr>
      <w:spacing w:after="0" w:line="240" w:lineRule="auto"/>
    </w:pPr>
    <w:rPr>
      <w:lang w:eastAsia="es-ES"/>
    </w:rPr>
    <w:tblPr>
      <w:tblStyleRowBandSize w:val="1"/>
      <w:tblStyleColBandSize w:val="1"/>
      <w:tblBorders>
        <w:top w:val="single" w:sz="4" w:space="0" w:color="CB9700" w:themeColor="accent2"/>
        <w:left w:val="single" w:sz="4" w:space="0" w:color="CB9700" w:themeColor="accent2"/>
        <w:bottom w:val="single" w:sz="4" w:space="0" w:color="CB9700" w:themeColor="accent2"/>
        <w:right w:val="single" w:sz="4" w:space="0" w:color="CB9700" w:themeColor="accent2"/>
      </w:tblBorders>
    </w:tblPr>
    <w:tblStylePr w:type="firstRow">
      <w:rPr>
        <w:b/>
        <w:bCs/>
        <w:color w:val="FFFFFF" w:themeColor="background1"/>
      </w:rPr>
      <w:tblPr/>
      <w:tcPr>
        <w:shd w:val="clear" w:color="auto" w:fill="CB9700" w:themeFill="accent2"/>
      </w:tcPr>
    </w:tblStylePr>
    <w:tblStylePr w:type="lastRow">
      <w:rPr>
        <w:b/>
        <w:bCs/>
      </w:rPr>
      <w:tblPr/>
      <w:tcPr>
        <w:tcBorders>
          <w:top w:val="double" w:sz="4" w:space="0" w:color="CB9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9700" w:themeColor="accent2"/>
          <w:right w:val="single" w:sz="4" w:space="0" w:color="CB9700" w:themeColor="accent2"/>
        </w:tcBorders>
      </w:tcPr>
    </w:tblStylePr>
    <w:tblStylePr w:type="band1Horz">
      <w:tblPr/>
      <w:tcPr>
        <w:tcBorders>
          <w:top w:val="single" w:sz="4" w:space="0" w:color="CB9700" w:themeColor="accent2"/>
          <w:bottom w:val="single" w:sz="4" w:space="0" w:color="CB9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9700" w:themeColor="accent2"/>
          <w:left w:val="nil"/>
        </w:tcBorders>
      </w:tcPr>
    </w:tblStylePr>
    <w:tblStylePr w:type="swCell">
      <w:tblPr/>
      <w:tcPr>
        <w:tcBorders>
          <w:top w:val="double" w:sz="4" w:space="0" w:color="CB9700" w:themeColor="accent2"/>
          <w:right w:val="nil"/>
        </w:tcBorders>
      </w:tcPr>
    </w:tblStylePr>
  </w:style>
  <w:style w:type="character" w:styleId="Mencinsinresolver">
    <w:name w:val="Unresolved Mention"/>
    <w:basedOn w:val="Fuentedeprrafopredeter"/>
    <w:uiPriority w:val="99"/>
    <w:semiHidden/>
    <w:unhideWhenUsed/>
    <w:rsid w:val="00D70DAE"/>
    <w:rPr>
      <w:color w:val="605E5C"/>
      <w:shd w:val="clear" w:color="auto" w:fill="E1DFDD"/>
    </w:rPr>
  </w:style>
  <w:style w:type="table" w:styleId="Tablaconcuadrcula4-nfasis2">
    <w:name w:val="Grid Table 4 Accent 2"/>
    <w:basedOn w:val="Tablanormal"/>
    <w:uiPriority w:val="49"/>
    <w:rsid w:val="005E34BF"/>
    <w:pPr>
      <w:spacing w:after="0" w:line="240" w:lineRule="auto"/>
    </w:pPr>
    <w:rPr>
      <w:lang w:eastAsia="es-ES"/>
    </w:rPr>
    <w:tblPr>
      <w:tblStyleRowBandSize w:val="1"/>
      <w:tblStyleColBandSize w:val="1"/>
      <w:tblBorders>
        <w:top w:val="single" w:sz="4" w:space="0" w:color="FFCF46" w:themeColor="accent2" w:themeTint="99"/>
        <w:left w:val="single" w:sz="4" w:space="0" w:color="FFCF46" w:themeColor="accent2" w:themeTint="99"/>
        <w:bottom w:val="single" w:sz="4" w:space="0" w:color="FFCF46" w:themeColor="accent2" w:themeTint="99"/>
        <w:right w:val="single" w:sz="4" w:space="0" w:color="FFCF46" w:themeColor="accent2" w:themeTint="99"/>
        <w:insideH w:val="single" w:sz="4" w:space="0" w:color="FFCF46" w:themeColor="accent2" w:themeTint="99"/>
        <w:insideV w:val="single" w:sz="4" w:space="0" w:color="FFCF46" w:themeColor="accent2" w:themeTint="99"/>
      </w:tblBorders>
    </w:tblPr>
    <w:tblStylePr w:type="firstRow">
      <w:rPr>
        <w:b/>
        <w:bCs/>
        <w:color w:val="FFFFFF" w:themeColor="background1"/>
      </w:rPr>
      <w:tblPr/>
      <w:tcPr>
        <w:tcBorders>
          <w:top w:val="single" w:sz="4" w:space="0" w:color="CB9700" w:themeColor="accent2"/>
          <w:left w:val="single" w:sz="4" w:space="0" w:color="CB9700" w:themeColor="accent2"/>
          <w:bottom w:val="single" w:sz="4" w:space="0" w:color="CB9700" w:themeColor="accent2"/>
          <w:right w:val="single" w:sz="4" w:space="0" w:color="CB9700" w:themeColor="accent2"/>
          <w:insideH w:val="nil"/>
          <w:insideV w:val="nil"/>
        </w:tcBorders>
        <w:shd w:val="clear" w:color="auto" w:fill="CB9700" w:themeFill="accent2"/>
      </w:tcPr>
    </w:tblStylePr>
    <w:tblStylePr w:type="lastRow">
      <w:rPr>
        <w:b/>
        <w:bCs/>
      </w:rPr>
      <w:tblPr/>
      <w:tcPr>
        <w:tcBorders>
          <w:top w:val="double" w:sz="4" w:space="0" w:color="CB9700" w:themeColor="accent2"/>
        </w:tcBorders>
      </w:tcPr>
    </w:tblStylePr>
    <w:tblStylePr w:type="firstCol">
      <w:rPr>
        <w:b/>
        <w:bCs/>
      </w:rPr>
    </w:tblStylePr>
    <w:tblStylePr w:type="lastCol">
      <w:rPr>
        <w:b/>
        <w:bCs/>
      </w:rPr>
    </w:tblStylePr>
    <w:tblStylePr w:type="band1Vert">
      <w:tblPr/>
      <w:tcPr>
        <w:shd w:val="clear" w:color="auto" w:fill="FFEFC1" w:themeFill="accent2" w:themeFillTint="33"/>
      </w:tcPr>
    </w:tblStylePr>
    <w:tblStylePr w:type="band1Horz">
      <w:tblPr/>
      <w:tcPr>
        <w:shd w:val="clear" w:color="auto" w:fill="FFEFC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jodetransparencia.es/ct_Home/Actividad/Evaluaciones/Evaluacion2024/2024/EP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consejodetransparencia.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jodetransparencia.es/ct_Home/Actividad/Evaluaciones/Evaluacion2024.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oe.es/buscar/act.php?id=BOE-A-2013-12887" TargetMode="External"/><Relationship Id="rId4" Type="http://schemas.openxmlformats.org/officeDocument/2006/relationships/settings" Target="settings.xml"/><Relationship Id="rId9" Type="http://schemas.openxmlformats.org/officeDocument/2006/relationships/hyperlink" Target="https://www.consejodetransparencia.es/ct_Home/Actividad/Evaluaciones/Evaluacion2024/2024/EPS.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tbg@consejodetransparencia.es" TargetMode="External"/><Relationship Id="rId1" Type="http://schemas.openxmlformats.org/officeDocument/2006/relationships/hyperlink" Target="mailto:ctbg@consejodetransparen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0C0C0C"/>
      </a:dk1>
      <a:lt1>
        <a:sysClr val="window" lastClr="FFFFFF"/>
      </a:lt1>
      <a:dk2>
        <a:srgbClr val="00806F"/>
      </a:dk2>
      <a:lt2>
        <a:srgbClr val="D6D2C4"/>
      </a:lt2>
      <a:accent1>
        <a:srgbClr val="00806F"/>
      </a:accent1>
      <a:accent2>
        <a:srgbClr val="CB9700"/>
      </a:accent2>
      <a:accent3>
        <a:srgbClr val="244C5A"/>
      </a:accent3>
      <a:accent4>
        <a:srgbClr val="034638"/>
      </a:accent4>
      <a:accent5>
        <a:srgbClr val="00806F"/>
      </a:accent5>
      <a:accent6>
        <a:srgbClr val="034638"/>
      </a:accent6>
      <a:hlink>
        <a:srgbClr val="034638"/>
      </a:hlink>
      <a:folHlink>
        <a:srgbClr val="CB97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5FD049-96EB-4473-A8A5-C7F6FF3C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2173</Words>
  <Characters>11954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FERRANDEZ FACI</dc:creator>
  <cp:lastModifiedBy>ROSA BLANCA DÍAZ HERNANDO</cp:lastModifiedBy>
  <cp:revision>4</cp:revision>
  <cp:lastPrinted>2016-01-05T09:13:00Z</cp:lastPrinted>
  <dcterms:created xsi:type="dcterms:W3CDTF">2024-10-21T09:57:00Z</dcterms:created>
  <dcterms:modified xsi:type="dcterms:W3CDTF">2024-10-22T07:49:00Z</dcterms:modified>
</cp:coreProperties>
</file>