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EA3E67" w:rsidRDefault="00DF25D7">
      <w:pPr>
        <w:rPr>
          <w:rFonts w:ascii="Mulish" w:hAnsi="Mulish"/>
        </w:rPr>
      </w:pPr>
      <w:r w:rsidRPr="00EA3E67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EA3E6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7154D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EA3E6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EA3E67" w:rsidRDefault="0082470D">
      <w:pPr>
        <w:rPr>
          <w:rFonts w:ascii="Mulish" w:hAnsi="Mulish"/>
        </w:rPr>
      </w:pPr>
    </w:p>
    <w:p w14:paraId="00CD97DB" w14:textId="77777777" w:rsidR="0082470D" w:rsidRPr="00EA3E67" w:rsidRDefault="0082470D">
      <w:pPr>
        <w:rPr>
          <w:rFonts w:ascii="Mulish" w:hAnsi="Mulish"/>
        </w:rPr>
      </w:pPr>
    </w:p>
    <w:p w14:paraId="6A476580" w14:textId="77777777" w:rsidR="0082470D" w:rsidRPr="00EA3E67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EA3E67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EA3E67" w:rsidRDefault="00751FAA" w:rsidP="0082470D">
      <w:pPr>
        <w:rPr>
          <w:rFonts w:ascii="Mulish" w:hAnsi="Mulish"/>
          <w:b/>
          <w:sz w:val="36"/>
        </w:rPr>
      </w:pPr>
      <w:r w:rsidRPr="00EA3E6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EA3E67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EA3E67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EA3E67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EA3E67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EA3E67" w14:paraId="69022734" w14:textId="77777777" w:rsidTr="00623CFC">
        <w:tc>
          <w:tcPr>
            <w:tcW w:w="3625" w:type="dxa"/>
          </w:tcPr>
          <w:p w14:paraId="705ACB26" w14:textId="77777777" w:rsidR="00623CFC" w:rsidRPr="00EA3E67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EA3E67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77777777" w:rsidR="00623CFC" w:rsidRPr="00EA3E67" w:rsidRDefault="00623CFC" w:rsidP="00B77E42">
            <w:pPr>
              <w:rPr>
                <w:rFonts w:ascii="Mulish" w:hAnsi="Mulish"/>
                <w:sz w:val="24"/>
              </w:rPr>
            </w:pPr>
            <w:r w:rsidRPr="00EA3E67">
              <w:rPr>
                <w:rFonts w:ascii="Mulish" w:hAnsi="Mulish"/>
                <w:sz w:val="24"/>
              </w:rPr>
              <w:t>Agencia Estatal de Seguridad Aérea (AESA)</w:t>
            </w:r>
          </w:p>
        </w:tc>
      </w:tr>
      <w:tr w:rsidR="00623CFC" w:rsidRPr="00EA3E67" w14:paraId="0EABDAFA" w14:textId="77777777" w:rsidTr="00623CFC">
        <w:tc>
          <w:tcPr>
            <w:tcW w:w="3625" w:type="dxa"/>
          </w:tcPr>
          <w:p w14:paraId="12A6D2F4" w14:textId="77777777" w:rsidR="00623CFC" w:rsidRPr="00EA3E67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EA3E67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2B7BFA80" w:rsidR="00623CFC" w:rsidRPr="00EA3E67" w:rsidRDefault="009A15A6" w:rsidP="00B77E42">
            <w:pPr>
              <w:rPr>
                <w:rFonts w:ascii="Mulish" w:hAnsi="Mulish"/>
                <w:sz w:val="24"/>
              </w:rPr>
            </w:pPr>
            <w:r w:rsidRPr="00EA3E67">
              <w:rPr>
                <w:rFonts w:ascii="Mulish" w:hAnsi="Mulish"/>
                <w:sz w:val="24"/>
              </w:rPr>
              <w:t>28/02/2024</w:t>
            </w:r>
          </w:p>
          <w:p w14:paraId="4B837EFF" w14:textId="09F1A158" w:rsidR="00623CFC" w:rsidRPr="00EA3E67" w:rsidRDefault="00623CFC" w:rsidP="00B77E42">
            <w:pPr>
              <w:rPr>
                <w:rFonts w:ascii="Mulish" w:hAnsi="Mulish"/>
                <w:sz w:val="24"/>
              </w:rPr>
            </w:pPr>
            <w:r w:rsidRPr="00EA3E67">
              <w:rPr>
                <w:rFonts w:ascii="Mulish" w:hAnsi="Mulish"/>
                <w:sz w:val="24"/>
              </w:rPr>
              <w:t xml:space="preserve">Segunda revisión: </w:t>
            </w:r>
            <w:r w:rsidR="00D035FF" w:rsidRPr="00EA3E67">
              <w:rPr>
                <w:rFonts w:ascii="Mulish" w:hAnsi="Mulish"/>
                <w:sz w:val="24"/>
              </w:rPr>
              <w:t>19/03/2024</w:t>
            </w:r>
          </w:p>
        </w:tc>
      </w:tr>
    </w:tbl>
    <w:p w14:paraId="460832EE" w14:textId="77777777" w:rsidR="00623CFC" w:rsidRPr="00EA3E67" w:rsidRDefault="00623CFC" w:rsidP="00415DBD">
      <w:pPr>
        <w:rPr>
          <w:rFonts w:ascii="Mulish" w:hAnsi="Mulish"/>
        </w:rPr>
      </w:pPr>
    </w:p>
    <w:p w14:paraId="5C6C9FDA" w14:textId="77777777" w:rsidR="00623CFC" w:rsidRPr="00EA3E67" w:rsidRDefault="00623CFC" w:rsidP="00415DBD">
      <w:pPr>
        <w:rPr>
          <w:rFonts w:ascii="Mulish" w:hAnsi="Mulish"/>
        </w:rPr>
      </w:pPr>
    </w:p>
    <w:p w14:paraId="2A8B3BDC" w14:textId="77777777" w:rsidR="0082470D" w:rsidRPr="00EA3E67" w:rsidRDefault="00EA3E67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EA3E67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EA3E67" w:rsidRDefault="0082470D" w:rsidP="0082470D">
      <w:pPr>
        <w:rPr>
          <w:rFonts w:ascii="Mulish" w:hAnsi="Mulish"/>
        </w:rPr>
      </w:pPr>
    </w:p>
    <w:p w14:paraId="79FB20F4" w14:textId="77777777" w:rsidR="00760E4B" w:rsidRPr="00EA3E67" w:rsidRDefault="00760E4B" w:rsidP="003E564B">
      <w:pPr>
        <w:pStyle w:val="Cuerpodelboletn"/>
        <w:rPr>
          <w:rFonts w:ascii="Mulish" w:hAnsi="Mulish"/>
        </w:rPr>
        <w:sectPr w:rsidR="00760E4B" w:rsidRPr="00EA3E67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EA3E67" w14:paraId="20B915EC" w14:textId="77777777" w:rsidTr="007750C9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EA3E6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A3E6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EA3E6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A3E6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EA3E6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A3E6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EA3E67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EA3E6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EA3E6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EA3E67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EA3E6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EA3E67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EA3E6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EA3E6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EA3E67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EA3E6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EA3E67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EA3E6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EA3E6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54891FA9" w:rsidR="00D77D83" w:rsidRPr="00EA3E67" w:rsidRDefault="00D77D83" w:rsidP="00F23609">
            <w:pPr>
              <w:pStyle w:val="Prrafodelista"/>
              <w:numPr>
                <w:ilvl w:val="0"/>
                <w:numId w:val="21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4FD024EC" w:rsidR="00D77D83" w:rsidRPr="00EA3E67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S</w:t>
            </w:r>
            <w:r w:rsidR="00D035FF" w:rsidRPr="00EA3E67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D77D83" w:rsidRPr="00EA3E67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EA3E6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EA3E6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EA3E67" w:rsidRDefault="00D77D83" w:rsidP="00F23609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573B1C45" w:rsidR="00D77D83" w:rsidRPr="00EA3E67" w:rsidRDefault="00F23609" w:rsidP="00D035F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S</w:t>
            </w:r>
            <w:r w:rsidR="00D035FF" w:rsidRPr="00EA3E67">
              <w:rPr>
                <w:rFonts w:ascii="Mulish" w:hAnsi="Mulish"/>
                <w:sz w:val="18"/>
                <w:szCs w:val="18"/>
              </w:rPr>
              <w:t>í</w:t>
            </w:r>
            <w:r w:rsidR="00B7547A" w:rsidRPr="00EA3E67">
              <w:rPr>
                <w:rFonts w:ascii="Mulish" w:hAnsi="Mulish"/>
                <w:sz w:val="18"/>
                <w:szCs w:val="18"/>
              </w:rPr>
              <w:t>, se ha enlazado a algunas obligaciones que se publicaban en otros accesos de la web</w:t>
            </w:r>
          </w:p>
        </w:tc>
      </w:tr>
      <w:tr w:rsidR="00F23609" w:rsidRPr="00EA3E67" w14:paraId="25FD81B6" w14:textId="77777777" w:rsidTr="00F2360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23609" w:rsidRPr="00EA3E67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B5C4DA6" w:rsidR="00F23609" w:rsidRPr="00EA3E67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7777777" w:rsidR="00F23609" w:rsidRPr="00EA3E67" w:rsidRDefault="00F2360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77777777" w:rsidR="00F23609" w:rsidRPr="00EA3E67" w:rsidRDefault="00F23609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13D176B9" w:rsidR="00F361B3" w:rsidRPr="00EA3E67" w:rsidRDefault="00F2360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7D7A7D7B" w:rsidR="00F361B3" w:rsidRPr="00EA3E67" w:rsidRDefault="00F23609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No, sigue sin publicarse una descripción de la estructura organizativa de la Agencia</w:t>
            </w:r>
          </w:p>
        </w:tc>
      </w:tr>
      <w:tr w:rsidR="00F361B3" w:rsidRPr="00EA3E67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</w:tcPr>
          <w:p w14:paraId="7536926B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99C04D4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F361B3" w:rsidRPr="00EA3E6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B0E3B9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F361B3" w:rsidRPr="00EA3E6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C1F37D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F361B3" w:rsidRPr="00EA3E6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5D12303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EA3E67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EA3E6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33349EBA" w:rsidR="00F361B3" w:rsidRPr="00EA3E67" w:rsidRDefault="00F9489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33B202AB" w:rsidR="00F361B3" w:rsidRPr="00EA3E67" w:rsidRDefault="00F94891" w:rsidP="00D035FF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 xml:space="preserve">No. El acceso a la información de contratación sigue efectuándose a través de la PCSP, lo que impide la fácil localización de </w:t>
            </w:r>
            <w:r w:rsidR="00F73BCB" w:rsidRPr="00EA3E67">
              <w:rPr>
                <w:rFonts w:ascii="Mulish" w:hAnsi="Mulish"/>
                <w:sz w:val="18"/>
                <w:szCs w:val="18"/>
              </w:rPr>
              <w:t>esta</w:t>
            </w:r>
            <w:r w:rsidRPr="00EA3E67">
              <w:rPr>
                <w:rFonts w:ascii="Mulish" w:hAnsi="Mulish"/>
                <w:sz w:val="18"/>
                <w:szCs w:val="18"/>
              </w:rPr>
              <w:t xml:space="preserve"> información  </w:t>
            </w:r>
          </w:p>
        </w:tc>
      </w:tr>
      <w:tr w:rsidR="00F361B3" w:rsidRPr="00EA3E67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EA3E6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EA3E6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7E65248F" w:rsidR="00F361B3" w:rsidRPr="00EA3E67" w:rsidRDefault="00F9489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67D7AB" w14:textId="57AF464C" w:rsidR="00F361B3" w:rsidRPr="00EA3E67" w:rsidRDefault="00F94891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EA3E67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EA3E6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7A28AC92" w:rsidR="00F361B3" w:rsidRPr="00EA3E67" w:rsidRDefault="00F9489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6644459A" w:rsidR="00F361B3" w:rsidRPr="00EA3E67" w:rsidRDefault="00F94891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EA3E67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EA3E6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77777777" w:rsidR="00F361B3" w:rsidRPr="00EA3E6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A3E67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642EFFC2" w:rsidR="00F361B3" w:rsidRPr="00EA3E67" w:rsidRDefault="00F9489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0C13512" w14:textId="4F5F5E45" w:rsidR="00F361B3" w:rsidRPr="00EA3E67" w:rsidRDefault="00F94891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EA3E67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18B05051" w:rsidR="00F361B3" w:rsidRPr="00EA3E67" w:rsidRDefault="00F9489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732FE1" w14:textId="5F55AAA6" w:rsidR="00F361B3" w:rsidRPr="00EA3E67" w:rsidRDefault="00F94891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EA3E67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4809C49" w:rsidR="00F361B3" w:rsidRPr="00EA3E67" w:rsidRDefault="00F9489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4EF7CA18" w:rsidR="00F361B3" w:rsidRPr="00EA3E67" w:rsidRDefault="00F94891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94891" w:rsidRPr="00EA3E67" w14:paraId="48BA35CC" w14:textId="77777777" w:rsidTr="00F361B3">
        <w:tc>
          <w:tcPr>
            <w:tcW w:w="1661" w:type="dxa"/>
            <w:vMerge/>
            <w:vAlign w:val="center"/>
          </w:tcPr>
          <w:p w14:paraId="58B08802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E9DDB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</w:tcPr>
          <w:p w14:paraId="53DA87F7" w14:textId="48B9EFA0" w:rsidR="00F94891" w:rsidRPr="00EA3E67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19EEB6C" w14:textId="202AAEAF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94891" w:rsidRPr="00EA3E67" w14:paraId="5AD8D378" w14:textId="77777777" w:rsidTr="00F361B3">
        <w:tc>
          <w:tcPr>
            <w:tcW w:w="1661" w:type="dxa"/>
            <w:vMerge/>
            <w:vAlign w:val="center"/>
          </w:tcPr>
          <w:p w14:paraId="2AAEA95B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A3C9A0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</w:tcPr>
          <w:p w14:paraId="6B7AB020" w14:textId="207C3616" w:rsidR="00F94891" w:rsidRPr="00EA3E67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CC3B3E2" w14:textId="58339A8B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EA3E67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77777777" w:rsidR="00F361B3" w:rsidRPr="00EA3E67" w:rsidRDefault="00F361B3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7777777" w:rsidR="00F361B3" w:rsidRPr="00EA3E67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EA3E67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243390D1" w:rsidR="00F94891" w:rsidRPr="00EA3E67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694773E5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94891" w:rsidRPr="00EA3E67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2A1EFC7A" w:rsidR="00F94891" w:rsidRPr="00EA3E67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668D441" w14:textId="01C899A2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94891" w:rsidRPr="00EA3E67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07BA9001" w:rsidR="00F94891" w:rsidRPr="00EA3E67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9C04CE" w14:textId="1B333A0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94891" w:rsidRPr="00EA3E67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1745E9D7" w:rsidR="00F94891" w:rsidRPr="00EA3E67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3982F7A" w14:textId="70289663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94891" w:rsidRPr="00EA3E67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601E3BC7" w:rsidR="00F94891" w:rsidRPr="00EA3E67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E0CFE57" w14:textId="02E8216E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94891" w:rsidRPr="00EA3E67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1E572E2A" w:rsidR="00F94891" w:rsidRPr="00EA3E67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6803B63" w14:textId="1192B364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EA3E67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F361B3" w:rsidRPr="00EA3E6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F361B3" w:rsidRPr="00EA3E67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77777777" w:rsidR="00F361B3" w:rsidRPr="00EA3E67" w:rsidRDefault="00F361B3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77777777" w:rsidR="00F361B3" w:rsidRPr="00EA3E67" w:rsidRDefault="00F361B3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EA3E67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599D7C6D" w:rsidR="00F94891" w:rsidRPr="00EA3E67" w:rsidRDefault="00F94891" w:rsidP="00F9489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0F15385" w14:textId="09BB57FD" w:rsidR="00F94891" w:rsidRPr="00EA3E6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EA3E67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EA3E67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EA3E67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EA3E67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EA3E67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EA3E67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EA3E67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EA3E67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EA3E67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EA3E6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043ECFD6" w:rsidR="00A249BB" w:rsidRPr="00EA3E67" w:rsidRDefault="00F94891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42086D0E" w:rsidR="00A249BB" w:rsidRPr="00EA3E67" w:rsidRDefault="00F94891" w:rsidP="002E1A55">
            <w:pPr>
              <w:rPr>
                <w:rFonts w:ascii="Mulish" w:hAnsi="Mulish"/>
                <w:sz w:val="18"/>
                <w:szCs w:val="18"/>
              </w:rPr>
            </w:pPr>
            <w:r w:rsidRPr="00EA3E6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EA3E67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EA3E67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EA3E67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EA3E67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1A29FA24" w:rsidR="00A249BB" w:rsidRPr="00EA3E67" w:rsidRDefault="00F94891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EA3E67">
              <w:rPr>
                <w:rFonts w:ascii="Mulish" w:hAnsi="Mulish"/>
                <w:b/>
                <w:sz w:val="18"/>
                <w:szCs w:val="18"/>
              </w:rPr>
              <w:t>1</w:t>
            </w:r>
            <w:r w:rsidR="00B7547A" w:rsidRPr="00EA3E67"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709" w:type="dxa"/>
          </w:tcPr>
          <w:p w14:paraId="29655252" w14:textId="77777777" w:rsidR="00A249BB" w:rsidRPr="00EA3E67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EA3E67" w:rsidRDefault="003A1694" w:rsidP="00AC4A6F">
      <w:pPr>
        <w:rPr>
          <w:rFonts w:ascii="Mulish" w:hAnsi="Mulish"/>
        </w:rPr>
      </w:pPr>
    </w:p>
    <w:p w14:paraId="037740DE" w14:textId="77777777" w:rsidR="00DF56A7" w:rsidRPr="00EA3E67" w:rsidRDefault="00DF56A7" w:rsidP="00DF56A7">
      <w:pPr>
        <w:jc w:val="both"/>
        <w:rPr>
          <w:rFonts w:ascii="Mulish" w:hAnsi="Mulish"/>
        </w:rPr>
      </w:pPr>
    </w:p>
    <w:p w14:paraId="11003E59" w14:textId="30222BDF" w:rsidR="00BA4354" w:rsidRPr="00EA3E67" w:rsidRDefault="00F94891" w:rsidP="00DF56A7">
      <w:pPr>
        <w:jc w:val="both"/>
        <w:rPr>
          <w:rFonts w:ascii="Mulish" w:hAnsi="Mulish"/>
        </w:rPr>
      </w:pPr>
      <w:r w:rsidRPr="00EA3E67">
        <w:rPr>
          <w:rFonts w:ascii="Mulish" w:hAnsi="Mulish"/>
        </w:rPr>
        <w:t>AESA</w:t>
      </w:r>
      <w:r w:rsidR="00C52EE5" w:rsidRPr="00EA3E67">
        <w:rPr>
          <w:rFonts w:ascii="Mulish" w:hAnsi="Mulish"/>
        </w:rPr>
        <w:t xml:space="preserve"> ha aplicado </w:t>
      </w:r>
      <w:r w:rsidRPr="00EA3E67">
        <w:rPr>
          <w:rFonts w:ascii="Mulish" w:hAnsi="Mulish"/>
        </w:rPr>
        <w:t>dos</w:t>
      </w:r>
      <w:r w:rsidR="00C52EE5" w:rsidRPr="00EA3E67">
        <w:rPr>
          <w:rFonts w:ascii="Mulish" w:hAnsi="Mulish"/>
        </w:rPr>
        <w:t xml:space="preserve"> de las </w:t>
      </w:r>
      <w:r w:rsidRPr="00EA3E67">
        <w:rPr>
          <w:rFonts w:ascii="Mulish" w:hAnsi="Mulish"/>
        </w:rPr>
        <w:t>1</w:t>
      </w:r>
      <w:r w:rsidR="00B7547A" w:rsidRPr="00EA3E67">
        <w:rPr>
          <w:rFonts w:ascii="Mulish" w:hAnsi="Mulish"/>
        </w:rPr>
        <w:t>9</w:t>
      </w:r>
      <w:r w:rsidRPr="00EA3E67">
        <w:rPr>
          <w:rFonts w:ascii="Mulish" w:hAnsi="Mulish"/>
        </w:rPr>
        <w:t xml:space="preserve"> </w:t>
      </w:r>
      <w:r w:rsidR="00C52EE5" w:rsidRPr="00EA3E67">
        <w:rPr>
          <w:rFonts w:ascii="Mulish" w:hAnsi="Mulish"/>
        </w:rPr>
        <w:t>recomendaciones derivadas de la evaluación realizada en 202</w:t>
      </w:r>
      <w:r w:rsidRPr="00EA3E67">
        <w:rPr>
          <w:rFonts w:ascii="Mulish" w:hAnsi="Mulish"/>
        </w:rPr>
        <w:t>3</w:t>
      </w:r>
      <w:r w:rsidR="00C52EE5" w:rsidRPr="00EA3E67">
        <w:rPr>
          <w:rFonts w:ascii="Mulish" w:hAnsi="Mulish"/>
        </w:rPr>
        <w:t>.</w:t>
      </w:r>
    </w:p>
    <w:p w14:paraId="51648A90" w14:textId="77777777" w:rsidR="00FA5AFD" w:rsidRPr="00EA3E67" w:rsidRDefault="00FA5AFD" w:rsidP="00AC4A6F">
      <w:pPr>
        <w:rPr>
          <w:rFonts w:ascii="Mulish" w:hAnsi="Mulish"/>
        </w:rPr>
      </w:pPr>
    </w:p>
    <w:p w14:paraId="192492ED" w14:textId="77777777" w:rsidR="00E17DF6" w:rsidRPr="00EA3E67" w:rsidRDefault="00E17DF6" w:rsidP="00AC4A6F">
      <w:pPr>
        <w:rPr>
          <w:rFonts w:ascii="Mulish" w:hAnsi="Mulish"/>
        </w:rPr>
      </w:pPr>
    </w:p>
    <w:p w14:paraId="2B25550E" w14:textId="310BF7D2" w:rsidR="00FA5AFD" w:rsidRPr="00EA3E67" w:rsidRDefault="00FA5AFD" w:rsidP="00AC4A6F">
      <w:pPr>
        <w:rPr>
          <w:rFonts w:ascii="Mulish" w:hAnsi="Mulish"/>
        </w:rPr>
      </w:pPr>
    </w:p>
    <w:p w14:paraId="523CD473" w14:textId="77777777" w:rsidR="003F6EDC" w:rsidRPr="00EA3E67" w:rsidRDefault="00EA3E67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EA3E67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EA3E67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F907A1B" w14:textId="18880ED7" w:rsidR="00B7547A" w:rsidRPr="00EA3E67" w:rsidRDefault="00B7547A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B7547A" w:rsidRPr="00EA3E67" w14:paraId="48473E36" w14:textId="77777777" w:rsidTr="00B7547A">
        <w:trPr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43DF9656" w14:textId="3779326E" w:rsidR="00B7547A" w:rsidRPr="00EA3E67" w:rsidRDefault="00B7547A" w:rsidP="00B7547A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397384E" w14:textId="77777777" w:rsidR="00B7547A" w:rsidRPr="00EA3E67" w:rsidRDefault="00B7547A" w:rsidP="00B7547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B580B17" w14:textId="77777777" w:rsidR="00B7547A" w:rsidRPr="00EA3E67" w:rsidRDefault="00B7547A" w:rsidP="00B7547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BAE237B" w14:textId="77777777" w:rsidR="00B7547A" w:rsidRPr="00EA3E67" w:rsidRDefault="00B7547A" w:rsidP="00B7547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2941360" w14:textId="77777777" w:rsidR="00B7547A" w:rsidRPr="00EA3E67" w:rsidRDefault="00B7547A" w:rsidP="00B7547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5B84715" w14:textId="77777777" w:rsidR="00B7547A" w:rsidRPr="00EA3E67" w:rsidRDefault="00B7547A" w:rsidP="00B7547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98BB82F" w14:textId="77777777" w:rsidR="00B7547A" w:rsidRPr="00EA3E67" w:rsidRDefault="00B7547A" w:rsidP="00B7547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025CED3" w14:textId="77777777" w:rsidR="00B7547A" w:rsidRPr="00EA3E67" w:rsidRDefault="00B7547A" w:rsidP="00B7547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57C2FEC" w14:textId="77777777" w:rsidR="00B7547A" w:rsidRPr="00EA3E67" w:rsidRDefault="00B7547A" w:rsidP="00B7547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7547A" w:rsidRPr="00EA3E67" w14:paraId="2E2583AE" w14:textId="77777777" w:rsidTr="00B7547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02A7ECC" w14:textId="77777777" w:rsidR="00B7547A" w:rsidRPr="00EA3E67" w:rsidRDefault="00B7547A" w:rsidP="00B7547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4F4881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9D4205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FAACC1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C25A60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121528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C251D0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C94778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C7AC30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81,8</w:t>
            </w:r>
          </w:p>
        </w:tc>
      </w:tr>
      <w:tr w:rsidR="00B7547A" w:rsidRPr="00EA3E67" w14:paraId="62E63308" w14:textId="77777777" w:rsidTr="00B7547A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03986AB" w14:textId="77777777" w:rsidR="00B7547A" w:rsidRPr="00EA3E67" w:rsidRDefault="00B7547A" w:rsidP="00B7547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F053DE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CE4E54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9FCED2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CE341D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B236F7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F39A71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78AC80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7EA755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89,3</w:t>
            </w:r>
          </w:p>
        </w:tc>
      </w:tr>
      <w:tr w:rsidR="00B7547A" w:rsidRPr="00EA3E67" w14:paraId="44AB0F4E" w14:textId="77777777" w:rsidTr="00B7547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4409ADD" w14:textId="77777777" w:rsidR="00B7547A" w:rsidRPr="00EA3E67" w:rsidRDefault="00B7547A" w:rsidP="00B7547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81EBC6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3EDC73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9C1998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8EB2C2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22,2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6CB4CF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615E9C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7778C9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61A95C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30,2</w:t>
            </w:r>
          </w:p>
        </w:tc>
      </w:tr>
      <w:tr w:rsidR="00B7547A" w:rsidRPr="00EA3E67" w14:paraId="1FCEA5E1" w14:textId="77777777" w:rsidTr="00B7547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176F7DA" w14:textId="77777777" w:rsidR="00B7547A" w:rsidRPr="00EA3E67" w:rsidRDefault="00B7547A" w:rsidP="00B7547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0F6233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37300A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3AF707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23AA13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406F46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F99823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4E4A09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7B1483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B7547A" w:rsidRPr="00EA3E67" w14:paraId="2A5613C0" w14:textId="77777777" w:rsidTr="00B7547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5BE7CBB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C40387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54,0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C8139C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A4F8AC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54,8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E4D6BF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0F2551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54,8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177CA7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54,8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15DF9E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32,3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309F24" w14:textId="77777777" w:rsidR="00B7547A" w:rsidRPr="00EA3E67" w:rsidRDefault="00B7547A" w:rsidP="00B7547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49,7</w:t>
            </w:r>
          </w:p>
        </w:tc>
      </w:tr>
    </w:tbl>
    <w:p w14:paraId="02AF1BDE" w14:textId="740FADB6" w:rsidR="00FA5AFD" w:rsidRPr="00EA3E67" w:rsidRDefault="00FA5AFD" w:rsidP="00F05E2C">
      <w:pPr>
        <w:pStyle w:val="Cuerpodelboletn"/>
        <w:rPr>
          <w:rFonts w:ascii="Mulish" w:hAnsi="Mulish"/>
          <w:lang w:bidi="es-ES"/>
        </w:rPr>
      </w:pPr>
    </w:p>
    <w:p w14:paraId="7B08898E" w14:textId="77777777" w:rsidR="00FA5AFD" w:rsidRPr="00EA3E67" w:rsidRDefault="00FA5AFD" w:rsidP="00F05E2C">
      <w:pPr>
        <w:pStyle w:val="Cuerpodelboletn"/>
        <w:rPr>
          <w:rFonts w:ascii="Mulish" w:hAnsi="Mulish"/>
          <w:lang w:bidi="es-ES"/>
        </w:rPr>
      </w:pPr>
    </w:p>
    <w:p w14:paraId="2BFB87F4" w14:textId="7190957B" w:rsidR="00A670E9" w:rsidRPr="00EA3E67" w:rsidRDefault="004061BC" w:rsidP="00B7547A">
      <w:pPr>
        <w:pStyle w:val="Cuerpodelboletn"/>
        <w:rPr>
          <w:rFonts w:ascii="Mulish" w:hAnsi="Mulish"/>
        </w:rPr>
      </w:pPr>
      <w:r w:rsidRPr="00EA3E67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B7547A" w:rsidRPr="00EA3E67">
        <w:rPr>
          <w:rFonts w:ascii="Mulish" w:hAnsi="Mulish"/>
          <w:lang w:bidi="es-ES"/>
        </w:rPr>
        <w:t>49,7</w:t>
      </w:r>
      <w:r w:rsidRPr="00EA3E67">
        <w:rPr>
          <w:rFonts w:ascii="Mulish" w:hAnsi="Mulish"/>
          <w:lang w:bidi="es-ES"/>
        </w:rPr>
        <w:t>%.</w:t>
      </w:r>
      <w:r w:rsidR="00BB3652" w:rsidRPr="00EA3E67">
        <w:rPr>
          <w:rFonts w:ascii="Mulish" w:hAnsi="Mulish"/>
          <w:lang w:bidi="es-ES"/>
        </w:rPr>
        <w:t xml:space="preserve"> Respecto de 202</w:t>
      </w:r>
      <w:r w:rsidR="00B7547A" w:rsidRPr="00EA3E67">
        <w:rPr>
          <w:rFonts w:ascii="Mulish" w:hAnsi="Mulish"/>
          <w:lang w:bidi="es-ES"/>
        </w:rPr>
        <w:t>3</w:t>
      </w:r>
      <w:r w:rsidR="00BB3652" w:rsidRPr="00EA3E67">
        <w:rPr>
          <w:rFonts w:ascii="Mulish" w:hAnsi="Mulish"/>
          <w:lang w:bidi="es-ES"/>
        </w:rPr>
        <w:t xml:space="preserve"> </w:t>
      </w:r>
      <w:r w:rsidR="00B7547A" w:rsidRPr="00EA3E67">
        <w:rPr>
          <w:rFonts w:ascii="Mulish" w:hAnsi="Mulish"/>
          <w:lang w:bidi="es-ES"/>
        </w:rPr>
        <w:t xml:space="preserve">permanece estable, dado que las dos recomendaciones que se han aplicado no tienen impacto sobre el Índice de Cumplimiento. </w:t>
      </w:r>
      <w:r w:rsidR="0076567C" w:rsidRPr="00EA3E67">
        <w:rPr>
          <w:rFonts w:ascii="Mulish" w:hAnsi="Mulish"/>
          <w:lang w:bidi="es-ES"/>
        </w:rPr>
        <w:t xml:space="preserve"> </w:t>
      </w:r>
    </w:p>
    <w:p w14:paraId="6B9B75B4" w14:textId="77777777" w:rsidR="00EB68A3" w:rsidRPr="00EA3E67" w:rsidRDefault="00EB68A3" w:rsidP="00F05E2C">
      <w:pPr>
        <w:pStyle w:val="Cuerpodelboletn"/>
        <w:rPr>
          <w:rFonts w:ascii="Mulish" w:hAnsi="Mulish"/>
        </w:rPr>
        <w:sectPr w:rsidR="00EB68A3" w:rsidRPr="00EA3E6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EA3E67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EA3E67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EA3E67" w:rsidRDefault="00965C69" w:rsidP="00965C69">
      <w:pPr>
        <w:pStyle w:val="Cuerpodelboletn"/>
        <w:rPr>
          <w:rFonts w:ascii="Mulish" w:hAnsi="Mulish"/>
        </w:rPr>
      </w:pPr>
    </w:p>
    <w:p w14:paraId="06476F7C" w14:textId="62B57B43" w:rsidR="00BB3652" w:rsidRPr="00EA3E67" w:rsidRDefault="00BB3652" w:rsidP="00BB3652">
      <w:pPr>
        <w:pStyle w:val="Cuerpodelboletn"/>
        <w:rPr>
          <w:rFonts w:ascii="Mulish" w:hAnsi="Mulish"/>
        </w:rPr>
      </w:pPr>
      <w:r w:rsidRPr="00EA3E67">
        <w:rPr>
          <w:rFonts w:ascii="Mulish" w:hAnsi="Mulish"/>
        </w:rPr>
        <w:t xml:space="preserve">Este CTBG no puede menos que </w:t>
      </w:r>
      <w:r w:rsidRPr="00EA3E67">
        <w:rPr>
          <w:rFonts w:ascii="Mulish" w:hAnsi="Mulish"/>
          <w:b/>
        </w:rPr>
        <w:t xml:space="preserve">valorar </w:t>
      </w:r>
      <w:r w:rsidR="00B7547A" w:rsidRPr="00EA3E67">
        <w:rPr>
          <w:rFonts w:ascii="Mulish" w:hAnsi="Mulish"/>
          <w:b/>
        </w:rPr>
        <w:t xml:space="preserve">muy </w:t>
      </w:r>
      <w:r w:rsidRPr="00EA3E67">
        <w:rPr>
          <w:rFonts w:ascii="Mulish" w:hAnsi="Mulish"/>
          <w:b/>
        </w:rPr>
        <w:t>negativamente</w:t>
      </w:r>
      <w:r w:rsidRPr="00EA3E67">
        <w:rPr>
          <w:rFonts w:ascii="Mulish" w:hAnsi="Mulish"/>
        </w:rPr>
        <w:t xml:space="preserve"> la evolución del cumplimiento de las obligaciones de publicidad activa por parte de </w:t>
      </w:r>
      <w:r w:rsidR="00B7547A" w:rsidRPr="00EA3E67">
        <w:rPr>
          <w:rFonts w:ascii="Mulish" w:hAnsi="Mulish"/>
        </w:rPr>
        <w:t>AESA</w:t>
      </w:r>
      <w:r w:rsidRPr="00EA3E67">
        <w:rPr>
          <w:rFonts w:ascii="Mulish" w:hAnsi="Mulish"/>
        </w:rPr>
        <w:t xml:space="preserve">. </w:t>
      </w:r>
      <w:r w:rsidR="0076567C" w:rsidRPr="00EA3E67">
        <w:rPr>
          <w:rFonts w:ascii="Mulish" w:hAnsi="Mulish"/>
        </w:rPr>
        <w:t>Sólo</w:t>
      </w:r>
      <w:r w:rsidRPr="00EA3E67">
        <w:rPr>
          <w:rFonts w:ascii="Mulish" w:hAnsi="Mulish"/>
        </w:rPr>
        <w:t xml:space="preserve"> se ha</w:t>
      </w:r>
      <w:r w:rsidR="00B7547A" w:rsidRPr="00EA3E67">
        <w:rPr>
          <w:rFonts w:ascii="Mulish" w:hAnsi="Mulish"/>
        </w:rPr>
        <w:t>n</w:t>
      </w:r>
      <w:r w:rsidRPr="00EA3E67">
        <w:rPr>
          <w:rFonts w:ascii="Mulish" w:hAnsi="Mulish"/>
        </w:rPr>
        <w:t xml:space="preserve"> aplicado </w:t>
      </w:r>
      <w:r w:rsidR="00B7547A" w:rsidRPr="00EA3E67">
        <w:rPr>
          <w:rFonts w:ascii="Mulish" w:hAnsi="Mulish"/>
        </w:rPr>
        <w:t>el 10%</w:t>
      </w:r>
      <w:r w:rsidRPr="00EA3E67">
        <w:rPr>
          <w:rFonts w:ascii="Mulish" w:hAnsi="Mulish"/>
        </w:rPr>
        <w:t xml:space="preserve"> </w:t>
      </w:r>
      <w:r w:rsidR="009346CC" w:rsidRPr="00EA3E67">
        <w:rPr>
          <w:rFonts w:ascii="Mulish" w:hAnsi="Mulish"/>
        </w:rPr>
        <w:t xml:space="preserve">de las </w:t>
      </w:r>
      <w:r w:rsidRPr="00EA3E67">
        <w:rPr>
          <w:rFonts w:ascii="Mulish" w:hAnsi="Mulish"/>
        </w:rPr>
        <w:t>recomendaciones efectuadas como consecuencia de la evaluación realizada en 202</w:t>
      </w:r>
      <w:r w:rsidR="00B7547A" w:rsidRPr="00EA3E67">
        <w:rPr>
          <w:rFonts w:ascii="Mulish" w:hAnsi="Mulish"/>
        </w:rPr>
        <w:t>3</w:t>
      </w:r>
      <w:r w:rsidR="007154D5" w:rsidRPr="00EA3E67">
        <w:rPr>
          <w:rFonts w:ascii="Mulish" w:hAnsi="Mulish"/>
        </w:rPr>
        <w:t xml:space="preserve"> y el Índice de Cumplimiento no ha experimentado ninguna mejoría respecto de los valores alcanzados en 2023</w:t>
      </w:r>
      <w:r w:rsidRPr="00EA3E67">
        <w:rPr>
          <w:rFonts w:ascii="Mulish" w:hAnsi="Mulish"/>
        </w:rPr>
        <w:t>.</w:t>
      </w:r>
    </w:p>
    <w:p w14:paraId="7D8CA51C" w14:textId="77777777" w:rsidR="004061BC" w:rsidRPr="00EA3E67" w:rsidRDefault="00BB3652" w:rsidP="00A670E9">
      <w:pPr>
        <w:pStyle w:val="Cuerpodelboletn"/>
        <w:rPr>
          <w:rFonts w:ascii="Mulish" w:hAnsi="Mulish"/>
        </w:rPr>
      </w:pPr>
      <w:r w:rsidRPr="00EA3E67">
        <w:rPr>
          <w:rFonts w:ascii="Mulish" w:hAnsi="Mulish"/>
        </w:rPr>
        <w:t>Como consecuencia de esto persisten los déficits evidenciados en dicha evaluación</w:t>
      </w:r>
      <w:r w:rsidR="00A670E9" w:rsidRPr="00EA3E67">
        <w:rPr>
          <w:rFonts w:ascii="Mulish" w:hAnsi="Mulish"/>
        </w:rPr>
        <w:t xml:space="preserve">: </w:t>
      </w:r>
    </w:p>
    <w:p w14:paraId="17A724CD" w14:textId="77777777" w:rsidR="004061BC" w:rsidRPr="00EA3E67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EA3E6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77777777" w:rsidR="004D4B3E" w:rsidRPr="00EA3E67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 xml:space="preserve">Respecto de la publicación de contenidos, </w:t>
      </w:r>
      <w:r w:rsidR="00A670E9" w:rsidRPr="00EA3E67">
        <w:rPr>
          <w:rFonts w:ascii="Mulish" w:hAnsi="Mulish"/>
        </w:rPr>
        <w:t>sigue sin publicarse:</w:t>
      </w:r>
    </w:p>
    <w:p w14:paraId="4F8C837E" w14:textId="77777777" w:rsidR="00CC3B31" w:rsidRPr="00EA3E67" w:rsidRDefault="00CC3B31" w:rsidP="00CC3B31">
      <w:pPr>
        <w:pStyle w:val="Prrafodelista"/>
        <w:rPr>
          <w:rFonts w:ascii="Mulish" w:hAnsi="Mulish"/>
        </w:rPr>
      </w:pPr>
    </w:p>
    <w:p w14:paraId="5C9D5323" w14:textId="5AA38D0C" w:rsidR="00A670E9" w:rsidRPr="00EA3E67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 xml:space="preserve">Dentro del bloque de información Institucional y Organizativa: </w:t>
      </w:r>
      <w:r w:rsidR="00B7547A" w:rsidRPr="00EA3E67">
        <w:rPr>
          <w:rFonts w:ascii="Mulish" w:hAnsi="Mulish"/>
        </w:rPr>
        <w:t xml:space="preserve">una descripción de la estructura organizativa, incluyendo órganos de gobierno y de gestión. </w:t>
      </w:r>
    </w:p>
    <w:p w14:paraId="653DC6AB" w14:textId="77777777" w:rsidR="00B7547A" w:rsidRPr="00EA3E67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En el bloque de información económica no se publica</w:t>
      </w:r>
      <w:r w:rsidR="00B7547A" w:rsidRPr="00EA3E67">
        <w:rPr>
          <w:rFonts w:ascii="Mulish" w:hAnsi="Mulish"/>
        </w:rPr>
        <w:t>:</w:t>
      </w:r>
    </w:p>
    <w:p w14:paraId="24F3F40A" w14:textId="674691E7" w:rsidR="00B7547A" w:rsidRPr="00EA3E67" w:rsidRDefault="00B7547A" w:rsidP="00B7547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Las modificaciones de contratos adjudicados</w:t>
      </w:r>
      <w:r w:rsidR="009346CC" w:rsidRPr="00EA3E67">
        <w:rPr>
          <w:rFonts w:ascii="Mulish" w:hAnsi="Mulish"/>
        </w:rPr>
        <w:t>.</w:t>
      </w:r>
    </w:p>
    <w:p w14:paraId="0F88FB4C" w14:textId="7B8B12D6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Información estadística sobre el volumen de contratación según procedimiento de licitación.</w:t>
      </w:r>
    </w:p>
    <w:p w14:paraId="151D4CC2" w14:textId="45D381C3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Información estadística sobre el número y el porcentaje en volumen presupuestario de contratos adjudicados a PYMES según tipo de contrato y según procedimiento de licitación.</w:t>
      </w:r>
    </w:p>
    <w:p w14:paraId="102AAC14" w14:textId="19583F96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Información sobre las encomiendas de gestión, incluyendo todos los contenidos informativos contemplados en el artículo 8.1.b de la LTAIBG</w:t>
      </w:r>
      <w:r w:rsidR="009346CC" w:rsidRPr="00EA3E67">
        <w:rPr>
          <w:rFonts w:ascii="Mulish" w:hAnsi="Mulish"/>
        </w:rPr>
        <w:t>.</w:t>
      </w:r>
    </w:p>
    <w:p w14:paraId="50184080" w14:textId="3B65BDA1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Información sobre las subcontrataciones derivadas de las encomiendas de gestión.  Esta información sólo es obtenible si se publica expresamente, ya que, a partir del documento de la encomienda, no es posible conocer el procedimiento de adjudicación de la subcontratación, el adjudicatario y la cuantía, ítems informativos que establece la LTAIBG para esta obligación.</w:t>
      </w:r>
    </w:p>
    <w:p w14:paraId="4D6F420B" w14:textId="2879428D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Información sobre las subvenciones o ayudas públicas concedidas por AESA. Esta información debe incluir el objeto de la subvención o ayuda, los beneficiarios y la cuantía concedida a cada uno de ellos.</w:t>
      </w:r>
    </w:p>
    <w:p w14:paraId="4EFAF164" w14:textId="698C09D9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Los presupuestos</w:t>
      </w:r>
      <w:r w:rsidR="009346CC" w:rsidRPr="00EA3E67">
        <w:rPr>
          <w:rFonts w:ascii="Mulish" w:hAnsi="Mulish"/>
        </w:rPr>
        <w:t>.</w:t>
      </w:r>
    </w:p>
    <w:p w14:paraId="40458E24" w14:textId="3C62B80D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Información sobre ejecución presupuestaria</w:t>
      </w:r>
      <w:r w:rsidR="009346CC" w:rsidRPr="00EA3E67">
        <w:rPr>
          <w:rFonts w:ascii="Mulish" w:hAnsi="Mulish"/>
        </w:rPr>
        <w:t>.</w:t>
      </w:r>
    </w:p>
    <w:p w14:paraId="476AD55E" w14:textId="27F6F09A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Los informes de auditoría y fiscalización elaborados por el Tribunal de Cuentas.</w:t>
      </w:r>
    </w:p>
    <w:p w14:paraId="68884C44" w14:textId="09E35771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Las retribuciones percibidas por altos cargos y máximos responsables.</w:t>
      </w:r>
    </w:p>
    <w:p w14:paraId="4FE2B3BB" w14:textId="5CEAC9E3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Las indemnizaciones percibidas por altos cargos y máximos responsables con ocasión del cese.</w:t>
      </w:r>
    </w:p>
    <w:p w14:paraId="4715DD68" w14:textId="6A63A0F8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 xml:space="preserve">Las autorizaciones de compatibilidad concedidas a empleados </w:t>
      </w:r>
      <w:r w:rsidR="009346CC" w:rsidRPr="00EA3E67">
        <w:rPr>
          <w:rFonts w:ascii="Mulish" w:hAnsi="Mulish"/>
        </w:rPr>
        <w:t>de AESA.</w:t>
      </w:r>
    </w:p>
    <w:p w14:paraId="2CDBBBC5" w14:textId="4313E9FC" w:rsidR="007154D5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lastRenderedPageBreak/>
        <w:t>Las autorizaciones para el ejercicio de actividades privadas concedidas a altos cargos.</w:t>
      </w:r>
    </w:p>
    <w:p w14:paraId="1A8B41CE" w14:textId="0B23420F" w:rsidR="004D4B3E" w:rsidRPr="00EA3E67" w:rsidRDefault="007154D5" w:rsidP="007154D5">
      <w:pPr>
        <w:pStyle w:val="Sinespaciado"/>
        <w:numPr>
          <w:ilvl w:val="1"/>
          <w:numId w:val="20"/>
        </w:numPr>
        <w:spacing w:line="276" w:lineRule="auto"/>
        <w:ind w:left="1134" w:firstLine="0"/>
        <w:jc w:val="both"/>
        <w:rPr>
          <w:rFonts w:ascii="Mulish" w:hAnsi="Mulish"/>
        </w:rPr>
      </w:pPr>
      <w:r w:rsidRPr="00EA3E67">
        <w:rPr>
          <w:rFonts w:ascii="Mulish" w:hAnsi="Mulish"/>
        </w:rPr>
        <w:t>En el bloque de información patrimonial no se publica información sobre los bienes inmuebles propiedad de AESA o sobre los que ejerza algún derecho real</w:t>
      </w:r>
      <w:r w:rsidR="009346CC" w:rsidRPr="00EA3E67">
        <w:rPr>
          <w:rFonts w:ascii="Mulish" w:hAnsi="Mulish"/>
        </w:rPr>
        <w:t>.</w:t>
      </w:r>
    </w:p>
    <w:p w14:paraId="6B683860" w14:textId="77777777" w:rsidR="00C52EE5" w:rsidRPr="00EA3E67" w:rsidRDefault="00C52EE5" w:rsidP="00C52EE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847B217" w14:textId="77777777" w:rsidR="004061BC" w:rsidRPr="00EA3E67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EA3E67">
        <w:rPr>
          <w:rFonts w:ascii="Mulish" w:hAnsi="Mulish"/>
        </w:rPr>
        <w:t>Respecto del cumplimiento de los</w:t>
      </w:r>
      <w:r w:rsidR="00C52EE5" w:rsidRPr="00EA3E67">
        <w:rPr>
          <w:rFonts w:ascii="Mulish" w:hAnsi="Mulish"/>
        </w:rPr>
        <w:t xml:space="preserve"> </w:t>
      </w:r>
      <w:r w:rsidRPr="00EA3E67">
        <w:rPr>
          <w:rFonts w:ascii="Mulish" w:hAnsi="Mulish"/>
        </w:rPr>
        <w:t xml:space="preserve">criterios de calidad en la publicación de la información, </w:t>
      </w:r>
      <w:r w:rsidR="0076567C" w:rsidRPr="00EA3E67">
        <w:rPr>
          <w:rFonts w:ascii="Mulish" w:hAnsi="Mulish"/>
        </w:rPr>
        <w:t xml:space="preserve">gran parte de la información no está datada y </w:t>
      </w:r>
      <w:r w:rsidRPr="00EA3E67">
        <w:rPr>
          <w:rFonts w:ascii="Mulish" w:hAnsi="Mulish"/>
        </w:rPr>
        <w:t xml:space="preserve">sigue sin publicarse </w:t>
      </w:r>
      <w:r w:rsidR="004D4B3E" w:rsidRPr="00EA3E67">
        <w:rPr>
          <w:rFonts w:ascii="Mulish" w:hAnsi="Mulish"/>
        </w:rPr>
        <w:t xml:space="preserve">la fecha </w:t>
      </w:r>
      <w:r w:rsidRPr="00EA3E67">
        <w:rPr>
          <w:rFonts w:ascii="Mulish" w:hAnsi="Mulish"/>
        </w:rPr>
        <w:t xml:space="preserve">en </w:t>
      </w:r>
      <w:r w:rsidR="004D4B3E" w:rsidRPr="00EA3E67">
        <w:rPr>
          <w:rFonts w:ascii="Mulish" w:hAnsi="Mulish"/>
        </w:rPr>
        <w:t xml:space="preserve">que se revisó o actualizó por última vez </w:t>
      </w:r>
      <w:r w:rsidR="00CC3B31" w:rsidRPr="00EA3E67">
        <w:rPr>
          <w:rFonts w:ascii="Mulish" w:hAnsi="Mulish"/>
        </w:rPr>
        <w:t>la información obligatoria publicada en el Portal de Transparencia o en la web de la entidad.</w:t>
      </w:r>
    </w:p>
    <w:p w14:paraId="1187CF89" w14:textId="77777777" w:rsidR="004D4B3E" w:rsidRPr="00EA3E67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0E2BF60B" w:rsidR="004061BC" w:rsidRPr="00EA3E67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EA3E67">
        <w:rPr>
          <w:rFonts w:ascii="Mulish" w:hAnsi="Mulish"/>
        </w:rPr>
        <w:t xml:space="preserve">Madrid, </w:t>
      </w:r>
      <w:r w:rsidR="00F73BCB" w:rsidRPr="00EA3E67">
        <w:rPr>
          <w:rFonts w:ascii="Mulish" w:hAnsi="Mulish"/>
        </w:rPr>
        <w:t>abril</w:t>
      </w:r>
      <w:r w:rsidRPr="00EA3E67">
        <w:rPr>
          <w:rFonts w:ascii="Mulish" w:hAnsi="Mulish"/>
        </w:rPr>
        <w:t xml:space="preserve"> de 202</w:t>
      </w:r>
      <w:r w:rsidR="007154D5" w:rsidRPr="00EA3E67">
        <w:rPr>
          <w:rFonts w:ascii="Mulish" w:hAnsi="Mulish"/>
        </w:rPr>
        <w:t>4</w:t>
      </w:r>
    </w:p>
    <w:p w14:paraId="5DB8548C" w14:textId="77777777" w:rsidR="00C259F4" w:rsidRPr="00EA3E67" w:rsidRDefault="00C259F4" w:rsidP="00965C69">
      <w:pPr>
        <w:pStyle w:val="Cuerpodelboletn"/>
        <w:rPr>
          <w:rFonts w:ascii="Mulish" w:hAnsi="Mulish"/>
        </w:rPr>
        <w:sectPr w:rsidR="00C259F4" w:rsidRPr="00EA3E67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EA3E67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EA3E6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EA3E6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EA3E6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EA3E6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EA3E67" w:rsidRDefault="004061BC">
      <w:pPr>
        <w:rPr>
          <w:rFonts w:ascii="Mulish" w:hAnsi="Mulish"/>
          <w:szCs w:val="22"/>
        </w:rPr>
      </w:pPr>
      <w:r w:rsidRPr="00EA3E67">
        <w:rPr>
          <w:rFonts w:ascii="Mulish" w:hAnsi="Mulish"/>
        </w:rPr>
        <w:br w:type="page"/>
      </w:r>
    </w:p>
    <w:p w14:paraId="0C4D15C8" w14:textId="77777777" w:rsidR="00E17DF6" w:rsidRPr="00EA3E6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EA3E67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EA3E6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EA3E6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EA3E6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EA3E6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EA3E67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EA3E67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EA3E67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EA3E67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EA3E67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EA3E67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EA3E67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EA3E67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EA3E67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EA3E67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EA3E67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EA3E67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EA3E67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EA3E67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EA3E67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EA3E67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EA3E67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EA3E67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EA3E67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EA3E67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EA3E67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EA3E67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EA3E67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A3E67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EA3E67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A3E67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EA3E67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A3E67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EA3E67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A3E67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EA3E67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A3E67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EA3E67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EA3E6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EA3E67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EA3E6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EA3E6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EA3E67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EA3E67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EA3E67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EA3E67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EA3E67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EA3E67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EA3E6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EA3E6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A3E6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EA3E67" w:rsidRDefault="00965C69" w:rsidP="00965C69">
      <w:pPr>
        <w:pStyle w:val="Cuerpodelboletn"/>
        <w:rPr>
          <w:rFonts w:ascii="Mulish" w:hAnsi="Mulish"/>
        </w:rPr>
      </w:pPr>
    </w:p>
    <w:sectPr w:rsidR="00965C69" w:rsidRPr="00EA3E67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223" w14:textId="77777777" w:rsidR="00F73BCB" w:rsidRDefault="00F73B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16D8" w14:textId="77777777" w:rsidR="00F73BCB" w:rsidRDefault="00F73B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017C" w14:textId="77777777" w:rsidR="00F73BCB" w:rsidRDefault="00F73B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A80" w14:textId="5567A268" w:rsidR="00F73BCB" w:rsidRDefault="00F73B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A398" w14:textId="03CE60DA" w:rsidR="00F73BCB" w:rsidRDefault="00F73B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1BD8" w14:textId="101D76EA" w:rsidR="00F73BCB" w:rsidRDefault="00F73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7.5pt;height:7.5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50C9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346CC"/>
    <w:rsid w:val="00947271"/>
    <w:rsid w:val="009654DA"/>
    <w:rsid w:val="00965C69"/>
    <w:rsid w:val="00982299"/>
    <w:rsid w:val="009A15A6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035FF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A3E67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66C41"/>
    <w:rsid w:val="00F7274D"/>
    <w:rsid w:val="00F73BCB"/>
    <w:rsid w:val="00F94891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4873beb7-5857-4685-be1f-d57550cc96cc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48</TotalTime>
  <Pages>6</Pages>
  <Words>1263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8</cp:revision>
  <cp:lastPrinted>2008-09-26T23:14:00Z</cp:lastPrinted>
  <dcterms:created xsi:type="dcterms:W3CDTF">2024-02-28T09:19:00Z</dcterms:created>
  <dcterms:modified xsi:type="dcterms:W3CDTF">2024-05-06T08:37:00Z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