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AE2125" w:rsidRDefault="00DF25D7" w:rsidP="001E6578">
      <w:pPr>
        <w:tabs>
          <w:tab w:val="left" w:pos="2835"/>
        </w:tabs>
        <w:rPr>
          <w:rFonts w:ascii="Mulish" w:hAnsi="Mulish"/>
        </w:rPr>
      </w:pPr>
      <w:r w:rsidRPr="00AE2125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AE212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9A45F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AE212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AE2125" w:rsidRDefault="0082470D">
      <w:pPr>
        <w:rPr>
          <w:rFonts w:ascii="Mulish" w:hAnsi="Mulish"/>
        </w:rPr>
      </w:pPr>
    </w:p>
    <w:p w14:paraId="00CD97DB" w14:textId="77777777" w:rsidR="0082470D" w:rsidRPr="00AE2125" w:rsidRDefault="0082470D">
      <w:pPr>
        <w:rPr>
          <w:rFonts w:ascii="Mulish" w:hAnsi="Mulish"/>
        </w:rPr>
      </w:pPr>
    </w:p>
    <w:p w14:paraId="6A476580" w14:textId="77777777" w:rsidR="0082470D" w:rsidRPr="00AE2125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AE2125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AE2125" w:rsidRDefault="00751FAA" w:rsidP="0082470D">
      <w:pPr>
        <w:rPr>
          <w:rFonts w:ascii="Mulish" w:hAnsi="Mulish"/>
          <w:b/>
          <w:sz w:val="36"/>
        </w:rPr>
      </w:pPr>
      <w:r w:rsidRPr="00AE212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AE2125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AE2125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AE2125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AE2125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AE2125" w14:paraId="69022734" w14:textId="77777777" w:rsidTr="00623CFC">
        <w:tc>
          <w:tcPr>
            <w:tcW w:w="3625" w:type="dxa"/>
          </w:tcPr>
          <w:p w14:paraId="705ACB26" w14:textId="77777777" w:rsidR="00623CFC" w:rsidRPr="00AE2125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AE2125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136717B9" w:rsidR="00623CFC" w:rsidRPr="00AE2125" w:rsidRDefault="0038100D" w:rsidP="00B77E42">
            <w:pPr>
              <w:rPr>
                <w:rFonts w:ascii="Mulish" w:hAnsi="Mulish"/>
                <w:sz w:val="24"/>
              </w:rPr>
            </w:pPr>
            <w:r w:rsidRPr="00AE2125">
              <w:rPr>
                <w:rFonts w:ascii="Mulish" w:hAnsi="Mulish"/>
                <w:sz w:val="24"/>
              </w:rPr>
              <w:t xml:space="preserve">Autoridad Portuaria de </w:t>
            </w:r>
            <w:r w:rsidR="009D02BA" w:rsidRPr="00AE2125">
              <w:rPr>
                <w:rFonts w:ascii="Mulish" w:hAnsi="Mulish"/>
                <w:sz w:val="24"/>
              </w:rPr>
              <w:t xml:space="preserve">Ferrol-San </w:t>
            </w:r>
            <w:proofErr w:type="spellStart"/>
            <w:r w:rsidR="009D02BA" w:rsidRPr="00AE2125">
              <w:rPr>
                <w:rFonts w:ascii="Mulish" w:hAnsi="Mulish"/>
                <w:sz w:val="24"/>
              </w:rPr>
              <w:t>Cibrao</w:t>
            </w:r>
            <w:proofErr w:type="spellEnd"/>
            <w:r w:rsidRPr="00AE2125">
              <w:rPr>
                <w:rFonts w:ascii="Mulish" w:hAnsi="Mulish"/>
                <w:sz w:val="24"/>
              </w:rPr>
              <w:t xml:space="preserve"> (AP</w:t>
            </w:r>
            <w:r w:rsidR="009D02BA" w:rsidRPr="00AE2125">
              <w:rPr>
                <w:rFonts w:ascii="Mulish" w:hAnsi="Mulish"/>
                <w:sz w:val="24"/>
              </w:rPr>
              <w:t>FSC</w:t>
            </w:r>
            <w:r w:rsidRPr="00AE2125">
              <w:rPr>
                <w:rFonts w:ascii="Mulish" w:hAnsi="Mulish"/>
                <w:sz w:val="24"/>
              </w:rPr>
              <w:t>)</w:t>
            </w:r>
          </w:p>
        </w:tc>
      </w:tr>
      <w:tr w:rsidR="00623CFC" w:rsidRPr="00AE2125" w14:paraId="0EABDAFA" w14:textId="77777777" w:rsidTr="00623CFC">
        <w:tc>
          <w:tcPr>
            <w:tcW w:w="3625" w:type="dxa"/>
          </w:tcPr>
          <w:p w14:paraId="12A6D2F4" w14:textId="77777777" w:rsidR="00623CFC" w:rsidRPr="00AE2125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AE2125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0F543B32" w:rsidR="00623CFC" w:rsidRPr="00AE2125" w:rsidRDefault="00B76F07" w:rsidP="00B77E42">
            <w:pPr>
              <w:rPr>
                <w:rFonts w:ascii="Mulish" w:hAnsi="Mulish"/>
                <w:sz w:val="24"/>
              </w:rPr>
            </w:pPr>
            <w:r w:rsidRPr="00AE2125">
              <w:rPr>
                <w:rFonts w:ascii="Mulish" w:hAnsi="Mulish"/>
                <w:sz w:val="24"/>
              </w:rPr>
              <w:t>01</w:t>
            </w:r>
            <w:r w:rsidR="009A15A6" w:rsidRPr="00AE2125">
              <w:rPr>
                <w:rFonts w:ascii="Mulish" w:hAnsi="Mulish"/>
                <w:sz w:val="24"/>
              </w:rPr>
              <w:t>/0</w:t>
            </w:r>
            <w:r w:rsidRPr="00AE2125">
              <w:rPr>
                <w:rFonts w:ascii="Mulish" w:hAnsi="Mulish"/>
                <w:sz w:val="24"/>
              </w:rPr>
              <w:t>3</w:t>
            </w:r>
            <w:r w:rsidR="009A15A6" w:rsidRPr="00AE2125">
              <w:rPr>
                <w:rFonts w:ascii="Mulish" w:hAnsi="Mulish"/>
                <w:sz w:val="24"/>
              </w:rPr>
              <w:t>/2024</w:t>
            </w:r>
          </w:p>
          <w:p w14:paraId="4B837EFF" w14:textId="76A186A6" w:rsidR="00623CFC" w:rsidRPr="00AE2125" w:rsidRDefault="00623CFC" w:rsidP="00B77E42">
            <w:pPr>
              <w:rPr>
                <w:rFonts w:ascii="Mulish" w:hAnsi="Mulish"/>
                <w:sz w:val="24"/>
              </w:rPr>
            </w:pPr>
            <w:r w:rsidRPr="00AE2125">
              <w:rPr>
                <w:rFonts w:ascii="Mulish" w:hAnsi="Mulish"/>
                <w:sz w:val="24"/>
              </w:rPr>
              <w:t xml:space="preserve">Segunda revisión: </w:t>
            </w:r>
            <w:r w:rsidR="002B37B6" w:rsidRPr="00AE2125">
              <w:rPr>
                <w:rFonts w:ascii="Mulish" w:hAnsi="Mulish"/>
                <w:sz w:val="24"/>
              </w:rPr>
              <w:t>04</w:t>
            </w:r>
            <w:r w:rsidR="00894054" w:rsidRPr="00AE2125">
              <w:rPr>
                <w:rFonts w:ascii="Mulish" w:hAnsi="Mulish"/>
                <w:sz w:val="24"/>
              </w:rPr>
              <w:t>/</w:t>
            </w:r>
            <w:r w:rsidR="002B37B6" w:rsidRPr="00AE2125">
              <w:rPr>
                <w:rFonts w:ascii="Mulish" w:hAnsi="Mulish"/>
                <w:sz w:val="24"/>
              </w:rPr>
              <w:t>04</w:t>
            </w:r>
            <w:r w:rsidR="00894054" w:rsidRPr="00AE2125">
              <w:rPr>
                <w:rFonts w:ascii="Mulish" w:hAnsi="Mulish"/>
                <w:sz w:val="24"/>
              </w:rPr>
              <w:t>/2024</w:t>
            </w:r>
          </w:p>
        </w:tc>
      </w:tr>
    </w:tbl>
    <w:p w14:paraId="460832EE" w14:textId="77777777" w:rsidR="00623CFC" w:rsidRPr="00AE2125" w:rsidRDefault="00623CFC" w:rsidP="00415DBD">
      <w:pPr>
        <w:rPr>
          <w:rFonts w:ascii="Mulish" w:hAnsi="Mulish"/>
        </w:rPr>
      </w:pPr>
    </w:p>
    <w:p w14:paraId="5C6C9FDA" w14:textId="77777777" w:rsidR="00623CFC" w:rsidRPr="00AE2125" w:rsidRDefault="00623CFC" w:rsidP="00415DBD">
      <w:pPr>
        <w:rPr>
          <w:rFonts w:ascii="Mulish" w:hAnsi="Mulish"/>
        </w:rPr>
      </w:pPr>
    </w:p>
    <w:p w14:paraId="2A8B3BDC" w14:textId="77777777" w:rsidR="0082470D" w:rsidRPr="00AE2125" w:rsidRDefault="00AE2125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AE2125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AE2125" w:rsidRDefault="0082470D" w:rsidP="0082470D">
      <w:pPr>
        <w:rPr>
          <w:rFonts w:ascii="Mulish" w:hAnsi="Mulish"/>
        </w:rPr>
      </w:pPr>
    </w:p>
    <w:p w14:paraId="79FB20F4" w14:textId="77777777" w:rsidR="00760E4B" w:rsidRPr="00AE2125" w:rsidRDefault="00760E4B" w:rsidP="003E564B">
      <w:pPr>
        <w:pStyle w:val="Cuerpodelboletn"/>
        <w:rPr>
          <w:rFonts w:ascii="Mulish" w:hAnsi="Mulish"/>
        </w:rPr>
        <w:sectPr w:rsidR="00760E4B" w:rsidRPr="00AE2125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AE2125" w14:paraId="20B915EC" w14:textId="77777777" w:rsidTr="002B37B6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AE2125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E212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AE2125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E212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AE2125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E2125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AE2125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AE212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AE212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6CB6AF1E" w:rsidR="00D77D83" w:rsidRPr="00AE2125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448ECF1" w:rsidR="00D77D83" w:rsidRPr="00AE212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AE2125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AE212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AE212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AE2125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AE212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AE2125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AE212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AE212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1B074AC5" w:rsidR="00D77D83" w:rsidRPr="00AE2125" w:rsidRDefault="00D77D83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35EB32C4" w:rsidR="00D77D83" w:rsidRPr="00AE212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AE2125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AE2125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AE2125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345D4910" w:rsidR="00D77D83" w:rsidRPr="00AE2125" w:rsidRDefault="00D77D83" w:rsidP="008C0799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0122BE04" w:rsidR="00D77D83" w:rsidRPr="00AE2125" w:rsidRDefault="008C0799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S</w:t>
            </w:r>
            <w:r w:rsidR="00894054" w:rsidRPr="00AE2125">
              <w:rPr>
                <w:rFonts w:ascii="Mulish" w:hAnsi="Mulish"/>
                <w:sz w:val="18"/>
                <w:szCs w:val="18"/>
              </w:rPr>
              <w:t>í</w:t>
            </w:r>
          </w:p>
        </w:tc>
      </w:tr>
      <w:tr w:rsidR="00FC58C2" w:rsidRPr="00AE2125" w14:paraId="25FD81B6" w14:textId="77777777" w:rsidTr="00F2360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AE2125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6AE32D0C" w:rsidR="00FC58C2" w:rsidRPr="00AE2125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51A6A6B2" w:rsidR="00FC58C2" w:rsidRPr="00AE2125" w:rsidRDefault="00FC58C2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3768FC5F" w:rsidR="00FC58C2" w:rsidRPr="00AE2125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E2125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AE212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AE212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AE2125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77777777" w:rsidR="00F361B3" w:rsidRPr="00AE212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C0799" w:rsidRPr="00AE2125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8C0799" w:rsidRPr="00AE2125" w:rsidRDefault="008C0799" w:rsidP="008C0799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8C0799" w:rsidRPr="00AE2125" w:rsidRDefault="008C0799" w:rsidP="008C0799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1653A1A6" w:rsidR="008C0799" w:rsidRPr="00AE2125" w:rsidRDefault="008C0799" w:rsidP="002B37B6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C5C744" w14:textId="40C622F3" w:rsidR="008C0799" w:rsidRPr="00AE2125" w:rsidRDefault="002B37B6" w:rsidP="000865F4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0865F4" w:rsidRPr="00AE2125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0865F4" w:rsidRPr="00AE2125" w:rsidRDefault="000865F4" w:rsidP="000865F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0865F4" w:rsidRPr="00AE2125" w:rsidRDefault="000865F4" w:rsidP="000865F4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2566D7B" w:rsidR="000865F4" w:rsidRPr="00AE2125" w:rsidRDefault="000865F4" w:rsidP="000865F4">
            <w:pPr>
              <w:ind w:left="360"/>
              <w:jc w:val="right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4FEECC" w14:textId="78B2F36D" w:rsidR="000865F4" w:rsidRPr="00AE2125" w:rsidRDefault="000865F4" w:rsidP="000865F4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AE2125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05C9AB0F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3D61E70A" w:rsidR="009D1242" w:rsidRPr="00AE2125" w:rsidRDefault="009D1242" w:rsidP="00B76F07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105FCAE4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2125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24B40B42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648CD543" w:rsidR="009D1242" w:rsidRPr="00AE2125" w:rsidRDefault="009D1242" w:rsidP="00B76F0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6FE94F1C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2125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343940F6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Perfil y Trayectoria Profesional</w:t>
            </w:r>
          </w:p>
        </w:tc>
        <w:tc>
          <w:tcPr>
            <w:tcW w:w="691" w:type="dxa"/>
          </w:tcPr>
          <w:p w14:paraId="7536926B" w14:textId="6054B0C3" w:rsidR="009D1242" w:rsidRPr="00AE2125" w:rsidRDefault="009D1242" w:rsidP="00B76F0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99C04D4" w14:textId="3B2A498E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2125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7AD6AAE6" w:rsidR="009D1242" w:rsidRPr="00AE2125" w:rsidRDefault="00B76F07" w:rsidP="00B76F0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BB0E3B9" w14:textId="655CBABF" w:rsidR="009D1242" w:rsidRPr="00AE2125" w:rsidRDefault="00B76F07" w:rsidP="00894054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No, sigue sin publicarse la documentación completa de los planes y programas</w:t>
            </w:r>
          </w:p>
        </w:tc>
      </w:tr>
      <w:tr w:rsidR="009D1242" w:rsidRPr="00AE2125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31750F93" w:rsidR="009D1242" w:rsidRPr="00AE2125" w:rsidRDefault="00B76F07" w:rsidP="00B76F07">
            <w:pPr>
              <w:ind w:left="360"/>
              <w:jc w:val="right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FC1F37D" w14:textId="123E2D13" w:rsidR="009D1242" w:rsidRPr="00AE2125" w:rsidRDefault="00B76F07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AE2125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7653EF91" w:rsidR="009D1242" w:rsidRPr="00AE2125" w:rsidRDefault="00B76F07" w:rsidP="00B76F07">
            <w:pPr>
              <w:ind w:left="360"/>
              <w:jc w:val="right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5D12303" w14:textId="4C100276" w:rsidR="009D1242" w:rsidRPr="00AE2125" w:rsidRDefault="00B76F07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AE2125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AE212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AE2125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45BE3FA5" w:rsidR="00F361B3" w:rsidRPr="00AE2125" w:rsidRDefault="00F361B3" w:rsidP="00B76F0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1629340B" w:rsidR="00F361B3" w:rsidRPr="00AE212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E2125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AE212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AE2125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2911E25B" w:rsidR="00F361B3" w:rsidRPr="00AE2125" w:rsidRDefault="00F361B3" w:rsidP="00B76F07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1931DDAD" w:rsidR="00F361B3" w:rsidRPr="00AE2125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0865F4" w:rsidRPr="00AE2125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0865F4" w:rsidRPr="00AE2125" w:rsidRDefault="000865F4" w:rsidP="000865F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0865F4" w:rsidRPr="00AE2125" w:rsidRDefault="000865F4" w:rsidP="000865F4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562A6369" w:rsidR="000865F4" w:rsidRPr="00AE2125" w:rsidRDefault="000865F4" w:rsidP="00EE78C4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709" w:type="dxa"/>
          </w:tcPr>
          <w:p w14:paraId="50BA9922" w14:textId="3F30EE57" w:rsidR="000865F4" w:rsidRPr="00AE2125" w:rsidRDefault="00853AB0" w:rsidP="00AA705A">
            <w:pPr>
              <w:jc w:val="both"/>
              <w:rPr>
                <w:rFonts w:ascii="Mulish" w:hAnsi="Mulish"/>
                <w:sz w:val="18"/>
                <w:szCs w:val="20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Si, aunque el cuadro resumen de contratación n</w:t>
            </w:r>
            <w:r w:rsidR="002B37B6" w:rsidRPr="00AE2125">
              <w:rPr>
                <w:rFonts w:ascii="Mulish" w:hAnsi="Mulish"/>
                <w:sz w:val="18"/>
                <w:szCs w:val="18"/>
              </w:rPr>
              <w:t xml:space="preserve">o incluye todos los ítems informativos obligatorios que establece el artículo 8.1.a de la LTAIBG. No se informa sobre </w:t>
            </w:r>
            <w:r w:rsidRPr="00AE2125">
              <w:rPr>
                <w:rFonts w:ascii="Mulish" w:hAnsi="Mulish"/>
                <w:sz w:val="18"/>
                <w:szCs w:val="18"/>
              </w:rPr>
              <w:t xml:space="preserve">la </w:t>
            </w:r>
            <w:r w:rsidR="002B37B6" w:rsidRPr="00AE2125">
              <w:rPr>
                <w:rFonts w:ascii="Mulish" w:hAnsi="Mulish"/>
                <w:sz w:val="18"/>
                <w:szCs w:val="18"/>
              </w:rPr>
              <w:t>duración del contrato, importe de licitación, instrumentos de publicidad y número de licitadores</w:t>
            </w:r>
            <w:r w:rsidRPr="00AE2125">
              <w:rPr>
                <w:rFonts w:ascii="Mulish" w:hAnsi="Mulish"/>
                <w:sz w:val="18"/>
                <w:szCs w:val="18"/>
              </w:rPr>
              <w:t xml:space="preserve">. </w:t>
            </w:r>
          </w:p>
        </w:tc>
      </w:tr>
      <w:tr w:rsidR="009D1242" w:rsidRPr="00AE2125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1AEF4D88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Modificaciones de contratos</w:t>
            </w:r>
          </w:p>
        </w:tc>
        <w:tc>
          <w:tcPr>
            <w:tcW w:w="691" w:type="dxa"/>
          </w:tcPr>
          <w:p w14:paraId="2C681418" w14:textId="5CFF2F21" w:rsidR="009D1242" w:rsidRPr="00AE2125" w:rsidRDefault="00AA72CD" w:rsidP="00A93BA7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7A148" w14:textId="03136AA7" w:rsidR="009D1242" w:rsidRPr="00AE2125" w:rsidRDefault="00AA72CD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AE2125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73AEB0B5" w:rsidR="009D1242" w:rsidRPr="00AE2125" w:rsidRDefault="000865F4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3272BDB" w14:textId="0A4032B4" w:rsidR="009D1242" w:rsidRPr="00AE2125" w:rsidRDefault="000865F4" w:rsidP="000865F4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AE2125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2C84112F" w:rsidR="009D1242" w:rsidRPr="00AE2125" w:rsidRDefault="009D1242" w:rsidP="000865F4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1E0AA6F0" w:rsidR="009D1242" w:rsidRPr="00AE2125" w:rsidRDefault="00853AB0" w:rsidP="00AA705A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9D1242" w:rsidRPr="00AE2125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5E2EC467" w:rsidR="009D1242" w:rsidRPr="00AE2125" w:rsidRDefault="00CE7761" w:rsidP="00CE7761">
            <w:pPr>
              <w:ind w:left="360"/>
              <w:jc w:val="right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8B5D7B" w14:textId="5F3FC062" w:rsidR="009D1242" w:rsidRPr="00AE2125" w:rsidRDefault="00CE7761" w:rsidP="00CE7761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AE2125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31BBB57" w:rsidR="009D1242" w:rsidRPr="00AE2125" w:rsidRDefault="009D1242" w:rsidP="00853AB0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6C43DC3B" w:rsidR="009D1242" w:rsidRPr="00AE2125" w:rsidRDefault="00853AB0" w:rsidP="00853AB0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9D1242" w:rsidRPr="00AE2125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2C6396BD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Convenios</w:t>
            </w:r>
            <w:r w:rsidR="00A93BA7" w:rsidRPr="00AE2125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</w:tcPr>
          <w:p w14:paraId="5B4BEFCA" w14:textId="3C937384" w:rsidR="009D1242" w:rsidRPr="00AE2125" w:rsidRDefault="009D1242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AECE8" w14:textId="3F2D0130" w:rsidR="009D1242" w:rsidRPr="00AE2125" w:rsidRDefault="009D1242" w:rsidP="00CE776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2125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403AE29C" w:rsidR="009D1242" w:rsidRPr="00AE2125" w:rsidRDefault="009D1242" w:rsidP="000E5A4B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C13512" w14:textId="0D9EEA35" w:rsidR="009D1242" w:rsidRPr="00AE2125" w:rsidRDefault="00853AB0" w:rsidP="00AA705A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9D1242" w:rsidRPr="00AE2125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4FAB527E" w:rsidR="009D1242" w:rsidRPr="00AE2125" w:rsidRDefault="00CE7761" w:rsidP="00A93BA7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1732FE1" w14:textId="614FB728" w:rsidR="009D1242" w:rsidRPr="00AE2125" w:rsidRDefault="00CE7761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AE2125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64DBA9BC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B55C6B" w:rsidRPr="00AE2125">
              <w:rPr>
                <w:rFonts w:ascii="Mulish" w:hAnsi="Mulish"/>
                <w:sz w:val="18"/>
                <w:szCs w:val="18"/>
              </w:rPr>
              <w:t>: publicación directa</w:t>
            </w:r>
          </w:p>
        </w:tc>
        <w:tc>
          <w:tcPr>
            <w:tcW w:w="691" w:type="dxa"/>
          </w:tcPr>
          <w:p w14:paraId="24AE29F5" w14:textId="786CE915" w:rsidR="009D1242" w:rsidRPr="00AE2125" w:rsidRDefault="009D1242" w:rsidP="000E5A4B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032E6E9E" w:rsidR="009D1242" w:rsidRPr="00AE2125" w:rsidRDefault="000E5A4B" w:rsidP="0090486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Aunque se ha aplicado la recomendación, la información que se publica a través del acceso Plan de Recuperación, Transformación y Resiliencia parece estar referida a las subvenciones percibidas por la AP, no a las concedidas por la entidad.</w:t>
            </w:r>
          </w:p>
        </w:tc>
      </w:tr>
      <w:tr w:rsidR="009D1242" w:rsidRPr="00AE2125" w14:paraId="48BA35CC" w14:textId="77777777" w:rsidTr="000E5A4B">
        <w:tc>
          <w:tcPr>
            <w:tcW w:w="1661" w:type="dxa"/>
            <w:vMerge/>
            <w:vAlign w:val="center"/>
          </w:tcPr>
          <w:p w14:paraId="58B08802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275653F4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11D65281" w:rsidR="009D1242" w:rsidRPr="00AE2125" w:rsidRDefault="00EA3448" w:rsidP="00B55C6B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1F52F593" w:rsidR="009D1242" w:rsidRPr="00AE2125" w:rsidRDefault="00EA3448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AE2125" w14:paraId="5AD8D378" w14:textId="77777777" w:rsidTr="000E5A4B">
        <w:tc>
          <w:tcPr>
            <w:tcW w:w="1661" w:type="dxa"/>
            <w:vMerge/>
            <w:vAlign w:val="center"/>
          </w:tcPr>
          <w:p w14:paraId="2AAEA95B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34AA92D2" w:rsidR="009D1242" w:rsidRPr="00AE2125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46DA02CF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2125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4264C2CD" w:rsidR="009D1242" w:rsidRPr="00AE2125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0ECF510B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2125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67AE083B" w:rsidR="009D1242" w:rsidRPr="00AE2125" w:rsidRDefault="00EA3448" w:rsidP="00B55C6B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0799AF49" w:rsidR="009D1242" w:rsidRPr="00AE2125" w:rsidRDefault="00EA3448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AE2125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7F4BCD66" w:rsidR="009D1242" w:rsidRPr="00AE2125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7D534A06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2125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4D538729" w:rsidR="009D1242" w:rsidRPr="00AE2125" w:rsidRDefault="00EA3448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9C04CE" w14:textId="5D597F16" w:rsidR="009D1242" w:rsidRPr="00AE2125" w:rsidRDefault="00EA3448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AE2125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07C44B7B" w:rsidR="009D1242" w:rsidRPr="00AE2125" w:rsidRDefault="009D1242" w:rsidP="00E8360F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3982F7A" w14:textId="585432C1" w:rsidR="009D1242" w:rsidRPr="00AE2125" w:rsidRDefault="00E8360F" w:rsidP="0090486C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9D1242" w:rsidRPr="00AE2125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7FE63516" w:rsidR="009D1242" w:rsidRPr="00AE2125" w:rsidRDefault="00EA3448" w:rsidP="00EA3448">
            <w:pPr>
              <w:jc w:val="right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6803B63" w14:textId="44AD4591" w:rsidR="009D1242" w:rsidRPr="00AE2125" w:rsidRDefault="00EA3448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9D1242" w:rsidRPr="00AE2125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65015011" w:rsidR="009D1242" w:rsidRPr="00AE2125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6020CA64" w:rsidR="009D1242" w:rsidRPr="00AE2125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AE2125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94891" w:rsidRPr="00AE2125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A8201D5" w:rsidR="00F94891" w:rsidRPr="00AE2125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</w:t>
            </w:r>
            <w:r w:rsidR="003B721D" w:rsidRPr="00AE2125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691" w:type="dxa"/>
          </w:tcPr>
          <w:p w14:paraId="6A03701F" w14:textId="4652A909" w:rsidR="00F94891" w:rsidRPr="00AE2125" w:rsidRDefault="00EA3448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0F15385" w14:textId="61546660" w:rsidR="00F94891" w:rsidRPr="00AE2125" w:rsidRDefault="00EA3448" w:rsidP="00F94891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AE2125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AE2125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AE2125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6C6BBB56" w:rsidR="00A249BB" w:rsidRPr="00AE2125" w:rsidRDefault="00A249BB" w:rsidP="00EA3448">
            <w:pPr>
              <w:jc w:val="right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107B7CB4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AE2125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AE2125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AE2125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AE2125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AE2125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AE2125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DE850B4" w:rsidR="00A249BB" w:rsidRPr="00AE2125" w:rsidRDefault="00EA3448" w:rsidP="00CE7761">
            <w:pPr>
              <w:ind w:left="360"/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77EA68F5" w:rsidR="00A249BB" w:rsidRPr="00AE2125" w:rsidRDefault="00EA3448" w:rsidP="002E1A55">
            <w:pPr>
              <w:rPr>
                <w:rFonts w:ascii="Mulish" w:hAnsi="Mulish"/>
                <w:sz w:val="18"/>
                <w:szCs w:val="18"/>
              </w:rPr>
            </w:pPr>
            <w:r w:rsidRPr="00AE2125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AE2125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AE2125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AE2125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AE2125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789F1F8B" w:rsidR="00A249BB" w:rsidRPr="00AE2125" w:rsidRDefault="00EA3448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AE2125">
              <w:rPr>
                <w:rFonts w:ascii="Mulish" w:hAnsi="Mulish"/>
                <w:b/>
                <w:sz w:val="18"/>
                <w:szCs w:val="18"/>
              </w:rPr>
              <w:t>22</w:t>
            </w:r>
          </w:p>
        </w:tc>
        <w:tc>
          <w:tcPr>
            <w:tcW w:w="2709" w:type="dxa"/>
          </w:tcPr>
          <w:p w14:paraId="29655252" w14:textId="77777777" w:rsidR="00A249BB" w:rsidRPr="00AE2125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AE2125" w:rsidRDefault="003A1694" w:rsidP="00AC4A6F">
      <w:pPr>
        <w:rPr>
          <w:rFonts w:ascii="Mulish" w:hAnsi="Mulish"/>
        </w:rPr>
      </w:pPr>
    </w:p>
    <w:p w14:paraId="037740DE" w14:textId="77777777" w:rsidR="00DF56A7" w:rsidRPr="00AE2125" w:rsidRDefault="00DF56A7" w:rsidP="00DF56A7">
      <w:pPr>
        <w:jc w:val="both"/>
        <w:rPr>
          <w:rFonts w:ascii="Mulish" w:hAnsi="Mulish"/>
        </w:rPr>
      </w:pPr>
    </w:p>
    <w:p w14:paraId="11003E59" w14:textId="2E599A12" w:rsidR="00BA4354" w:rsidRPr="00AE2125" w:rsidRDefault="009D1242" w:rsidP="00DF56A7">
      <w:pPr>
        <w:jc w:val="both"/>
        <w:rPr>
          <w:rFonts w:ascii="Mulish" w:hAnsi="Mulish"/>
        </w:rPr>
      </w:pPr>
      <w:r w:rsidRPr="00AE2125">
        <w:rPr>
          <w:rFonts w:ascii="Mulish" w:hAnsi="Mulish"/>
        </w:rPr>
        <w:t xml:space="preserve">La </w:t>
      </w:r>
      <w:r w:rsidR="003B721D" w:rsidRPr="00AE2125">
        <w:rPr>
          <w:rFonts w:ascii="Mulish" w:hAnsi="Mulish"/>
        </w:rPr>
        <w:t xml:space="preserve">AP de </w:t>
      </w:r>
      <w:r w:rsidR="00865E18" w:rsidRPr="00AE2125">
        <w:rPr>
          <w:rFonts w:ascii="Mulish" w:hAnsi="Mulish"/>
        </w:rPr>
        <w:t xml:space="preserve">Ferrol-San </w:t>
      </w:r>
      <w:proofErr w:type="spellStart"/>
      <w:r w:rsidR="00865E18" w:rsidRPr="00AE2125">
        <w:rPr>
          <w:rFonts w:ascii="Mulish" w:hAnsi="Mulish"/>
        </w:rPr>
        <w:t>Cibrao</w:t>
      </w:r>
      <w:proofErr w:type="spellEnd"/>
      <w:r w:rsidR="00EA3448" w:rsidRPr="00AE2125">
        <w:rPr>
          <w:rFonts w:ascii="Mulish" w:hAnsi="Mulish"/>
        </w:rPr>
        <w:t xml:space="preserve"> </w:t>
      </w:r>
      <w:r w:rsidRPr="00AE2125">
        <w:rPr>
          <w:rFonts w:ascii="Mulish" w:hAnsi="Mulish"/>
        </w:rPr>
        <w:t xml:space="preserve">ha aplicado </w:t>
      </w:r>
      <w:r w:rsidR="00E8360F" w:rsidRPr="00AE2125">
        <w:rPr>
          <w:rFonts w:ascii="Mulish" w:hAnsi="Mulish"/>
        </w:rPr>
        <w:t>8</w:t>
      </w:r>
      <w:r w:rsidRPr="00AE2125">
        <w:rPr>
          <w:rFonts w:ascii="Mulish" w:hAnsi="Mulish"/>
        </w:rPr>
        <w:t xml:space="preserve"> </w:t>
      </w:r>
      <w:r w:rsidR="00C52EE5" w:rsidRPr="00AE2125">
        <w:rPr>
          <w:rFonts w:ascii="Mulish" w:hAnsi="Mulish"/>
        </w:rPr>
        <w:t xml:space="preserve">de las </w:t>
      </w:r>
      <w:r w:rsidR="00EA3448" w:rsidRPr="00AE2125">
        <w:rPr>
          <w:rFonts w:ascii="Mulish" w:hAnsi="Mulish"/>
        </w:rPr>
        <w:t>22</w:t>
      </w:r>
      <w:r w:rsidR="00F94891" w:rsidRPr="00AE2125">
        <w:rPr>
          <w:rFonts w:ascii="Mulish" w:hAnsi="Mulish"/>
        </w:rPr>
        <w:t xml:space="preserve"> </w:t>
      </w:r>
      <w:r w:rsidR="00C52EE5" w:rsidRPr="00AE2125">
        <w:rPr>
          <w:rFonts w:ascii="Mulish" w:hAnsi="Mulish"/>
        </w:rPr>
        <w:t>recomendaciones derivadas de la evaluación realizada en 202</w:t>
      </w:r>
      <w:r w:rsidR="00F94891" w:rsidRPr="00AE2125">
        <w:rPr>
          <w:rFonts w:ascii="Mulish" w:hAnsi="Mulish"/>
        </w:rPr>
        <w:t>3</w:t>
      </w:r>
      <w:r w:rsidR="00C52EE5" w:rsidRPr="00AE2125">
        <w:rPr>
          <w:rFonts w:ascii="Mulish" w:hAnsi="Mulish"/>
        </w:rPr>
        <w:t>.</w:t>
      </w:r>
    </w:p>
    <w:p w14:paraId="51648A90" w14:textId="77777777" w:rsidR="00FA5AFD" w:rsidRPr="00AE2125" w:rsidRDefault="00FA5AFD" w:rsidP="00AC4A6F">
      <w:pPr>
        <w:rPr>
          <w:rFonts w:ascii="Mulish" w:hAnsi="Mulish"/>
        </w:rPr>
      </w:pPr>
    </w:p>
    <w:p w14:paraId="192492ED" w14:textId="192F0A27" w:rsidR="00E17DF6" w:rsidRPr="00AE2125" w:rsidRDefault="00E17DF6" w:rsidP="00AC4A6F">
      <w:pPr>
        <w:rPr>
          <w:rFonts w:ascii="Mulish" w:hAnsi="Mulish"/>
        </w:rPr>
      </w:pPr>
    </w:p>
    <w:p w14:paraId="3CA53344" w14:textId="3E785E16" w:rsidR="00EA3448" w:rsidRPr="00AE2125" w:rsidRDefault="00EA3448" w:rsidP="00AC4A6F">
      <w:pPr>
        <w:rPr>
          <w:rFonts w:ascii="Mulish" w:hAnsi="Mulish"/>
        </w:rPr>
      </w:pPr>
    </w:p>
    <w:p w14:paraId="2ABE38A7" w14:textId="5E901D28" w:rsidR="00E8360F" w:rsidRPr="00AE2125" w:rsidRDefault="00E8360F" w:rsidP="00AC4A6F">
      <w:pPr>
        <w:rPr>
          <w:rFonts w:ascii="Mulish" w:hAnsi="Mulish"/>
        </w:rPr>
      </w:pPr>
    </w:p>
    <w:p w14:paraId="59BB741A" w14:textId="0761EADB" w:rsidR="00E8360F" w:rsidRPr="00AE2125" w:rsidRDefault="00E8360F" w:rsidP="00AC4A6F">
      <w:pPr>
        <w:rPr>
          <w:rFonts w:ascii="Mulish" w:hAnsi="Mulish"/>
        </w:rPr>
      </w:pPr>
    </w:p>
    <w:p w14:paraId="527B8C21" w14:textId="68BBAD25" w:rsidR="00E8360F" w:rsidRPr="00AE2125" w:rsidRDefault="00E8360F" w:rsidP="00AC4A6F">
      <w:pPr>
        <w:rPr>
          <w:rFonts w:ascii="Mulish" w:hAnsi="Mulish"/>
        </w:rPr>
      </w:pPr>
    </w:p>
    <w:p w14:paraId="02EE5882" w14:textId="0CC63491" w:rsidR="00E8360F" w:rsidRPr="00AE2125" w:rsidRDefault="00E8360F" w:rsidP="00AC4A6F">
      <w:pPr>
        <w:rPr>
          <w:rFonts w:ascii="Mulish" w:hAnsi="Mulish"/>
        </w:rPr>
      </w:pPr>
    </w:p>
    <w:p w14:paraId="2ADB6124" w14:textId="3D2A70F8" w:rsidR="00E8360F" w:rsidRPr="00AE2125" w:rsidRDefault="00E8360F" w:rsidP="00AC4A6F">
      <w:pPr>
        <w:rPr>
          <w:rFonts w:ascii="Mulish" w:hAnsi="Mulish"/>
        </w:rPr>
      </w:pPr>
    </w:p>
    <w:p w14:paraId="203CAEF4" w14:textId="53108222" w:rsidR="00E8360F" w:rsidRPr="00AE2125" w:rsidRDefault="00E8360F" w:rsidP="00AC4A6F">
      <w:pPr>
        <w:rPr>
          <w:rFonts w:ascii="Mulish" w:hAnsi="Mulish"/>
        </w:rPr>
      </w:pPr>
    </w:p>
    <w:p w14:paraId="3B5D34BC" w14:textId="01BCD6BC" w:rsidR="00E8360F" w:rsidRPr="00AE2125" w:rsidRDefault="00E8360F" w:rsidP="00AC4A6F">
      <w:pPr>
        <w:rPr>
          <w:rFonts w:ascii="Mulish" w:hAnsi="Mulish"/>
        </w:rPr>
      </w:pPr>
    </w:p>
    <w:p w14:paraId="448693E2" w14:textId="77777777" w:rsidR="00E8360F" w:rsidRPr="00AE2125" w:rsidRDefault="00E8360F" w:rsidP="00AC4A6F">
      <w:pPr>
        <w:rPr>
          <w:rFonts w:ascii="Mulish" w:hAnsi="Mulish"/>
        </w:rPr>
      </w:pPr>
    </w:p>
    <w:p w14:paraId="7C613038" w14:textId="3783C27D" w:rsidR="00EA3448" w:rsidRPr="00AE2125" w:rsidRDefault="00EA3448" w:rsidP="00AC4A6F">
      <w:pPr>
        <w:rPr>
          <w:rFonts w:ascii="Mulish" w:hAnsi="Mulish"/>
        </w:rPr>
      </w:pPr>
    </w:p>
    <w:p w14:paraId="2B25550E" w14:textId="05D736F2" w:rsidR="00FA5AFD" w:rsidRPr="00AE2125" w:rsidRDefault="00FA5AFD" w:rsidP="00AC4A6F">
      <w:pPr>
        <w:rPr>
          <w:rFonts w:ascii="Mulish" w:hAnsi="Mulish"/>
        </w:rPr>
      </w:pPr>
    </w:p>
    <w:p w14:paraId="523CD473" w14:textId="77777777" w:rsidR="003F6EDC" w:rsidRPr="00AE2125" w:rsidRDefault="00AE2125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AE2125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AE2125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594EDB96" w14:textId="5ED9754C" w:rsidR="00E8360F" w:rsidRPr="00AE2125" w:rsidRDefault="00E8360F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E8360F" w:rsidRPr="00AE2125" w14:paraId="4AFC9ADD" w14:textId="77777777" w:rsidTr="00E8360F">
        <w:trPr>
          <w:divId w:val="708920554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BFC6E48" w14:textId="3BF8F800" w:rsidR="00E8360F" w:rsidRPr="00AE2125" w:rsidRDefault="00E8360F" w:rsidP="00E8360F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E1FB51E" w14:textId="77777777" w:rsidR="00E8360F" w:rsidRPr="00AE2125" w:rsidRDefault="00E8360F" w:rsidP="00E8360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1742E7F" w14:textId="77777777" w:rsidR="00E8360F" w:rsidRPr="00AE2125" w:rsidRDefault="00E8360F" w:rsidP="00E8360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1287583" w14:textId="77777777" w:rsidR="00E8360F" w:rsidRPr="00AE2125" w:rsidRDefault="00E8360F" w:rsidP="00E8360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830DEFC" w14:textId="77777777" w:rsidR="00E8360F" w:rsidRPr="00AE2125" w:rsidRDefault="00E8360F" w:rsidP="00E8360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5E72C75" w14:textId="77777777" w:rsidR="00E8360F" w:rsidRPr="00AE2125" w:rsidRDefault="00E8360F" w:rsidP="00E8360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0A171B7" w14:textId="77777777" w:rsidR="00E8360F" w:rsidRPr="00AE2125" w:rsidRDefault="00E8360F" w:rsidP="00E8360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C94362C" w14:textId="77777777" w:rsidR="00E8360F" w:rsidRPr="00AE2125" w:rsidRDefault="00E8360F" w:rsidP="00E8360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CEF14C6" w14:textId="77777777" w:rsidR="00E8360F" w:rsidRPr="00AE2125" w:rsidRDefault="00E8360F" w:rsidP="00E8360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E8360F" w:rsidRPr="00AE2125" w14:paraId="564065CB" w14:textId="77777777" w:rsidTr="00E8360F">
        <w:trPr>
          <w:divId w:val="70892055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7CDED32" w14:textId="77777777" w:rsidR="00E8360F" w:rsidRPr="00AE2125" w:rsidRDefault="00E8360F" w:rsidP="00E8360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1179FF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81F584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B4A689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65D0F5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0DEBCB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1BABB4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96F3E1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16D043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55,7</w:t>
            </w:r>
          </w:p>
        </w:tc>
      </w:tr>
      <w:tr w:rsidR="00E8360F" w:rsidRPr="00AE2125" w14:paraId="33D86A5B" w14:textId="77777777" w:rsidTr="00E8360F">
        <w:trPr>
          <w:divId w:val="708920554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F8DF336" w14:textId="77777777" w:rsidR="00E8360F" w:rsidRPr="00AE2125" w:rsidRDefault="00E8360F" w:rsidP="00E8360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4FFD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49A4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0346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8772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F35C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ED30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F8F7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1438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</w:tr>
      <w:tr w:rsidR="00E8360F" w:rsidRPr="00AE2125" w14:paraId="4D4C3D9E" w14:textId="77777777" w:rsidTr="00E8360F">
        <w:trPr>
          <w:divId w:val="70892055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074FFE0" w14:textId="77777777" w:rsidR="00E8360F" w:rsidRPr="00AE2125" w:rsidRDefault="00E8360F" w:rsidP="00E8360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88ED8B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45,1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0DDE09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45,1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0BF8E1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45,1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57A202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45,1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EF1180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45,1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7F2F1F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45,1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3F8702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45,1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2B5442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45,1</w:t>
            </w:r>
          </w:p>
        </w:tc>
      </w:tr>
      <w:tr w:rsidR="00E8360F" w:rsidRPr="00AE2125" w14:paraId="6AA70BD8" w14:textId="77777777" w:rsidTr="00E8360F">
        <w:trPr>
          <w:divId w:val="70892055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0E4C7D8" w14:textId="77777777" w:rsidR="00E8360F" w:rsidRPr="00AE2125" w:rsidRDefault="00E8360F" w:rsidP="00E8360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5D18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154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1021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88F2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8647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2DE2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F3A5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D1CA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E8360F" w:rsidRPr="00AE2125" w14:paraId="63B04C35" w14:textId="77777777" w:rsidTr="00E8360F">
        <w:trPr>
          <w:divId w:val="708920554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57E5907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B2A292C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B7A6FB4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1C0377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4BDB31D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8D32EF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E7B4AB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0AE6A7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39,1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83F691C" w14:textId="77777777" w:rsidR="00E8360F" w:rsidRPr="00AE2125" w:rsidRDefault="00E8360F" w:rsidP="00E8360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47,9</w:t>
            </w:r>
          </w:p>
        </w:tc>
      </w:tr>
    </w:tbl>
    <w:p w14:paraId="6DB43CE3" w14:textId="5F39E3DB" w:rsidR="00EA3448" w:rsidRPr="00AE2125" w:rsidRDefault="00EA3448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32587B94" w14:textId="22C01677" w:rsidR="009D1242" w:rsidRPr="00AE2125" w:rsidRDefault="009D1242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72155A9C" w14:textId="4AE733EE" w:rsidR="00EB68A3" w:rsidRPr="00AE2125" w:rsidRDefault="004061BC" w:rsidP="00F05E2C">
      <w:pPr>
        <w:pStyle w:val="Cuerpodelboletn"/>
        <w:rPr>
          <w:rFonts w:ascii="Mulish" w:hAnsi="Mulish"/>
        </w:rPr>
      </w:pPr>
      <w:r w:rsidRPr="00AE2125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E8360F" w:rsidRPr="00AE2125">
        <w:rPr>
          <w:rFonts w:ascii="Mulish" w:hAnsi="Mulish"/>
          <w:lang w:bidi="es-ES"/>
        </w:rPr>
        <w:t>47,9</w:t>
      </w:r>
      <w:r w:rsidRPr="00AE2125">
        <w:rPr>
          <w:rFonts w:ascii="Mulish" w:hAnsi="Mulish"/>
          <w:lang w:bidi="es-ES"/>
        </w:rPr>
        <w:t>%.</w:t>
      </w:r>
      <w:r w:rsidR="00BB3652" w:rsidRPr="00AE2125">
        <w:rPr>
          <w:rFonts w:ascii="Mulish" w:hAnsi="Mulish"/>
          <w:lang w:bidi="es-ES"/>
        </w:rPr>
        <w:t xml:space="preserve"> Respecto de 202</w:t>
      </w:r>
      <w:r w:rsidR="00B7547A" w:rsidRPr="00AE2125">
        <w:rPr>
          <w:rFonts w:ascii="Mulish" w:hAnsi="Mulish"/>
          <w:lang w:bidi="es-ES"/>
        </w:rPr>
        <w:t>3</w:t>
      </w:r>
      <w:r w:rsidR="00BB3652" w:rsidRPr="00AE2125">
        <w:rPr>
          <w:rFonts w:ascii="Mulish" w:hAnsi="Mulish"/>
          <w:lang w:bidi="es-ES"/>
        </w:rPr>
        <w:t xml:space="preserve"> </w:t>
      </w:r>
      <w:r w:rsidR="00A0730E" w:rsidRPr="00AE2125">
        <w:rPr>
          <w:rFonts w:ascii="Mulish" w:hAnsi="Mulish"/>
          <w:lang w:bidi="es-ES"/>
        </w:rPr>
        <w:t>se produce un</w:t>
      </w:r>
      <w:r w:rsidR="006D6799" w:rsidRPr="00AE2125">
        <w:rPr>
          <w:rFonts w:ascii="Mulish" w:hAnsi="Mulish"/>
          <w:lang w:bidi="es-ES"/>
        </w:rPr>
        <w:t xml:space="preserve"> </w:t>
      </w:r>
      <w:r w:rsidR="00E8360F" w:rsidRPr="00AE2125">
        <w:rPr>
          <w:rFonts w:ascii="Mulish" w:hAnsi="Mulish"/>
          <w:lang w:bidi="es-ES"/>
        </w:rPr>
        <w:t>incremento</w:t>
      </w:r>
      <w:r w:rsidR="00A0730E" w:rsidRPr="00AE2125">
        <w:rPr>
          <w:rFonts w:ascii="Mulish" w:hAnsi="Mulish"/>
          <w:lang w:bidi="es-ES"/>
        </w:rPr>
        <w:t xml:space="preserve"> de </w:t>
      </w:r>
      <w:r w:rsidR="00E8360F" w:rsidRPr="00AE2125">
        <w:rPr>
          <w:rFonts w:ascii="Mulish" w:hAnsi="Mulish"/>
          <w:lang w:bidi="es-ES"/>
        </w:rPr>
        <w:t>13,4</w:t>
      </w:r>
      <w:r w:rsidR="006C743A" w:rsidRPr="00AE2125">
        <w:rPr>
          <w:rFonts w:ascii="Mulish" w:hAnsi="Mulish"/>
          <w:lang w:bidi="es-ES"/>
        </w:rPr>
        <w:t xml:space="preserve"> puntos porcentuales</w:t>
      </w:r>
      <w:r w:rsidR="00E8360F" w:rsidRPr="00AE2125">
        <w:rPr>
          <w:rFonts w:ascii="Mulish" w:hAnsi="Mulish"/>
          <w:lang w:bidi="es-ES"/>
        </w:rPr>
        <w:t>. Este incremento podría haber sido más elevado,</w:t>
      </w:r>
      <w:r w:rsidR="00B7547A" w:rsidRPr="00AE2125">
        <w:rPr>
          <w:rFonts w:ascii="Mulish" w:hAnsi="Mulish"/>
          <w:lang w:bidi="es-ES"/>
        </w:rPr>
        <w:t xml:space="preserve"> </w:t>
      </w:r>
      <w:r w:rsidR="00E8360F" w:rsidRPr="00AE2125">
        <w:rPr>
          <w:rFonts w:ascii="Mulish" w:hAnsi="Mulish"/>
          <w:lang w:bidi="es-ES"/>
        </w:rPr>
        <w:t xml:space="preserve">si la información relativa a las subvenciones y ayudas públicas </w:t>
      </w:r>
      <w:r w:rsidR="009A45FB" w:rsidRPr="00AE2125">
        <w:rPr>
          <w:rFonts w:ascii="Mulish" w:hAnsi="Mulish"/>
          <w:lang w:bidi="es-ES"/>
        </w:rPr>
        <w:t>se correspondiese con el contenido material de esta obligación, que está referido a las subvenciones y ayudas concedidas por la Autoridad Portuaria.</w:t>
      </w:r>
      <w:r w:rsidR="00E8360F" w:rsidRPr="00AE2125">
        <w:rPr>
          <w:rFonts w:ascii="Mulish" w:hAnsi="Mulish"/>
          <w:lang w:bidi="es-ES"/>
        </w:rPr>
        <w:t xml:space="preserve">  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AE2125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AE2125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497D4EE0" w14:textId="77D789C7" w:rsidR="00EA30D5" w:rsidRPr="00AE2125" w:rsidRDefault="009A45FB" w:rsidP="00EA30D5">
      <w:pPr>
        <w:pStyle w:val="Cuerpodelboletn"/>
        <w:rPr>
          <w:rFonts w:ascii="Mulish" w:hAnsi="Mulish"/>
        </w:rPr>
      </w:pPr>
      <w:r w:rsidRPr="00AE2125">
        <w:rPr>
          <w:rFonts w:ascii="Mulish" w:hAnsi="Mulish"/>
        </w:rPr>
        <w:t>Aunque e</w:t>
      </w:r>
      <w:r w:rsidR="00EA30D5" w:rsidRPr="00AE2125">
        <w:rPr>
          <w:rFonts w:ascii="Mulish" w:hAnsi="Mulish"/>
        </w:rPr>
        <w:t xml:space="preserve">ste CTBG </w:t>
      </w:r>
      <w:r w:rsidR="00EA30D5" w:rsidRPr="00AE2125">
        <w:rPr>
          <w:rFonts w:ascii="Mulish" w:hAnsi="Mulish"/>
          <w:b/>
        </w:rPr>
        <w:t xml:space="preserve">valora </w:t>
      </w:r>
      <w:r w:rsidRPr="00AE2125">
        <w:rPr>
          <w:rFonts w:ascii="Mulish" w:hAnsi="Mulish"/>
          <w:b/>
        </w:rPr>
        <w:t xml:space="preserve">positivamente </w:t>
      </w:r>
      <w:r w:rsidR="001E6578" w:rsidRPr="00AE2125">
        <w:rPr>
          <w:rFonts w:ascii="Mulish" w:hAnsi="Mulish"/>
          <w:bCs/>
        </w:rPr>
        <w:t>el esfuerzo</w:t>
      </w:r>
      <w:r w:rsidRPr="00AE2125">
        <w:rPr>
          <w:rFonts w:ascii="Mulish" w:hAnsi="Mulish"/>
          <w:bCs/>
        </w:rPr>
        <w:t xml:space="preserve"> realizado por </w:t>
      </w:r>
      <w:r w:rsidR="00EA30D5" w:rsidRPr="00AE2125">
        <w:rPr>
          <w:rFonts w:ascii="Mulish" w:hAnsi="Mulish"/>
        </w:rPr>
        <w:t xml:space="preserve">la </w:t>
      </w:r>
      <w:r w:rsidR="00D07EFD" w:rsidRPr="00AE2125">
        <w:rPr>
          <w:rFonts w:ascii="Mulish" w:hAnsi="Mulish"/>
        </w:rPr>
        <w:t xml:space="preserve">Autoridad Portuaria de </w:t>
      </w:r>
      <w:r w:rsidR="00865E18" w:rsidRPr="00AE2125">
        <w:rPr>
          <w:rFonts w:ascii="Mulish" w:hAnsi="Mulish"/>
        </w:rPr>
        <w:t xml:space="preserve">Ferrol-San </w:t>
      </w:r>
      <w:proofErr w:type="spellStart"/>
      <w:r w:rsidR="00865E18" w:rsidRPr="00AE2125">
        <w:rPr>
          <w:rFonts w:ascii="Mulish" w:hAnsi="Mulish"/>
        </w:rPr>
        <w:t>Cibrao</w:t>
      </w:r>
      <w:proofErr w:type="spellEnd"/>
      <w:r w:rsidRPr="00AE2125">
        <w:rPr>
          <w:rFonts w:ascii="Mulish" w:hAnsi="Mulish"/>
        </w:rPr>
        <w:t xml:space="preserve"> – se ha aplicado el 36% de la recomendaciones y el Índice de cumplimiento ha aumentado en casi el 39% - no es menos cierto, que existe un amplio margen de mejora para que la AP logre el pleno cumplimiento de las obligaciones de publicidad activa que le son de aplicación.</w:t>
      </w:r>
      <w:r w:rsidR="00EA30D5" w:rsidRPr="00AE2125">
        <w:rPr>
          <w:rFonts w:ascii="Mulish" w:hAnsi="Mulish"/>
        </w:rPr>
        <w:t xml:space="preserve"> </w:t>
      </w:r>
    </w:p>
    <w:p w14:paraId="5EA2DAC5" w14:textId="22CD836B" w:rsidR="00D07EFD" w:rsidRPr="00AE2125" w:rsidRDefault="004061BC" w:rsidP="001E6578">
      <w:pPr>
        <w:pStyle w:val="Cuerpodelboletn"/>
        <w:rPr>
          <w:rFonts w:ascii="Mulish" w:hAnsi="Mulish"/>
        </w:rPr>
      </w:pPr>
      <w:r w:rsidRPr="00AE212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AE2125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D07EFD" w:rsidRPr="00AE2125">
        <w:rPr>
          <w:rFonts w:ascii="Mulish" w:hAnsi="Mulish"/>
        </w:rPr>
        <w:t xml:space="preserve"> Respecto de la publicación de contenidos, sigue sin publicarse:</w:t>
      </w:r>
    </w:p>
    <w:p w14:paraId="28AF9468" w14:textId="77777777" w:rsidR="00D07EFD" w:rsidRPr="00AE2125" w:rsidRDefault="00D07EFD" w:rsidP="00D07EFD">
      <w:pPr>
        <w:pStyle w:val="Prrafodelista"/>
        <w:rPr>
          <w:rFonts w:ascii="Mulish" w:hAnsi="Mulish"/>
        </w:rPr>
      </w:pPr>
    </w:p>
    <w:p w14:paraId="72DD0F47" w14:textId="77777777" w:rsidR="00D07EFD" w:rsidRPr="00AE2125" w:rsidRDefault="00D07EFD" w:rsidP="00D07EF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Dentro del bloque de información Institucional y Organizativa:</w:t>
      </w:r>
    </w:p>
    <w:p w14:paraId="25A00B29" w14:textId="56F02634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La descripción de la estructura organizativa</w:t>
      </w:r>
    </w:p>
    <w:p w14:paraId="7B4A0F60" w14:textId="77777777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Los planes y programas</w:t>
      </w:r>
    </w:p>
    <w:p w14:paraId="633CE177" w14:textId="77777777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La información sobre el grado de cumplimiento de planes y programas</w:t>
      </w:r>
    </w:p>
    <w:p w14:paraId="31A27B5B" w14:textId="77777777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Los indicadores de medida y valoración del grado de cumplimiento de los objetivos</w:t>
      </w:r>
    </w:p>
    <w:p w14:paraId="416325D4" w14:textId="77777777" w:rsidR="00D07EFD" w:rsidRPr="00AE2125" w:rsidRDefault="00D07EFD" w:rsidP="00D07EF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AE2125">
        <w:rPr>
          <w:rFonts w:ascii="Mulish" w:hAnsi="Mulish"/>
        </w:rPr>
        <w:t>En el bloque de información económica no se publica:</w:t>
      </w:r>
    </w:p>
    <w:bookmarkEnd w:id="0"/>
    <w:p w14:paraId="3E6D5151" w14:textId="048E44D6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Las modificaciones de contratos adjudicados</w:t>
      </w:r>
    </w:p>
    <w:p w14:paraId="60F385E1" w14:textId="6EAE8BC3" w:rsidR="00865E18" w:rsidRPr="00AE2125" w:rsidRDefault="00865E18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Los desistimientos y renuncias a contratos adjudicados</w:t>
      </w:r>
    </w:p>
    <w:p w14:paraId="471A7C33" w14:textId="52A03ED5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lastRenderedPageBreak/>
        <w:t>Información estadística sobre el número y el porcentaje en volumen presupuestario de contratos adjudicados a PYMES según tipo de contrato y según procedimiento de licitación.</w:t>
      </w:r>
    </w:p>
    <w:p w14:paraId="1EF5CFB9" w14:textId="77777777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Las subcontrataciones derivadas de las encomiendas de gestión.</w:t>
      </w:r>
    </w:p>
    <w:p w14:paraId="572EBAF5" w14:textId="73390E05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Las subvenciones o ayudas públicas concedidas por la AP</w:t>
      </w:r>
    </w:p>
    <w:p w14:paraId="36C71F2C" w14:textId="77777777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El presupuesto</w:t>
      </w:r>
    </w:p>
    <w:p w14:paraId="31B64FE2" w14:textId="77777777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Los informes de auditoría y fiscalización elaborados por el Tribunal de Cuentas.</w:t>
      </w:r>
    </w:p>
    <w:p w14:paraId="7C8DE86D" w14:textId="77777777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Las indemnizaciones percibidas por altos cargos y máximos responsables con ocasión del cese.</w:t>
      </w:r>
    </w:p>
    <w:p w14:paraId="7552E82B" w14:textId="77777777" w:rsidR="00D07EFD" w:rsidRPr="00AE2125" w:rsidRDefault="00D07EFD" w:rsidP="00D07EF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Las autorizaciones para el ejercicio de actividades privadas concedidas a altos cargos.</w:t>
      </w:r>
    </w:p>
    <w:p w14:paraId="6EDBD711" w14:textId="33B26052" w:rsidR="00D07EFD" w:rsidRPr="00AE2125" w:rsidRDefault="00D07EFD" w:rsidP="00D07EF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En el bloque de información patrimonial no se informa sobre los bienes inmuebles propiedad de la AP o sobre los que ejerza algún derecho real</w:t>
      </w:r>
    </w:p>
    <w:p w14:paraId="73192865" w14:textId="77777777" w:rsidR="00D07EFD" w:rsidRPr="00AE2125" w:rsidRDefault="00D07EFD" w:rsidP="00D07EFD">
      <w:pPr>
        <w:pStyle w:val="Sinespaciado"/>
        <w:spacing w:line="276" w:lineRule="auto"/>
        <w:jc w:val="both"/>
        <w:rPr>
          <w:rFonts w:ascii="Mulish" w:hAnsi="Mulish"/>
        </w:rPr>
      </w:pPr>
    </w:p>
    <w:p w14:paraId="5E79EE3F" w14:textId="5D25E834" w:rsidR="00D07EFD" w:rsidRPr="00AE2125" w:rsidRDefault="00D07EFD" w:rsidP="00D07EF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AE2125">
        <w:rPr>
          <w:rFonts w:ascii="Mulish" w:hAnsi="Mulish"/>
        </w:rPr>
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</w:t>
      </w:r>
    </w:p>
    <w:p w14:paraId="1249F87F" w14:textId="3ACEDF4D" w:rsidR="00D07EFD" w:rsidRPr="00AE2125" w:rsidRDefault="00D07EFD" w:rsidP="00D07EFD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3AECDD6A" w:rsidR="004061BC" w:rsidRPr="00AE2125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AE2125">
        <w:rPr>
          <w:rFonts w:ascii="Mulish" w:hAnsi="Mulish"/>
        </w:rPr>
        <w:t xml:space="preserve">Madrid, </w:t>
      </w:r>
      <w:r w:rsidR="009A45FB" w:rsidRPr="00AE2125">
        <w:rPr>
          <w:rFonts w:ascii="Mulish" w:hAnsi="Mulish"/>
        </w:rPr>
        <w:t>abril</w:t>
      </w:r>
      <w:r w:rsidRPr="00AE2125">
        <w:rPr>
          <w:rFonts w:ascii="Mulish" w:hAnsi="Mulish"/>
        </w:rPr>
        <w:t xml:space="preserve"> de 202</w:t>
      </w:r>
      <w:r w:rsidR="007154D5" w:rsidRPr="00AE2125">
        <w:rPr>
          <w:rFonts w:ascii="Mulish" w:hAnsi="Mulish"/>
        </w:rPr>
        <w:t>4</w:t>
      </w:r>
    </w:p>
    <w:p w14:paraId="3CFFAB3D" w14:textId="77777777" w:rsidR="00C259F4" w:rsidRPr="00AE2125" w:rsidRDefault="00C259F4" w:rsidP="00965C69">
      <w:pPr>
        <w:pStyle w:val="Cuerpodelboletn"/>
        <w:rPr>
          <w:rFonts w:ascii="Mulish" w:hAnsi="Mulish"/>
        </w:rPr>
      </w:pPr>
    </w:p>
    <w:p w14:paraId="712FDC54" w14:textId="77777777" w:rsidR="009A45FB" w:rsidRPr="00AE2125" w:rsidRDefault="009A45FB" w:rsidP="00965C69">
      <w:pPr>
        <w:pStyle w:val="Cuerpodelboletn"/>
        <w:rPr>
          <w:rFonts w:ascii="Mulish" w:hAnsi="Mulish"/>
        </w:rPr>
      </w:pPr>
    </w:p>
    <w:p w14:paraId="141FC7FA" w14:textId="77777777" w:rsidR="009A45FB" w:rsidRPr="00AE2125" w:rsidRDefault="009A45FB" w:rsidP="00965C69">
      <w:pPr>
        <w:pStyle w:val="Cuerpodelboletn"/>
        <w:rPr>
          <w:rFonts w:ascii="Mulish" w:hAnsi="Mulish"/>
        </w:rPr>
      </w:pPr>
    </w:p>
    <w:p w14:paraId="2D8DB233" w14:textId="77777777" w:rsidR="009A45FB" w:rsidRPr="00AE2125" w:rsidRDefault="009A45FB" w:rsidP="00965C69">
      <w:pPr>
        <w:pStyle w:val="Cuerpodelboletn"/>
        <w:rPr>
          <w:rFonts w:ascii="Mulish" w:hAnsi="Mulish"/>
        </w:rPr>
      </w:pPr>
    </w:p>
    <w:p w14:paraId="2B054EA8" w14:textId="77777777" w:rsidR="009A45FB" w:rsidRPr="00AE2125" w:rsidRDefault="009A45FB" w:rsidP="00965C69">
      <w:pPr>
        <w:pStyle w:val="Cuerpodelboletn"/>
        <w:rPr>
          <w:rFonts w:ascii="Mulish" w:hAnsi="Mulish"/>
        </w:rPr>
      </w:pPr>
    </w:p>
    <w:p w14:paraId="00C24744" w14:textId="77777777" w:rsidR="009A45FB" w:rsidRPr="00AE2125" w:rsidRDefault="009A45FB" w:rsidP="00965C69">
      <w:pPr>
        <w:pStyle w:val="Cuerpodelboletn"/>
        <w:rPr>
          <w:rFonts w:ascii="Mulish" w:hAnsi="Mulish"/>
        </w:rPr>
      </w:pPr>
    </w:p>
    <w:p w14:paraId="5714B630" w14:textId="77777777" w:rsidR="009A45FB" w:rsidRPr="00AE2125" w:rsidRDefault="009A45FB" w:rsidP="00965C69">
      <w:pPr>
        <w:pStyle w:val="Cuerpodelboletn"/>
        <w:rPr>
          <w:rFonts w:ascii="Mulish" w:hAnsi="Mulish"/>
        </w:rPr>
      </w:pPr>
    </w:p>
    <w:p w14:paraId="5E2F5FA3" w14:textId="77777777" w:rsidR="009A45FB" w:rsidRPr="00AE2125" w:rsidRDefault="009A45FB" w:rsidP="00965C69">
      <w:pPr>
        <w:pStyle w:val="Cuerpodelboletn"/>
        <w:rPr>
          <w:rFonts w:ascii="Mulish" w:hAnsi="Mulish"/>
        </w:rPr>
      </w:pPr>
    </w:p>
    <w:p w14:paraId="4F1BF9E0" w14:textId="77777777" w:rsidR="009A45FB" w:rsidRPr="00AE2125" w:rsidRDefault="009A45FB" w:rsidP="00965C69">
      <w:pPr>
        <w:pStyle w:val="Cuerpodelboletn"/>
        <w:rPr>
          <w:rFonts w:ascii="Mulish" w:hAnsi="Mulish"/>
        </w:rPr>
      </w:pPr>
    </w:p>
    <w:p w14:paraId="6B5FDB7A" w14:textId="4137578B" w:rsidR="009A45FB" w:rsidRPr="00AE2125" w:rsidRDefault="009A45FB" w:rsidP="00965C69">
      <w:pPr>
        <w:pStyle w:val="Cuerpodelboletn"/>
        <w:rPr>
          <w:rFonts w:ascii="Mulish" w:hAnsi="Mulish"/>
        </w:rPr>
      </w:pPr>
    </w:p>
    <w:p w14:paraId="032647C4" w14:textId="77777777" w:rsidR="001E6578" w:rsidRPr="00AE2125" w:rsidRDefault="001E6578" w:rsidP="00965C69">
      <w:pPr>
        <w:pStyle w:val="Cuerpodelboletn"/>
        <w:rPr>
          <w:rFonts w:ascii="Mulish" w:hAnsi="Mulish"/>
        </w:rPr>
      </w:pPr>
    </w:p>
    <w:p w14:paraId="0DB93420" w14:textId="77777777" w:rsidR="009A45FB" w:rsidRPr="00AE2125" w:rsidRDefault="009A45FB" w:rsidP="00965C69">
      <w:pPr>
        <w:pStyle w:val="Cuerpodelboletn"/>
        <w:rPr>
          <w:rFonts w:ascii="Mulish" w:hAnsi="Mulish"/>
        </w:rPr>
      </w:pPr>
    </w:p>
    <w:p w14:paraId="5DB8548C" w14:textId="5773BA26" w:rsidR="009A45FB" w:rsidRPr="00AE2125" w:rsidRDefault="009A45FB" w:rsidP="00965C69">
      <w:pPr>
        <w:pStyle w:val="Cuerpodelboletn"/>
        <w:rPr>
          <w:rFonts w:ascii="Mulish" w:hAnsi="Mulish"/>
        </w:rPr>
        <w:sectPr w:rsidR="009A45FB" w:rsidRPr="00AE2125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AE2125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2A639D5" w:rsidR="004061BC" w:rsidRPr="00AE2125" w:rsidRDefault="004061BC">
      <w:pPr>
        <w:rPr>
          <w:rFonts w:ascii="Mulish" w:hAnsi="Mulish"/>
          <w:szCs w:val="22"/>
        </w:rPr>
      </w:pPr>
    </w:p>
    <w:p w14:paraId="6E0587B4" w14:textId="6533F0CF" w:rsidR="004E5458" w:rsidRPr="00AE2125" w:rsidRDefault="004E5458">
      <w:pPr>
        <w:rPr>
          <w:rFonts w:ascii="Mulish" w:hAnsi="Mulish"/>
          <w:szCs w:val="22"/>
        </w:rPr>
      </w:pPr>
    </w:p>
    <w:p w14:paraId="14AA2F1C" w14:textId="5FDE0CF4" w:rsidR="004E5458" w:rsidRPr="00AE2125" w:rsidRDefault="004E5458">
      <w:pPr>
        <w:rPr>
          <w:rFonts w:ascii="Mulish" w:hAnsi="Mulish"/>
          <w:szCs w:val="22"/>
        </w:rPr>
      </w:pPr>
    </w:p>
    <w:p w14:paraId="64A3C6ED" w14:textId="7A136D94" w:rsidR="004E5458" w:rsidRPr="00AE2125" w:rsidRDefault="004E5458">
      <w:pPr>
        <w:rPr>
          <w:rFonts w:ascii="Mulish" w:hAnsi="Mulish"/>
          <w:szCs w:val="22"/>
        </w:rPr>
      </w:pPr>
    </w:p>
    <w:p w14:paraId="0449542E" w14:textId="77777777" w:rsidR="009654DA" w:rsidRPr="00AE2125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AE2125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AE2125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32dqw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AE2125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AE2125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CjCwIAAP8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UGFCj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AE2125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AE2125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AE2125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AE2125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AE2125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AE2125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AE2125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AE2125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AE2125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AE2125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AE2125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AE2125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AE2125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AE2125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AE2125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AE2125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AE2125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AE2125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AE2125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AE2125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AE2125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AE2125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AE2125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E2125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AE2125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E2125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AE2125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E2125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AE2125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E2125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AE2125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E2125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AE2125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AE212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AE2125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AE212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AE2125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AE2125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AE2125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AE2125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AE2125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AE2125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AE2125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AE2125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AE2125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2125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AE2125" w:rsidRDefault="00965C69" w:rsidP="00965C69">
      <w:pPr>
        <w:pStyle w:val="Cuerpodelboletn"/>
        <w:rPr>
          <w:rFonts w:ascii="Mulish" w:hAnsi="Mulish"/>
        </w:rPr>
      </w:pPr>
    </w:p>
    <w:sectPr w:rsidR="00965C69" w:rsidRPr="00AE2125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0581" w14:textId="77777777" w:rsidR="009A45FB" w:rsidRDefault="009A45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CC54" w14:textId="77777777" w:rsidR="009A45FB" w:rsidRDefault="009A45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B68B" w14:textId="77777777" w:rsidR="009A45FB" w:rsidRDefault="009A4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3F3D" w14:textId="526D9725" w:rsidR="009A45FB" w:rsidRDefault="009A45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C89D" w14:textId="514C3EA2" w:rsidR="009A45FB" w:rsidRDefault="009A45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8AAB" w14:textId="7EA671ED" w:rsidR="009A45FB" w:rsidRDefault="009A4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E54E1"/>
    <w:multiLevelType w:val="hybridMultilevel"/>
    <w:tmpl w:val="F0F8E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E3584"/>
    <w:multiLevelType w:val="hybridMultilevel"/>
    <w:tmpl w:val="9CDA0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572C5"/>
    <w:multiLevelType w:val="hybridMultilevel"/>
    <w:tmpl w:val="2120198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B63ED"/>
    <w:multiLevelType w:val="hybridMultilevel"/>
    <w:tmpl w:val="8FA8B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0536D"/>
    <w:multiLevelType w:val="hybridMultilevel"/>
    <w:tmpl w:val="D414BC5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0"/>
  </w:num>
  <w:num w:numId="5">
    <w:abstractNumId w:val="17"/>
  </w:num>
  <w:num w:numId="6">
    <w:abstractNumId w:val="19"/>
  </w:num>
  <w:num w:numId="7">
    <w:abstractNumId w:val="16"/>
  </w:num>
  <w:num w:numId="8">
    <w:abstractNumId w:val="1"/>
  </w:num>
  <w:num w:numId="9">
    <w:abstractNumId w:val="5"/>
  </w:num>
  <w:num w:numId="10">
    <w:abstractNumId w:val="4"/>
  </w:num>
  <w:num w:numId="11">
    <w:abstractNumId w:val="21"/>
  </w:num>
  <w:num w:numId="12">
    <w:abstractNumId w:val="15"/>
  </w:num>
  <w:num w:numId="13">
    <w:abstractNumId w:val="10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9"/>
  </w:num>
  <w:num w:numId="19">
    <w:abstractNumId w:val="7"/>
  </w:num>
  <w:num w:numId="20">
    <w:abstractNumId w:val="18"/>
  </w:num>
  <w:num w:numId="21">
    <w:abstractNumId w:val="26"/>
  </w:num>
  <w:num w:numId="22">
    <w:abstractNumId w:val="24"/>
  </w:num>
  <w:num w:numId="23">
    <w:abstractNumId w:val="22"/>
  </w:num>
  <w:num w:numId="24">
    <w:abstractNumId w:val="6"/>
  </w:num>
  <w:num w:numId="25">
    <w:abstractNumId w:val="14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865F4"/>
    <w:rsid w:val="000A77F5"/>
    <w:rsid w:val="000D3907"/>
    <w:rsid w:val="000D5417"/>
    <w:rsid w:val="000E0A9E"/>
    <w:rsid w:val="000E5A4B"/>
    <w:rsid w:val="000F0DA5"/>
    <w:rsid w:val="000F410E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E6578"/>
    <w:rsid w:val="001E7612"/>
    <w:rsid w:val="0021682B"/>
    <w:rsid w:val="00225D96"/>
    <w:rsid w:val="00231D61"/>
    <w:rsid w:val="00243294"/>
    <w:rsid w:val="00244EDA"/>
    <w:rsid w:val="002467FA"/>
    <w:rsid w:val="00250846"/>
    <w:rsid w:val="00263F79"/>
    <w:rsid w:val="002B37B6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8100D"/>
    <w:rsid w:val="00393F48"/>
    <w:rsid w:val="003A1694"/>
    <w:rsid w:val="003A390C"/>
    <w:rsid w:val="003B399C"/>
    <w:rsid w:val="003B57E6"/>
    <w:rsid w:val="003B6B96"/>
    <w:rsid w:val="003B721D"/>
    <w:rsid w:val="003D2C4A"/>
    <w:rsid w:val="003E564B"/>
    <w:rsid w:val="003E5D2F"/>
    <w:rsid w:val="003F4DDD"/>
    <w:rsid w:val="003F6AD2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5458"/>
    <w:rsid w:val="004E7B33"/>
    <w:rsid w:val="00506864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B1544"/>
    <w:rsid w:val="005C4778"/>
    <w:rsid w:val="005D4D3C"/>
    <w:rsid w:val="005E2505"/>
    <w:rsid w:val="005E6704"/>
    <w:rsid w:val="005F580F"/>
    <w:rsid w:val="00600AF1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1952"/>
    <w:rsid w:val="007D5CBF"/>
    <w:rsid w:val="007D69D9"/>
    <w:rsid w:val="007F1D56"/>
    <w:rsid w:val="007F5F9D"/>
    <w:rsid w:val="00800B69"/>
    <w:rsid w:val="00803D20"/>
    <w:rsid w:val="00804926"/>
    <w:rsid w:val="00805A8D"/>
    <w:rsid w:val="00807495"/>
    <w:rsid w:val="00821526"/>
    <w:rsid w:val="0082470D"/>
    <w:rsid w:val="00825ACB"/>
    <w:rsid w:val="00826275"/>
    <w:rsid w:val="00836976"/>
    <w:rsid w:val="008514EC"/>
    <w:rsid w:val="00853AB0"/>
    <w:rsid w:val="00853CB9"/>
    <w:rsid w:val="00865E18"/>
    <w:rsid w:val="00865E5A"/>
    <w:rsid w:val="00882A5B"/>
    <w:rsid w:val="00891E6F"/>
    <w:rsid w:val="00894054"/>
    <w:rsid w:val="00894358"/>
    <w:rsid w:val="0089455A"/>
    <w:rsid w:val="00897D04"/>
    <w:rsid w:val="008A5AAE"/>
    <w:rsid w:val="008A77F6"/>
    <w:rsid w:val="008C0799"/>
    <w:rsid w:val="008D6E75"/>
    <w:rsid w:val="008F2EF6"/>
    <w:rsid w:val="00902A71"/>
    <w:rsid w:val="009039FD"/>
    <w:rsid w:val="00903FE0"/>
    <w:rsid w:val="0090486C"/>
    <w:rsid w:val="00912DB4"/>
    <w:rsid w:val="00947271"/>
    <w:rsid w:val="009654DA"/>
    <w:rsid w:val="00965C69"/>
    <w:rsid w:val="00982299"/>
    <w:rsid w:val="009A15A6"/>
    <w:rsid w:val="009A45FB"/>
    <w:rsid w:val="009B75CD"/>
    <w:rsid w:val="009C5469"/>
    <w:rsid w:val="009D02BA"/>
    <w:rsid w:val="009D1242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327A1"/>
    <w:rsid w:val="00A51AAD"/>
    <w:rsid w:val="00A670E9"/>
    <w:rsid w:val="00A82709"/>
    <w:rsid w:val="00A93BA7"/>
    <w:rsid w:val="00AA0AE1"/>
    <w:rsid w:val="00AA705A"/>
    <w:rsid w:val="00AA72CD"/>
    <w:rsid w:val="00AC2723"/>
    <w:rsid w:val="00AC4A6F"/>
    <w:rsid w:val="00AD6065"/>
    <w:rsid w:val="00AE2125"/>
    <w:rsid w:val="00AE4F68"/>
    <w:rsid w:val="00AE6A4F"/>
    <w:rsid w:val="00AF196B"/>
    <w:rsid w:val="00AF5151"/>
    <w:rsid w:val="00B1184C"/>
    <w:rsid w:val="00B220EC"/>
    <w:rsid w:val="00B5314A"/>
    <w:rsid w:val="00B55C6B"/>
    <w:rsid w:val="00B56A3A"/>
    <w:rsid w:val="00B7547A"/>
    <w:rsid w:val="00B76F07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E7761"/>
    <w:rsid w:val="00CF21EB"/>
    <w:rsid w:val="00D014E1"/>
    <w:rsid w:val="00D01CA1"/>
    <w:rsid w:val="00D07EFD"/>
    <w:rsid w:val="00D1453D"/>
    <w:rsid w:val="00D41F4C"/>
    <w:rsid w:val="00D45F5C"/>
    <w:rsid w:val="00D520C8"/>
    <w:rsid w:val="00D70570"/>
    <w:rsid w:val="00D77D83"/>
    <w:rsid w:val="00D9090A"/>
    <w:rsid w:val="00D96084"/>
    <w:rsid w:val="00DA16A8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66EE2"/>
    <w:rsid w:val="00E73F4D"/>
    <w:rsid w:val="00E8360F"/>
    <w:rsid w:val="00E83650"/>
    <w:rsid w:val="00EA30D5"/>
    <w:rsid w:val="00EA3448"/>
    <w:rsid w:val="00EB68A3"/>
    <w:rsid w:val="00EC6A3E"/>
    <w:rsid w:val="00EC7844"/>
    <w:rsid w:val="00ED30F1"/>
    <w:rsid w:val="00ED57F6"/>
    <w:rsid w:val="00ED6104"/>
    <w:rsid w:val="00ED7D79"/>
    <w:rsid w:val="00EE5F85"/>
    <w:rsid w:val="00EE78C4"/>
    <w:rsid w:val="00EF4B82"/>
    <w:rsid w:val="00EF5B46"/>
    <w:rsid w:val="00EF6910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873beb7-5857-4685-be1f-d57550cc96c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</TotalTime>
  <Pages>6</Pages>
  <Words>1204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2024-04-04T11:24:00Z</dcterms:created>
  <dcterms:modified xsi:type="dcterms:W3CDTF">2024-05-23T07:42:00Z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