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488" w14:textId="77777777" w:rsidR="0082470D" w:rsidRPr="005B564C" w:rsidRDefault="00DF25D7">
      <w:pPr>
        <w:rPr>
          <w:rFonts w:ascii="Mulish" w:hAnsi="Mulish"/>
        </w:rPr>
      </w:pPr>
      <w:r w:rsidRPr="005B564C">
        <w:rPr>
          <w:rFonts w:ascii="Mulish" w:eastAsia="Lucida Grande" w:hAnsi="Mulish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F0B1D" wp14:editId="320A1E0B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E6B62" w14:textId="7219F518" w:rsidR="00EB68A3" w:rsidRDefault="005B564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bidi="es-ES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B68A3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evisión del cumplimiento de las recomendaciones efectuadas por el CTBG en materia de Publicidad Activa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F0B1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2T9AEAANADAAAOAAAAZHJzL2Uyb0RvYy54bWysU9uO0zAQfUfiHyy/0zTdUiBqulq6WoS0&#10;XKSFD5jaTmOReMzYbbJ8PWOnWwq8IV4sz3h85szx8fp67DtxNBQsulqWs7kUxinU1u1r+fXL3YvX&#10;UoQITkOHztTy0QR5vXn+bD34yiywxU4bEgziQjX4WrYx+qoogmpND2GG3jg+bJB6iBzSvtAEA6P3&#10;XbGYz1fFgKQ9oTIhcPZ2OpSbjN80RsVPTRNMFF0tmVvMK+V1l9Zis4ZqT+Bbq0404B9Y9GAdNz1D&#10;3UIEcSD7F1RvFWHAJs4U9gU2jVUmz8DTlPM/pnlowZs8C4sT/Fmm8P9g1cfjZxJW89utpHDQ8xtt&#10;D6AJhTYimjGiKJdJpsGHiqsfPNfH8S2OfCWPHPw9qm9BONy24PbmhgiH1oBmmmW6WVxcnXBCAtkN&#10;H1BzOzhEzEBjQ33SkFURjM7P9Xh+IiYiFCdXy9Xyas5His/KV2V5tXiZe0D1dN1TiO8M9iJtakns&#10;gQwPx/sQEx2onkpSN4d3tuuyDzr3W4ILUybTT4wn7nHcjSc5dqgfeRDCyVb8DXjTIv2QYmBL1TJ8&#10;PwAZKbr3jsV4Uy6XyYOXAV0Gu8sAnGKoWkYppu02Tr49eLL7ljtN8ju8YQEbm0dLSk+sTrzZNnni&#10;k8WTLy/jXPXrI25+AgAA//8DAFBLAwQUAAYACAAAACEAIWfSdt0AAAALAQAADwAAAGRycy9kb3du&#10;cmV2LnhtbEyPy07DMBBF90j8gzVI7FqbQEgV4lSoiA+gVGLrxNM4wh5HsfOgX4+7guXMHN05t9qv&#10;zrIZx9B7kvCwFcCQWq976iScPt83O2AhKtLKekIJPxhgX9/eVKrUfqEPnI+xYymEQqkkmBiHkvPQ&#10;GnQqbP2AlG5nPzoV0zh2XI9qSeHO8kyIZ+5UT+mDUQMeDLbfx8lJaC/T2+7QN/NyKb6KZjU2P5OV&#10;8v5ufX0BFnGNfzBc9ZM61Mmp8RPpwKyEPM8SKWGTFTmwKyCKx7RqJGRPmQBeV/x/h/oXAAD//wMA&#10;UEsBAi0AFAAGAAgAAAAhALaDOJL+AAAA4QEAABMAAAAAAAAAAAAAAAAAAAAAAFtDb250ZW50X1R5&#10;cGVzXS54bWxQSwECLQAUAAYACAAAACEAOP0h/9YAAACUAQAACwAAAAAAAAAAAAAAAAAvAQAAX3Jl&#10;bHMvLnJlbHNQSwECLQAUAAYACAAAACEAtUg9k/QBAADQAwAADgAAAAAAAAAAAAAAAAAuAgAAZHJz&#10;L2Uyb0RvYy54bWxQSwECLQAUAAYACAAAACEAIWfSdt0AAAALAQAADwAAAAAAAAAAAAAAAABOBAAA&#10;ZHJzL2Rvd25yZXYueG1sUEsFBgAAAAAEAAQA8wAAAFgFAAAAAA==&#10;" filled="f" stroked="f">
                <v:textbox inset=",7.2pt,,7.2pt">
                  <w:txbxContent>
                    <w:p w14:paraId="0CBE6B62" w14:textId="7219F518" w:rsidR="00EB68A3" w:rsidRDefault="0099187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bidi="es-ES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EB68A3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evisión del cumplimiento de las recomendaciones efectuadas por el CTBG en materia de Publicidad Activa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6957" w:rsidRPr="005B564C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F62EA" wp14:editId="39F27975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727F3D" w14:textId="77777777" w:rsidR="00EB68A3" w:rsidRDefault="00EB68A3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29288B2" wp14:editId="4A92B96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62EA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14:paraId="6E727F3D" w14:textId="77777777" w:rsidR="00EB68A3" w:rsidRDefault="00EB68A3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29288B2" wp14:editId="4A92B96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EF2B9C5" w14:textId="77777777" w:rsidR="0082470D" w:rsidRPr="005B564C" w:rsidRDefault="0082470D">
      <w:pPr>
        <w:rPr>
          <w:rFonts w:ascii="Mulish" w:hAnsi="Mulish"/>
        </w:rPr>
      </w:pPr>
    </w:p>
    <w:p w14:paraId="00CD97DB" w14:textId="77777777" w:rsidR="0082470D" w:rsidRPr="005B564C" w:rsidRDefault="0082470D">
      <w:pPr>
        <w:rPr>
          <w:rFonts w:ascii="Mulish" w:hAnsi="Mulish"/>
        </w:rPr>
      </w:pPr>
    </w:p>
    <w:p w14:paraId="6A476580" w14:textId="77777777" w:rsidR="0082470D" w:rsidRPr="005B564C" w:rsidRDefault="0082470D" w:rsidP="0082470D">
      <w:pPr>
        <w:rPr>
          <w:rFonts w:ascii="Mulish" w:hAnsi="Mulish"/>
          <w:b/>
          <w:sz w:val="36"/>
        </w:rPr>
      </w:pPr>
    </w:p>
    <w:p w14:paraId="500DE180" w14:textId="77777777" w:rsidR="0082470D" w:rsidRPr="005B564C" w:rsidRDefault="0082470D" w:rsidP="0082470D">
      <w:pPr>
        <w:rPr>
          <w:rFonts w:ascii="Mulish" w:hAnsi="Mulish"/>
          <w:b/>
          <w:sz w:val="36"/>
        </w:rPr>
      </w:pPr>
    </w:p>
    <w:p w14:paraId="3F90D66C" w14:textId="77777777" w:rsidR="0082470D" w:rsidRPr="005B564C" w:rsidRDefault="00751FAA" w:rsidP="0082470D">
      <w:pPr>
        <w:rPr>
          <w:rFonts w:ascii="Mulish" w:hAnsi="Mulish"/>
          <w:b/>
          <w:sz w:val="36"/>
        </w:rPr>
      </w:pPr>
      <w:r w:rsidRPr="005B564C">
        <w:rPr>
          <w:rFonts w:ascii="Mulish" w:hAnsi="Mulish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2A5E2A" wp14:editId="426B30DF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676D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327ECECB" w14:textId="77777777" w:rsidR="0082470D" w:rsidRPr="005B564C" w:rsidRDefault="0082470D" w:rsidP="0082470D">
      <w:pPr>
        <w:rPr>
          <w:rFonts w:ascii="Mulish" w:hAnsi="Mulish"/>
          <w:b/>
          <w:sz w:val="36"/>
        </w:rPr>
      </w:pPr>
    </w:p>
    <w:p w14:paraId="45D00841" w14:textId="77777777" w:rsidR="00415DBD" w:rsidRPr="005B564C" w:rsidRDefault="00415DBD" w:rsidP="00415DBD">
      <w:pPr>
        <w:spacing w:before="120" w:after="120" w:line="312" w:lineRule="auto"/>
        <w:ind w:right="-2"/>
        <w:jc w:val="both"/>
        <w:rPr>
          <w:rFonts w:ascii="Mulish" w:hAnsi="Mulish" w:cs="Arial"/>
          <w:szCs w:val="22"/>
        </w:rPr>
        <w:sectPr w:rsidR="00415DBD" w:rsidRPr="005B564C" w:rsidSect="00F31B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14:paraId="58D97C87" w14:textId="3AB4D2CF" w:rsidR="00415DBD" w:rsidRPr="005B564C" w:rsidRDefault="00415DBD" w:rsidP="00415DBD">
      <w:pPr>
        <w:rPr>
          <w:rFonts w:ascii="Mulish" w:hAnsi="Mulish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5"/>
        <w:gridCol w:w="6921"/>
      </w:tblGrid>
      <w:tr w:rsidR="00623CFC" w:rsidRPr="005B564C" w14:paraId="69022734" w14:textId="77777777" w:rsidTr="00623CFC">
        <w:tc>
          <w:tcPr>
            <w:tcW w:w="3625" w:type="dxa"/>
          </w:tcPr>
          <w:p w14:paraId="705ACB26" w14:textId="77777777" w:rsidR="00623CFC" w:rsidRPr="005B564C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B564C">
              <w:rPr>
                <w:rFonts w:ascii="Mulish" w:hAnsi="Mulish"/>
                <w:b/>
                <w:color w:val="00642D"/>
                <w:sz w:val="24"/>
              </w:rPr>
              <w:t>Entidad evaluada</w:t>
            </w:r>
          </w:p>
        </w:tc>
        <w:tc>
          <w:tcPr>
            <w:tcW w:w="6921" w:type="dxa"/>
          </w:tcPr>
          <w:p w14:paraId="663060E5" w14:textId="24F75A4E" w:rsidR="00623CFC" w:rsidRPr="005B564C" w:rsidRDefault="00246B40" w:rsidP="00B77E42">
            <w:pPr>
              <w:rPr>
                <w:rFonts w:ascii="Mulish" w:hAnsi="Mulish"/>
                <w:sz w:val="24"/>
              </w:rPr>
            </w:pPr>
            <w:r w:rsidRPr="005B564C">
              <w:rPr>
                <w:rFonts w:ascii="Mulish" w:hAnsi="Mulish"/>
                <w:sz w:val="24"/>
              </w:rPr>
              <w:t>Casa Mediterráneo</w:t>
            </w:r>
          </w:p>
        </w:tc>
      </w:tr>
      <w:tr w:rsidR="00623CFC" w:rsidRPr="005B564C" w14:paraId="0EABDAFA" w14:textId="77777777" w:rsidTr="00623CFC">
        <w:tc>
          <w:tcPr>
            <w:tcW w:w="3625" w:type="dxa"/>
          </w:tcPr>
          <w:p w14:paraId="12A6D2F4" w14:textId="77777777" w:rsidR="00623CFC" w:rsidRPr="005B564C" w:rsidRDefault="00623CFC" w:rsidP="00B77E42">
            <w:pPr>
              <w:rPr>
                <w:rFonts w:ascii="Mulish" w:hAnsi="Mulish"/>
                <w:b/>
                <w:color w:val="00642D"/>
                <w:sz w:val="24"/>
              </w:rPr>
            </w:pPr>
            <w:r w:rsidRPr="005B564C">
              <w:rPr>
                <w:rFonts w:ascii="Mulish" w:hAnsi="Mulish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21" w:type="dxa"/>
          </w:tcPr>
          <w:p w14:paraId="6E5EBA24" w14:textId="0A3C0197" w:rsidR="00623CFC" w:rsidRPr="005B564C" w:rsidRDefault="00A536E3" w:rsidP="00B77E42">
            <w:pPr>
              <w:rPr>
                <w:rFonts w:ascii="Mulish" w:hAnsi="Mulish"/>
                <w:sz w:val="24"/>
              </w:rPr>
            </w:pPr>
            <w:r w:rsidRPr="005B564C">
              <w:rPr>
                <w:rFonts w:ascii="Mulish" w:hAnsi="Mulish"/>
                <w:sz w:val="24"/>
              </w:rPr>
              <w:t>0</w:t>
            </w:r>
            <w:r w:rsidR="00246B40" w:rsidRPr="005B564C">
              <w:rPr>
                <w:rFonts w:ascii="Mulish" w:hAnsi="Mulish"/>
                <w:sz w:val="24"/>
              </w:rPr>
              <w:t>7</w:t>
            </w:r>
            <w:r w:rsidRPr="005B564C">
              <w:rPr>
                <w:rFonts w:ascii="Mulish" w:hAnsi="Mulish"/>
                <w:sz w:val="24"/>
              </w:rPr>
              <w:t>/03</w:t>
            </w:r>
            <w:r w:rsidR="001238DB" w:rsidRPr="005B564C">
              <w:rPr>
                <w:rFonts w:ascii="Mulish" w:hAnsi="Mulish"/>
                <w:sz w:val="24"/>
              </w:rPr>
              <w:t>/2024</w:t>
            </w:r>
          </w:p>
          <w:p w14:paraId="4B837EFF" w14:textId="07017197" w:rsidR="00BE513D" w:rsidRPr="005B564C" w:rsidRDefault="00BE513D" w:rsidP="00B77E42">
            <w:pPr>
              <w:rPr>
                <w:rFonts w:ascii="Mulish" w:hAnsi="Mulish"/>
                <w:sz w:val="24"/>
              </w:rPr>
            </w:pPr>
            <w:r w:rsidRPr="005B564C">
              <w:rPr>
                <w:rFonts w:ascii="Mulish" w:hAnsi="Mulish"/>
                <w:sz w:val="24"/>
              </w:rPr>
              <w:t>Segunda revisión:</w:t>
            </w:r>
            <w:r w:rsidR="00DB4A1D" w:rsidRPr="005B564C">
              <w:rPr>
                <w:rFonts w:ascii="Mulish" w:hAnsi="Mulish"/>
                <w:sz w:val="24"/>
              </w:rPr>
              <w:t xml:space="preserve"> 09/04/2024</w:t>
            </w:r>
          </w:p>
        </w:tc>
      </w:tr>
    </w:tbl>
    <w:p w14:paraId="460832EE" w14:textId="77777777" w:rsidR="00623CFC" w:rsidRPr="005B564C" w:rsidRDefault="00623CFC" w:rsidP="00415DBD">
      <w:pPr>
        <w:rPr>
          <w:rFonts w:ascii="Mulish" w:hAnsi="Mulish"/>
        </w:rPr>
      </w:pPr>
    </w:p>
    <w:p w14:paraId="5C6C9FDA" w14:textId="77777777" w:rsidR="00623CFC" w:rsidRPr="005B564C" w:rsidRDefault="00623CFC" w:rsidP="00415DBD">
      <w:pPr>
        <w:rPr>
          <w:rFonts w:ascii="Mulish" w:hAnsi="Mulish"/>
        </w:rPr>
      </w:pPr>
    </w:p>
    <w:p w14:paraId="2A8B3BDC" w14:textId="77777777" w:rsidR="0082470D" w:rsidRPr="005B564C" w:rsidRDefault="005B564C" w:rsidP="003F6EDC">
      <w:pPr>
        <w:pStyle w:val="Titulardelboletn"/>
        <w:numPr>
          <w:ilvl w:val="0"/>
          <w:numId w:val="2"/>
        </w:numPr>
        <w:rPr>
          <w:rFonts w:ascii="Mulish" w:hAnsi="Mulish"/>
          <w:color w:val="50866C"/>
          <w:sz w:val="30"/>
          <w:szCs w:val="30"/>
        </w:rPr>
      </w:pPr>
      <w:sdt>
        <w:sdtPr>
          <w:rPr>
            <w:rFonts w:ascii="Mulish" w:hAnsi="Mulish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5B564C">
            <w:rPr>
              <w:rFonts w:ascii="Mulish" w:hAnsi="Mulish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3A842137" w14:textId="77777777" w:rsidR="0082470D" w:rsidRPr="005B564C" w:rsidRDefault="0082470D" w:rsidP="0082470D">
      <w:pPr>
        <w:rPr>
          <w:rFonts w:ascii="Mulish" w:hAnsi="Mulish"/>
        </w:rPr>
      </w:pPr>
    </w:p>
    <w:p w14:paraId="79FB20F4" w14:textId="77777777" w:rsidR="00760E4B" w:rsidRPr="005B564C" w:rsidRDefault="00760E4B" w:rsidP="003E564B">
      <w:pPr>
        <w:pStyle w:val="Cuerpodelboletn"/>
        <w:rPr>
          <w:rFonts w:ascii="Mulish" w:hAnsi="Mulish"/>
        </w:rPr>
        <w:sectPr w:rsidR="00760E4B" w:rsidRPr="005B56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0"/>
        <w:gridCol w:w="5376"/>
        <w:gridCol w:w="756"/>
        <w:gridCol w:w="2664"/>
      </w:tblGrid>
      <w:tr w:rsidR="00A249BB" w:rsidRPr="005B564C" w14:paraId="20B915EC" w14:textId="77777777" w:rsidTr="00DB4A1D">
        <w:trPr>
          <w:tblHeader/>
        </w:trPr>
        <w:tc>
          <w:tcPr>
            <w:tcW w:w="1660" w:type="dxa"/>
            <w:shd w:val="clear" w:color="auto" w:fill="008A3E"/>
          </w:tcPr>
          <w:p w14:paraId="322C3903" w14:textId="77777777" w:rsidR="00A249BB" w:rsidRPr="005B564C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B564C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132" w:type="dxa"/>
            <w:gridSpan w:val="2"/>
            <w:shd w:val="clear" w:color="auto" w:fill="008A3E"/>
          </w:tcPr>
          <w:p w14:paraId="6593F20B" w14:textId="77777777" w:rsidR="00A249BB" w:rsidRPr="005B564C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B564C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664" w:type="dxa"/>
            <w:shd w:val="clear" w:color="auto" w:fill="008A3E"/>
          </w:tcPr>
          <w:p w14:paraId="77B9748C" w14:textId="77777777" w:rsidR="00A249BB" w:rsidRPr="005B564C" w:rsidRDefault="00A249BB" w:rsidP="002E1A55">
            <w:pPr>
              <w:jc w:val="center"/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</w:pPr>
            <w:r w:rsidRPr="005B564C">
              <w:rPr>
                <w:rFonts w:ascii="Mulish" w:hAnsi="Mulish"/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D77D83" w:rsidRPr="005B564C" w14:paraId="4E526B9A" w14:textId="77777777" w:rsidTr="00DB4A1D">
        <w:tc>
          <w:tcPr>
            <w:tcW w:w="1660" w:type="dxa"/>
            <w:vMerge w:val="restart"/>
            <w:vAlign w:val="center"/>
          </w:tcPr>
          <w:p w14:paraId="778ACA55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376" w:type="dxa"/>
          </w:tcPr>
          <w:p w14:paraId="228129A6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Portal de Transparencia</w:t>
            </w:r>
          </w:p>
        </w:tc>
        <w:tc>
          <w:tcPr>
            <w:tcW w:w="756" w:type="dxa"/>
            <w:vAlign w:val="center"/>
          </w:tcPr>
          <w:p w14:paraId="50278811" w14:textId="5C8C90C8" w:rsidR="00D77D83" w:rsidRPr="005B564C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79BC7F3" w14:textId="40501D9B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B564C" w14:paraId="57F659DE" w14:textId="77777777" w:rsidTr="00DB4A1D">
        <w:tc>
          <w:tcPr>
            <w:tcW w:w="1660" w:type="dxa"/>
            <w:vMerge/>
          </w:tcPr>
          <w:p w14:paraId="4AF6C0DF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77520140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56" w:type="dxa"/>
            <w:vAlign w:val="center"/>
          </w:tcPr>
          <w:p w14:paraId="2006F714" w14:textId="77777777" w:rsidR="00D77D83" w:rsidRPr="005B564C" w:rsidRDefault="00D77D8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6417370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D77D83" w:rsidRPr="005B564C" w14:paraId="27402B8A" w14:textId="77777777" w:rsidTr="00DB4A1D">
        <w:tc>
          <w:tcPr>
            <w:tcW w:w="1660" w:type="dxa"/>
            <w:vMerge/>
          </w:tcPr>
          <w:p w14:paraId="20E26CBF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9729FB9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Estructuración conforme a LTAIBG</w:t>
            </w:r>
          </w:p>
        </w:tc>
        <w:tc>
          <w:tcPr>
            <w:tcW w:w="756" w:type="dxa"/>
            <w:vAlign w:val="center"/>
          </w:tcPr>
          <w:p w14:paraId="2D6648DC" w14:textId="40556951" w:rsidR="00D77D83" w:rsidRPr="005B564C" w:rsidRDefault="00D77D83" w:rsidP="00DB4A1D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805F2CB" w14:textId="2909DD43" w:rsidR="00D77D83" w:rsidRPr="005B564C" w:rsidRDefault="00DB4A1D" w:rsidP="009E1312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D77D83" w:rsidRPr="005B564C" w14:paraId="7F1C0DEC" w14:textId="77777777" w:rsidTr="00DB4A1D">
        <w:trPr>
          <w:trHeight w:val="451"/>
        </w:trPr>
        <w:tc>
          <w:tcPr>
            <w:tcW w:w="1660" w:type="dxa"/>
            <w:vMerge/>
          </w:tcPr>
          <w:p w14:paraId="63D32625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66B518D" w14:textId="77777777" w:rsidR="00D77D83" w:rsidRPr="005B564C" w:rsidRDefault="00D77D8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56" w:type="dxa"/>
            <w:vAlign w:val="center"/>
          </w:tcPr>
          <w:p w14:paraId="4E246E94" w14:textId="4CC1335B" w:rsidR="00D77D83" w:rsidRPr="005B564C" w:rsidRDefault="00D77D83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6B3143B" w14:textId="498B7BEE" w:rsidR="00D77D83" w:rsidRPr="005B564C" w:rsidRDefault="004250E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9E1312" w:rsidRPr="005B564C" w14:paraId="25FD81B6" w14:textId="77777777" w:rsidTr="00DB4A1D">
        <w:trPr>
          <w:trHeight w:val="273"/>
        </w:trPr>
        <w:tc>
          <w:tcPr>
            <w:tcW w:w="1660" w:type="dxa"/>
            <w:vMerge w:val="restart"/>
            <w:vAlign w:val="center"/>
          </w:tcPr>
          <w:p w14:paraId="00C65C61" w14:textId="77D313E7" w:rsidR="009E1312" w:rsidRPr="005B564C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Publicación de Contenidos</w:t>
            </w:r>
          </w:p>
        </w:tc>
        <w:tc>
          <w:tcPr>
            <w:tcW w:w="5376" w:type="dxa"/>
          </w:tcPr>
          <w:p w14:paraId="54D2B6E0" w14:textId="5950CF86" w:rsidR="009E1312" w:rsidRPr="005B564C" w:rsidRDefault="009E1312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Normativa aplicable: completar normativa general</w:t>
            </w:r>
          </w:p>
        </w:tc>
        <w:tc>
          <w:tcPr>
            <w:tcW w:w="756" w:type="dxa"/>
          </w:tcPr>
          <w:p w14:paraId="32BE8DB6" w14:textId="67622E4D" w:rsidR="009E1312" w:rsidRPr="005B564C" w:rsidRDefault="009E1312" w:rsidP="00DB4A1D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34F585B" w14:textId="6273F664" w:rsidR="009E1312" w:rsidRPr="005B564C" w:rsidRDefault="00DB4A1D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B564C" w14:paraId="7F8723A8" w14:textId="77777777" w:rsidTr="00DB4A1D">
        <w:tc>
          <w:tcPr>
            <w:tcW w:w="1660" w:type="dxa"/>
            <w:vMerge/>
            <w:vAlign w:val="center"/>
          </w:tcPr>
          <w:p w14:paraId="39CCF68C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71B1C00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Funciones</w:t>
            </w:r>
          </w:p>
        </w:tc>
        <w:tc>
          <w:tcPr>
            <w:tcW w:w="756" w:type="dxa"/>
          </w:tcPr>
          <w:p w14:paraId="360DD5E3" w14:textId="77777777" w:rsidR="00F361B3" w:rsidRPr="005B564C" w:rsidRDefault="00F361B3" w:rsidP="00BF75B4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BD32D8C" w14:textId="6EA05DA9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3E7A1C26" w14:textId="77777777" w:rsidTr="00DB4A1D">
        <w:tc>
          <w:tcPr>
            <w:tcW w:w="1660" w:type="dxa"/>
            <w:vMerge/>
            <w:vAlign w:val="center"/>
          </w:tcPr>
          <w:p w14:paraId="7E6FCF06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2662812" w14:textId="0CF3C012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Registro de Actividades de Tratamiento</w:t>
            </w:r>
          </w:p>
        </w:tc>
        <w:tc>
          <w:tcPr>
            <w:tcW w:w="756" w:type="dxa"/>
          </w:tcPr>
          <w:p w14:paraId="441BFD00" w14:textId="7E1C190C" w:rsidR="00F361B3" w:rsidRPr="005B564C" w:rsidRDefault="00246B40" w:rsidP="00246B40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664" w:type="dxa"/>
          </w:tcPr>
          <w:p w14:paraId="00C5C744" w14:textId="0D65CB02" w:rsidR="00F361B3" w:rsidRPr="005B564C" w:rsidRDefault="00246B40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B564C" w14:paraId="5188F761" w14:textId="77777777" w:rsidTr="00DB4A1D">
        <w:tc>
          <w:tcPr>
            <w:tcW w:w="1660" w:type="dxa"/>
            <w:vMerge/>
            <w:vAlign w:val="center"/>
          </w:tcPr>
          <w:p w14:paraId="6D96AA3B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480D893A" w14:textId="1D04861B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Descripción de la estructura organizativa</w:t>
            </w:r>
          </w:p>
        </w:tc>
        <w:tc>
          <w:tcPr>
            <w:tcW w:w="756" w:type="dxa"/>
          </w:tcPr>
          <w:p w14:paraId="4A565035" w14:textId="38359045" w:rsidR="00F361B3" w:rsidRPr="005B564C" w:rsidRDefault="00F361B3" w:rsidP="00A536E3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C4FEECC" w14:textId="10EEE78C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0E100D74" w14:textId="77777777" w:rsidTr="00DB4A1D">
        <w:tc>
          <w:tcPr>
            <w:tcW w:w="1660" w:type="dxa"/>
            <w:vMerge/>
            <w:vAlign w:val="center"/>
          </w:tcPr>
          <w:p w14:paraId="0E87140A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F188844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Organigrama</w:t>
            </w:r>
          </w:p>
        </w:tc>
        <w:tc>
          <w:tcPr>
            <w:tcW w:w="756" w:type="dxa"/>
          </w:tcPr>
          <w:p w14:paraId="1B30813B" w14:textId="0D5B5C3B" w:rsidR="00F361B3" w:rsidRPr="005B564C" w:rsidRDefault="00F361B3" w:rsidP="00DB4A1D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EDA76E5" w14:textId="396A2E98" w:rsidR="00F361B3" w:rsidRPr="005B564C" w:rsidRDefault="00DB4A1D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Si. El organigrama no incluye órganos de gobierno</w:t>
            </w:r>
          </w:p>
        </w:tc>
      </w:tr>
      <w:tr w:rsidR="00F361B3" w:rsidRPr="005B564C" w14:paraId="03D79CE5" w14:textId="77777777" w:rsidTr="00DB4A1D">
        <w:tc>
          <w:tcPr>
            <w:tcW w:w="1660" w:type="dxa"/>
            <w:vMerge/>
            <w:vAlign w:val="center"/>
          </w:tcPr>
          <w:p w14:paraId="18E0E1F3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648F3B5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Identificación de los máximos responsables</w:t>
            </w:r>
          </w:p>
        </w:tc>
        <w:tc>
          <w:tcPr>
            <w:tcW w:w="756" w:type="dxa"/>
          </w:tcPr>
          <w:p w14:paraId="37BA24B8" w14:textId="15EE3DF9" w:rsidR="00F361B3" w:rsidRPr="005B564C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B1F88FF" w14:textId="75F011F8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01720E37" w14:textId="77777777" w:rsidTr="00DB4A1D">
        <w:tc>
          <w:tcPr>
            <w:tcW w:w="1660" w:type="dxa"/>
            <w:vMerge/>
            <w:vAlign w:val="center"/>
          </w:tcPr>
          <w:p w14:paraId="01AAB338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CAA1D66" w14:textId="6CAAF0E3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56" w:type="dxa"/>
          </w:tcPr>
          <w:p w14:paraId="7536926B" w14:textId="09294460" w:rsidR="00F361B3" w:rsidRPr="005B564C" w:rsidRDefault="00F361B3" w:rsidP="00FB6D50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99C04D4" w14:textId="6FCC3C11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7C1D17D4" w14:textId="77777777" w:rsidTr="00DB4A1D">
        <w:tc>
          <w:tcPr>
            <w:tcW w:w="1660" w:type="dxa"/>
            <w:vMerge/>
            <w:vAlign w:val="center"/>
          </w:tcPr>
          <w:p w14:paraId="0F97F540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53A8649A" w14:textId="2FAABE2F" w:rsidR="00F361B3" w:rsidRPr="005B564C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Planes y Programas </w:t>
            </w:r>
          </w:p>
        </w:tc>
        <w:tc>
          <w:tcPr>
            <w:tcW w:w="756" w:type="dxa"/>
          </w:tcPr>
          <w:p w14:paraId="7E2850CE" w14:textId="0A3517E5" w:rsidR="00F361B3" w:rsidRPr="005B564C" w:rsidRDefault="00F361B3" w:rsidP="00DB4A1D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BB0E3B9" w14:textId="08498A9E" w:rsidR="00F361B3" w:rsidRPr="005B564C" w:rsidRDefault="00DB4A1D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Si. </w:t>
            </w:r>
          </w:p>
        </w:tc>
      </w:tr>
      <w:tr w:rsidR="00F361B3" w:rsidRPr="005B564C" w14:paraId="0EA6C8C5" w14:textId="77777777" w:rsidTr="00DB4A1D">
        <w:tc>
          <w:tcPr>
            <w:tcW w:w="1660" w:type="dxa"/>
            <w:vMerge/>
            <w:vAlign w:val="center"/>
          </w:tcPr>
          <w:p w14:paraId="03282850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69F4820" w14:textId="77777777" w:rsidR="00F361B3" w:rsidRPr="005B564C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Grado de cumplimiento y resultados</w:t>
            </w:r>
          </w:p>
        </w:tc>
        <w:tc>
          <w:tcPr>
            <w:tcW w:w="756" w:type="dxa"/>
          </w:tcPr>
          <w:p w14:paraId="179EBCE9" w14:textId="02776973" w:rsidR="00F361B3" w:rsidRPr="005B564C" w:rsidRDefault="00F361B3" w:rsidP="008D178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FC1F37D" w14:textId="11F893C4" w:rsidR="00F361B3" w:rsidRPr="005B564C" w:rsidRDefault="008D1784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B564C" w14:paraId="6338E894" w14:textId="77777777" w:rsidTr="00DB4A1D">
        <w:tc>
          <w:tcPr>
            <w:tcW w:w="1660" w:type="dxa"/>
            <w:vMerge/>
            <w:vAlign w:val="center"/>
          </w:tcPr>
          <w:p w14:paraId="2F70F68C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BAF2F8E" w14:textId="77777777" w:rsidR="00F361B3" w:rsidRPr="005B564C" w:rsidRDefault="00F361B3" w:rsidP="00B870D1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Indicadores de medida y valoración</w:t>
            </w:r>
          </w:p>
        </w:tc>
        <w:tc>
          <w:tcPr>
            <w:tcW w:w="756" w:type="dxa"/>
          </w:tcPr>
          <w:p w14:paraId="2AC01422" w14:textId="1F5607C9" w:rsidR="00F361B3" w:rsidRPr="005B564C" w:rsidRDefault="00F361B3" w:rsidP="008D178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5D12303" w14:textId="398CF2D1" w:rsidR="00F361B3" w:rsidRPr="005B564C" w:rsidRDefault="008D1784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B564C" w14:paraId="77FDFB7D" w14:textId="77777777" w:rsidTr="00DB4A1D">
        <w:tc>
          <w:tcPr>
            <w:tcW w:w="1660" w:type="dxa"/>
            <w:vMerge/>
            <w:vAlign w:val="center"/>
          </w:tcPr>
          <w:p w14:paraId="193F6257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FAC5EA6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Directrices, instrucciones, acuerdos, circulares o respuestas a consultas</w:t>
            </w:r>
          </w:p>
        </w:tc>
        <w:tc>
          <w:tcPr>
            <w:tcW w:w="756" w:type="dxa"/>
          </w:tcPr>
          <w:p w14:paraId="02B7E53E" w14:textId="77777777" w:rsidR="00F361B3" w:rsidRPr="005B564C" w:rsidRDefault="00F361B3" w:rsidP="00C14BF7">
            <w:pPr>
              <w:ind w:left="426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63E23451" w14:textId="7F6A6FBC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370980B3" w14:textId="77777777" w:rsidTr="00DB4A1D">
        <w:tc>
          <w:tcPr>
            <w:tcW w:w="1660" w:type="dxa"/>
            <w:vMerge/>
            <w:vAlign w:val="center"/>
          </w:tcPr>
          <w:p w14:paraId="65A5E91D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8ECDD5F" w14:textId="77777777" w:rsidR="00F361B3" w:rsidRPr="005B564C" w:rsidRDefault="00F361B3" w:rsidP="00E07201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Documentos sometidos a información pública</w:t>
            </w:r>
          </w:p>
        </w:tc>
        <w:tc>
          <w:tcPr>
            <w:tcW w:w="756" w:type="dxa"/>
          </w:tcPr>
          <w:p w14:paraId="21F54534" w14:textId="77777777" w:rsidR="00F361B3" w:rsidRPr="005B564C" w:rsidRDefault="00F361B3" w:rsidP="00C14BF7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96C9E80" w14:textId="629BD4F8" w:rsidR="00F361B3" w:rsidRPr="005B564C" w:rsidRDefault="00F361B3" w:rsidP="00AD0890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21918000" w14:textId="77777777" w:rsidTr="00DB4A1D">
        <w:tc>
          <w:tcPr>
            <w:tcW w:w="1660" w:type="dxa"/>
            <w:vMerge/>
            <w:vAlign w:val="center"/>
          </w:tcPr>
          <w:p w14:paraId="029B1199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1FEC166" w14:textId="3E32331A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Contratos</w:t>
            </w:r>
          </w:p>
        </w:tc>
        <w:tc>
          <w:tcPr>
            <w:tcW w:w="756" w:type="dxa"/>
          </w:tcPr>
          <w:p w14:paraId="754E1CFA" w14:textId="26DF4E61" w:rsidR="00F361B3" w:rsidRPr="005B564C" w:rsidRDefault="00F361B3" w:rsidP="00246B40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0BA9922" w14:textId="15324D63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7E530259" w14:textId="77777777" w:rsidTr="00DB4A1D">
        <w:tc>
          <w:tcPr>
            <w:tcW w:w="1660" w:type="dxa"/>
            <w:vMerge/>
            <w:vAlign w:val="center"/>
          </w:tcPr>
          <w:p w14:paraId="65E840E3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A0E29D8" w14:textId="0ACB47F3" w:rsidR="00F361B3" w:rsidRPr="005B564C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56" w:type="dxa"/>
          </w:tcPr>
          <w:p w14:paraId="2C681418" w14:textId="5B6C04A7" w:rsidR="00F361B3" w:rsidRPr="005B564C" w:rsidRDefault="00C14BF7" w:rsidP="00C14BF7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664" w:type="dxa"/>
          </w:tcPr>
          <w:p w14:paraId="2FD7A148" w14:textId="1E411EB9" w:rsidR="00F361B3" w:rsidRPr="005B564C" w:rsidRDefault="00C14BF7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B564C" w14:paraId="60CA308C" w14:textId="77777777" w:rsidTr="00DB4A1D">
        <w:tc>
          <w:tcPr>
            <w:tcW w:w="1660" w:type="dxa"/>
            <w:vMerge/>
            <w:vAlign w:val="center"/>
          </w:tcPr>
          <w:p w14:paraId="518DFD34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4F378AE2" w14:textId="77777777" w:rsidR="00F361B3" w:rsidRPr="005B564C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Desistimientos y Renuncias </w:t>
            </w:r>
          </w:p>
        </w:tc>
        <w:tc>
          <w:tcPr>
            <w:tcW w:w="756" w:type="dxa"/>
          </w:tcPr>
          <w:p w14:paraId="20D7D586" w14:textId="508E1B4D" w:rsidR="00F361B3" w:rsidRPr="005B564C" w:rsidRDefault="00F361B3" w:rsidP="00246B40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3272BDB" w14:textId="11837A6A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6CC992DC" w14:textId="77777777" w:rsidTr="00DB4A1D">
        <w:tc>
          <w:tcPr>
            <w:tcW w:w="1660" w:type="dxa"/>
            <w:vMerge/>
            <w:vAlign w:val="center"/>
          </w:tcPr>
          <w:p w14:paraId="47B54958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0CB90AF" w14:textId="77777777" w:rsidR="00F361B3" w:rsidRPr="005B564C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Datos estadísticos sobre contratos</w:t>
            </w:r>
          </w:p>
        </w:tc>
        <w:tc>
          <w:tcPr>
            <w:tcW w:w="756" w:type="dxa"/>
          </w:tcPr>
          <w:p w14:paraId="6C7A49A3" w14:textId="55F1661B" w:rsidR="00F361B3" w:rsidRPr="005B564C" w:rsidRDefault="00F361B3" w:rsidP="008D178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A67D7AB" w14:textId="635D69DF" w:rsidR="00F361B3" w:rsidRPr="005B564C" w:rsidRDefault="008D178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Aunque se ha aplicado la recomendación, la información más reciente corresponde a 2022. Dada la desactualización de la información, no puede darse por cumplida la obligación</w:t>
            </w:r>
          </w:p>
        </w:tc>
      </w:tr>
      <w:tr w:rsidR="00F361B3" w:rsidRPr="005B564C" w14:paraId="5D8E0EF9" w14:textId="77777777" w:rsidTr="00DB4A1D">
        <w:tc>
          <w:tcPr>
            <w:tcW w:w="1660" w:type="dxa"/>
            <w:vMerge/>
            <w:vAlign w:val="center"/>
          </w:tcPr>
          <w:p w14:paraId="73883C6F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4C835A25" w14:textId="35660924" w:rsidR="00F361B3" w:rsidRPr="005B564C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Datos estadísticos de contratación de PYMES</w:t>
            </w:r>
          </w:p>
        </w:tc>
        <w:tc>
          <w:tcPr>
            <w:tcW w:w="756" w:type="dxa"/>
          </w:tcPr>
          <w:p w14:paraId="662625F7" w14:textId="5FD9BE9C" w:rsidR="00F361B3" w:rsidRPr="005B564C" w:rsidRDefault="00333060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X</w:t>
            </w:r>
          </w:p>
        </w:tc>
        <w:tc>
          <w:tcPr>
            <w:tcW w:w="2664" w:type="dxa"/>
          </w:tcPr>
          <w:p w14:paraId="608B5D7B" w14:textId="02ABA070" w:rsidR="00F361B3" w:rsidRPr="005B564C" w:rsidRDefault="00333060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No</w:t>
            </w:r>
          </w:p>
        </w:tc>
      </w:tr>
      <w:tr w:rsidR="00F361B3" w:rsidRPr="005B564C" w14:paraId="6E029383" w14:textId="77777777" w:rsidTr="00DB4A1D">
        <w:tc>
          <w:tcPr>
            <w:tcW w:w="1660" w:type="dxa"/>
            <w:vMerge/>
            <w:vAlign w:val="center"/>
          </w:tcPr>
          <w:p w14:paraId="0C13F6AA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74EA8B3B" w14:textId="77777777" w:rsidR="00F361B3" w:rsidRPr="005B564C" w:rsidRDefault="00F361B3" w:rsidP="002712BF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Contratos Menores</w:t>
            </w:r>
          </w:p>
        </w:tc>
        <w:tc>
          <w:tcPr>
            <w:tcW w:w="756" w:type="dxa"/>
          </w:tcPr>
          <w:p w14:paraId="64EC4E78" w14:textId="14C76D32" w:rsidR="00F361B3" w:rsidRPr="005B564C" w:rsidRDefault="00F361B3" w:rsidP="00246B40">
            <w:pPr>
              <w:ind w:left="360"/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88B2B22" w14:textId="6CA6A3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6E9F2F8F" w14:textId="77777777" w:rsidTr="00DB4A1D">
        <w:tc>
          <w:tcPr>
            <w:tcW w:w="1660" w:type="dxa"/>
            <w:vMerge/>
            <w:vAlign w:val="center"/>
          </w:tcPr>
          <w:p w14:paraId="73E1F276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E1F8C08" w14:textId="292A4A56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Convenios</w:t>
            </w:r>
            <w:r w:rsidR="007B216E" w:rsidRPr="005B564C">
              <w:rPr>
                <w:rFonts w:ascii="Mulish" w:hAnsi="Mulish"/>
                <w:sz w:val="18"/>
                <w:szCs w:val="18"/>
              </w:rPr>
              <w:t>: actualizar información</w:t>
            </w:r>
          </w:p>
        </w:tc>
        <w:tc>
          <w:tcPr>
            <w:tcW w:w="756" w:type="dxa"/>
          </w:tcPr>
          <w:p w14:paraId="5B4BEFCA" w14:textId="2ACB438D" w:rsidR="00F361B3" w:rsidRPr="005B564C" w:rsidRDefault="00F361B3" w:rsidP="008D178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B3AECE8" w14:textId="35915686" w:rsidR="00F361B3" w:rsidRPr="005B564C" w:rsidRDefault="008D178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Si. No se informa sobre posibles modificaciones de convenios suscritos.</w:t>
            </w:r>
          </w:p>
        </w:tc>
      </w:tr>
      <w:tr w:rsidR="00F361B3" w:rsidRPr="005B564C" w14:paraId="3F1DD625" w14:textId="77777777" w:rsidTr="00DB4A1D">
        <w:tc>
          <w:tcPr>
            <w:tcW w:w="1660" w:type="dxa"/>
            <w:vMerge/>
            <w:vAlign w:val="center"/>
          </w:tcPr>
          <w:p w14:paraId="6BF07263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2614079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Encomiendas de Gestión</w:t>
            </w:r>
          </w:p>
        </w:tc>
        <w:tc>
          <w:tcPr>
            <w:tcW w:w="756" w:type="dxa"/>
          </w:tcPr>
          <w:p w14:paraId="67F302D9" w14:textId="6044CDA2" w:rsidR="00F361B3" w:rsidRPr="005B564C" w:rsidRDefault="00F361B3" w:rsidP="008D178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0C13512" w14:textId="45F72991" w:rsidR="00F361B3" w:rsidRPr="005B564C" w:rsidRDefault="008D178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Si, se informa de que no existen</w:t>
            </w:r>
          </w:p>
        </w:tc>
      </w:tr>
      <w:tr w:rsidR="00F361B3" w:rsidRPr="005B564C" w14:paraId="5B009B82" w14:textId="77777777" w:rsidTr="00DB4A1D">
        <w:tc>
          <w:tcPr>
            <w:tcW w:w="1660" w:type="dxa"/>
            <w:vMerge/>
            <w:vAlign w:val="center"/>
          </w:tcPr>
          <w:p w14:paraId="76AD24C7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B68D03D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Subcontrataciones derivadas de encomiendas</w:t>
            </w:r>
          </w:p>
        </w:tc>
        <w:tc>
          <w:tcPr>
            <w:tcW w:w="756" w:type="dxa"/>
          </w:tcPr>
          <w:p w14:paraId="2F09AE5F" w14:textId="4F20C8B4" w:rsidR="00F361B3" w:rsidRPr="005B564C" w:rsidRDefault="00F361B3" w:rsidP="008D178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1732FE1" w14:textId="7CB52678" w:rsidR="00F361B3" w:rsidRPr="005B564C" w:rsidRDefault="008D178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Si, se informa de que no existen encomiendas de gestión.</w:t>
            </w:r>
          </w:p>
        </w:tc>
      </w:tr>
      <w:tr w:rsidR="00F361B3" w:rsidRPr="005B564C" w14:paraId="4E136257" w14:textId="77777777" w:rsidTr="00DB4A1D">
        <w:tc>
          <w:tcPr>
            <w:tcW w:w="1660" w:type="dxa"/>
            <w:vMerge/>
            <w:vAlign w:val="center"/>
          </w:tcPr>
          <w:p w14:paraId="415AC316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51FAFC4E" w14:textId="725FA37C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Subvenciones y ayudas públicas</w:t>
            </w:r>
          </w:p>
        </w:tc>
        <w:tc>
          <w:tcPr>
            <w:tcW w:w="756" w:type="dxa"/>
          </w:tcPr>
          <w:p w14:paraId="24AE29F5" w14:textId="44934FF6" w:rsidR="00F361B3" w:rsidRPr="005B564C" w:rsidRDefault="00F361B3" w:rsidP="0069423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88C6BE1" w14:textId="34826561" w:rsidR="00F361B3" w:rsidRPr="005B564C" w:rsidRDefault="0069423E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Si, se informa de que no se conceden</w:t>
            </w:r>
          </w:p>
        </w:tc>
      </w:tr>
      <w:tr w:rsidR="00F361B3" w:rsidRPr="005B564C" w14:paraId="48BA35CC" w14:textId="77777777" w:rsidTr="00DB4A1D">
        <w:tc>
          <w:tcPr>
            <w:tcW w:w="1660" w:type="dxa"/>
            <w:vMerge/>
            <w:vAlign w:val="center"/>
          </w:tcPr>
          <w:p w14:paraId="58B08802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14:paraId="075E9DDB" w14:textId="56727B0A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Presupuesto</w:t>
            </w:r>
            <w:r w:rsidR="00506D57" w:rsidRPr="005B564C">
              <w:rPr>
                <w:rFonts w:ascii="Mulish" w:hAnsi="Mulish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3DA87F7" w14:textId="5CF22898" w:rsidR="00F361B3" w:rsidRPr="005B564C" w:rsidRDefault="00F361B3" w:rsidP="0069423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019EEB6C" w14:textId="2B60B86E" w:rsidR="00F361B3" w:rsidRPr="005B564C" w:rsidRDefault="0069423E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B564C" w14:paraId="5AD8D378" w14:textId="77777777" w:rsidTr="00DB4A1D">
        <w:tc>
          <w:tcPr>
            <w:tcW w:w="1660" w:type="dxa"/>
            <w:vMerge/>
            <w:vAlign w:val="center"/>
          </w:tcPr>
          <w:p w14:paraId="2AAEA95B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  <w:shd w:val="pct25" w:color="auto" w:fill="auto"/>
          </w:tcPr>
          <w:p w14:paraId="09A3C9A0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Ejecución presupuestaria</w:t>
            </w:r>
          </w:p>
        </w:tc>
        <w:tc>
          <w:tcPr>
            <w:tcW w:w="756" w:type="dxa"/>
            <w:shd w:val="pct25" w:color="auto" w:fill="auto"/>
          </w:tcPr>
          <w:p w14:paraId="6B7AB020" w14:textId="7E8E32B3" w:rsidR="00F361B3" w:rsidRPr="005B564C" w:rsidRDefault="00F361B3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  <w:shd w:val="pct25" w:color="auto" w:fill="auto"/>
          </w:tcPr>
          <w:p w14:paraId="5CC3B3E2" w14:textId="09A2246C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1A7F527C" w14:textId="77777777" w:rsidTr="00DB4A1D">
        <w:tc>
          <w:tcPr>
            <w:tcW w:w="1660" w:type="dxa"/>
            <w:vMerge/>
            <w:vAlign w:val="center"/>
          </w:tcPr>
          <w:p w14:paraId="4B3591C9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126BB23" w14:textId="1C3F8185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Cuentas anuales</w:t>
            </w:r>
            <w:r w:rsidR="007B216E" w:rsidRPr="005B564C">
              <w:rPr>
                <w:rFonts w:ascii="Mulish" w:hAnsi="Mulish"/>
                <w:sz w:val="18"/>
                <w:szCs w:val="18"/>
              </w:rPr>
              <w:t>: actualizar información</w:t>
            </w:r>
          </w:p>
        </w:tc>
        <w:tc>
          <w:tcPr>
            <w:tcW w:w="756" w:type="dxa"/>
          </w:tcPr>
          <w:p w14:paraId="25E615DE" w14:textId="1B56EDDD" w:rsidR="00F361B3" w:rsidRPr="005B564C" w:rsidRDefault="00F361B3" w:rsidP="0069423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6E1AB8F" w14:textId="4CB9DF01" w:rsidR="00F361B3" w:rsidRPr="005B564C" w:rsidRDefault="0069423E" w:rsidP="007923F5">
            <w:pPr>
              <w:jc w:val="both"/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B564C" w14:paraId="77D5A25D" w14:textId="77777777" w:rsidTr="00DB4A1D">
        <w:tc>
          <w:tcPr>
            <w:tcW w:w="1660" w:type="dxa"/>
            <w:vMerge/>
            <w:vAlign w:val="center"/>
          </w:tcPr>
          <w:p w14:paraId="218C281B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8EB4B1C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Informes de auditoría  </w:t>
            </w:r>
          </w:p>
        </w:tc>
        <w:tc>
          <w:tcPr>
            <w:tcW w:w="756" w:type="dxa"/>
          </w:tcPr>
          <w:p w14:paraId="15AD2699" w14:textId="1228838F" w:rsidR="00F361B3" w:rsidRPr="005B564C" w:rsidRDefault="00F361B3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EAE829E" w14:textId="3AE5A35C" w:rsidR="00F361B3" w:rsidRPr="005B564C" w:rsidRDefault="004250E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Aunque se ha aplicado la recomendación, los</w:t>
            </w:r>
            <w:r w:rsidR="0069423E" w:rsidRPr="005B564C">
              <w:rPr>
                <w:rFonts w:ascii="Mulish" w:hAnsi="Mulish"/>
                <w:sz w:val="18"/>
                <w:szCs w:val="18"/>
              </w:rPr>
              <w:t xml:space="preserve"> enlace</w:t>
            </w:r>
            <w:r w:rsidRPr="005B564C">
              <w:rPr>
                <w:rFonts w:ascii="Mulish" w:hAnsi="Mulish"/>
                <w:sz w:val="18"/>
                <w:szCs w:val="18"/>
              </w:rPr>
              <w:t>s a las c</w:t>
            </w:r>
            <w:r w:rsidR="0069423E" w:rsidRPr="005B564C">
              <w:rPr>
                <w:rFonts w:ascii="Mulish" w:hAnsi="Mulish"/>
                <w:sz w:val="18"/>
                <w:szCs w:val="18"/>
              </w:rPr>
              <w:t>uentas anuales redirige</w:t>
            </w:r>
            <w:r w:rsidRPr="005B564C">
              <w:rPr>
                <w:rFonts w:ascii="Mulish" w:hAnsi="Mulish"/>
                <w:sz w:val="18"/>
                <w:szCs w:val="18"/>
              </w:rPr>
              <w:t>n</w:t>
            </w:r>
            <w:r w:rsidR="0069423E" w:rsidRPr="005B564C">
              <w:rPr>
                <w:rFonts w:ascii="Mulish" w:hAnsi="Mulish"/>
                <w:sz w:val="18"/>
                <w:szCs w:val="18"/>
              </w:rPr>
              <w:t xml:space="preserve"> al visor de cuentas de entidades públicas estatales, en el que se localizan los informes de la IGAE, pero no se publican los informes del Tribunal de Cuentas que es a lo que se refiere esta obligación.</w:t>
            </w:r>
          </w:p>
        </w:tc>
      </w:tr>
      <w:tr w:rsidR="00F361B3" w:rsidRPr="005B564C" w14:paraId="1EA39982" w14:textId="77777777" w:rsidTr="00DB4A1D">
        <w:tc>
          <w:tcPr>
            <w:tcW w:w="1660" w:type="dxa"/>
            <w:vMerge/>
            <w:vAlign w:val="center"/>
          </w:tcPr>
          <w:p w14:paraId="59C2C81D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083E3F8" w14:textId="1EBC609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Retribuciones de los máximos responsables</w:t>
            </w:r>
          </w:p>
        </w:tc>
        <w:tc>
          <w:tcPr>
            <w:tcW w:w="756" w:type="dxa"/>
          </w:tcPr>
          <w:p w14:paraId="7ECD55FD" w14:textId="4C43D1E4" w:rsidR="00F361B3" w:rsidRPr="005B564C" w:rsidRDefault="00F361B3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668D441" w14:textId="458553E2" w:rsidR="00F361B3" w:rsidRPr="005B564C" w:rsidRDefault="004250E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F361B3" w:rsidRPr="005B564C" w14:paraId="237143E8" w14:textId="77777777" w:rsidTr="00DB4A1D">
        <w:tc>
          <w:tcPr>
            <w:tcW w:w="1660" w:type="dxa"/>
            <w:vMerge/>
            <w:vAlign w:val="center"/>
          </w:tcPr>
          <w:p w14:paraId="0544C62E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A737DCC" w14:textId="77777777" w:rsidR="00F361B3" w:rsidRPr="005B564C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56" w:type="dxa"/>
          </w:tcPr>
          <w:p w14:paraId="7BADBF97" w14:textId="5BCFAF25" w:rsidR="00F361B3" w:rsidRPr="005B564C" w:rsidRDefault="00F361B3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39C04CE" w14:textId="04A8953B" w:rsidR="00F361B3" w:rsidRPr="005B564C" w:rsidRDefault="004250E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Si, se informa de que no existen</w:t>
            </w:r>
          </w:p>
        </w:tc>
      </w:tr>
      <w:tr w:rsidR="004250E4" w:rsidRPr="005B564C" w14:paraId="406221E7" w14:textId="77777777" w:rsidTr="00DB4A1D">
        <w:tc>
          <w:tcPr>
            <w:tcW w:w="1660" w:type="dxa"/>
            <w:vMerge/>
            <w:vAlign w:val="center"/>
          </w:tcPr>
          <w:p w14:paraId="4B46D26E" w14:textId="77777777" w:rsidR="004250E4" w:rsidRPr="005B564C" w:rsidRDefault="004250E4" w:rsidP="004250E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770393CF" w14:textId="77777777" w:rsidR="004250E4" w:rsidRPr="005B564C" w:rsidRDefault="004250E4" w:rsidP="004250E4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56" w:type="dxa"/>
          </w:tcPr>
          <w:p w14:paraId="5F4A61D6" w14:textId="7A96A290" w:rsidR="004250E4" w:rsidRPr="005B564C" w:rsidRDefault="004250E4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3982F7A" w14:textId="61AF7DDA" w:rsidR="004250E4" w:rsidRPr="005B564C" w:rsidRDefault="004250E4" w:rsidP="004250E4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Si, se informa de que no existen</w:t>
            </w:r>
          </w:p>
        </w:tc>
      </w:tr>
      <w:tr w:rsidR="004250E4" w:rsidRPr="005B564C" w14:paraId="707312F6" w14:textId="77777777" w:rsidTr="00DB4A1D">
        <w:tc>
          <w:tcPr>
            <w:tcW w:w="1660" w:type="dxa"/>
            <w:vMerge/>
            <w:vAlign w:val="center"/>
          </w:tcPr>
          <w:p w14:paraId="7B13A18D" w14:textId="77777777" w:rsidR="004250E4" w:rsidRPr="005B564C" w:rsidRDefault="004250E4" w:rsidP="004250E4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B299788" w14:textId="77777777" w:rsidR="004250E4" w:rsidRPr="005B564C" w:rsidRDefault="004250E4" w:rsidP="004250E4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56" w:type="dxa"/>
          </w:tcPr>
          <w:p w14:paraId="45A7193E" w14:textId="7FE771E2" w:rsidR="004250E4" w:rsidRPr="005B564C" w:rsidRDefault="004250E4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6803B63" w14:textId="41DA9BC5" w:rsidR="004250E4" w:rsidRPr="005B564C" w:rsidRDefault="004250E4" w:rsidP="004250E4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Si, se informa de que no existen</w:t>
            </w:r>
          </w:p>
        </w:tc>
      </w:tr>
      <w:tr w:rsidR="00F361B3" w:rsidRPr="005B564C" w14:paraId="11757693" w14:textId="77777777" w:rsidTr="00DB4A1D">
        <w:tc>
          <w:tcPr>
            <w:tcW w:w="1660" w:type="dxa"/>
            <w:vMerge/>
            <w:vAlign w:val="center"/>
          </w:tcPr>
          <w:p w14:paraId="09AB6AF2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03277E5" w14:textId="77777777" w:rsidR="00F361B3" w:rsidRPr="005B564C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56" w:type="dxa"/>
          </w:tcPr>
          <w:p w14:paraId="7B2E4595" w14:textId="5F1D027B" w:rsidR="00F361B3" w:rsidRPr="005B564C" w:rsidRDefault="00F361B3" w:rsidP="005D5014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39306A94" w14:textId="30D05BF5" w:rsidR="00F361B3" w:rsidRPr="005B564C" w:rsidRDefault="00F361B3" w:rsidP="00F66626">
            <w:pPr>
              <w:jc w:val="both"/>
              <w:rPr>
                <w:rFonts w:ascii="Mulish" w:hAnsi="Mulish"/>
                <w:sz w:val="18"/>
                <w:szCs w:val="18"/>
              </w:rPr>
            </w:pPr>
          </w:p>
        </w:tc>
      </w:tr>
      <w:tr w:rsidR="00F361B3" w:rsidRPr="005B564C" w14:paraId="651DCB43" w14:textId="77777777" w:rsidTr="00DB4A1D">
        <w:tc>
          <w:tcPr>
            <w:tcW w:w="1660" w:type="dxa"/>
            <w:vMerge/>
            <w:vAlign w:val="center"/>
          </w:tcPr>
          <w:p w14:paraId="6252B1D4" w14:textId="77777777" w:rsidR="00F361B3" w:rsidRPr="005B564C" w:rsidRDefault="00F361B3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197CF659" w14:textId="77777777" w:rsidR="00F361B3" w:rsidRPr="005B564C" w:rsidRDefault="00F361B3" w:rsidP="00D14187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56" w:type="dxa"/>
          </w:tcPr>
          <w:p w14:paraId="6A03701F" w14:textId="153F5FAD" w:rsidR="00F361B3" w:rsidRPr="005B564C" w:rsidRDefault="00F361B3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20F15385" w14:textId="09521AFC" w:rsidR="00F361B3" w:rsidRPr="005B564C" w:rsidRDefault="004250E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A249BB" w:rsidRPr="005B564C" w14:paraId="338C8CDA" w14:textId="77777777" w:rsidTr="00DB4A1D">
        <w:trPr>
          <w:trHeight w:val="265"/>
        </w:trPr>
        <w:tc>
          <w:tcPr>
            <w:tcW w:w="1660" w:type="dxa"/>
            <w:vMerge w:val="restart"/>
            <w:vAlign w:val="center"/>
          </w:tcPr>
          <w:p w14:paraId="430BC126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376" w:type="dxa"/>
          </w:tcPr>
          <w:p w14:paraId="34FDB9A7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Estructuración</w:t>
            </w:r>
          </w:p>
        </w:tc>
        <w:tc>
          <w:tcPr>
            <w:tcW w:w="756" w:type="dxa"/>
            <w:vAlign w:val="center"/>
          </w:tcPr>
          <w:p w14:paraId="04C81643" w14:textId="77777777" w:rsidR="00A249BB" w:rsidRPr="005B564C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B0AAC9C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B564C" w14:paraId="7E99D04C" w14:textId="77777777" w:rsidTr="00DB4A1D">
        <w:tc>
          <w:tcPr>
            <w:tcW w:w="1660" w:type="dxa"/>
            <w:vMerge/>
          </w:tcPr>
          <w:p w14:paraId="3204592B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6BDD9585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Accesibilidad </w:t>
            </w:r>
          </w:p>
        </w:tc>
        <w:tc>
          <w:tcPr>
            <w:tcW w:w="756" w:type="dxa"/>
            <w:vAlign w:val="center"/>
          </w:tcPr>
          <w:p w14:paraId="2EBDF36C" w14:textId="77777777" w:rsidR="00A249BB" w:rsidRPr="005B564C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4830437C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B564C" w14:paraId="636DEA3E" w14:textId="77777777" w:rsidTr="00DB4A1D">
        <w:tc>
          <w:tcPr>
            <w:tcW w:w="1660" w:type="dxa"/>
            <w:vMerge/>
          </w:tcPr>
          <w:p w14:paraId="6DD8F528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374201FB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Claridad</w:t>
            </w:r>
          </w:p>
        </w:tc>
        <w:tc>
          <w:tcPr>
            <w:tcW w:w="756" w:type="dxa"/>
            <w:vAlign w:val="center"/>
          </w:tcPr>
          <w:p w14:paraId="7A52DD29" w14:textId="77777777" w:rsidR="00A249BB" w:rsidRPr="005B564C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7FB6C13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B564C" w14:paraId="30A1D485" w14:textId="77777777" w:rsidTr="00DB4A1D">
        <w:tc>
          <w:tcPr>
            <w:tcW w:w="1660" w:type="dxa"/>
            <w:vMerge/>
          </w:tcPr>
          <w:p w14:paraId="0AC04875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0DA8749E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Reutilización </w:t>
            </w:r>
          </w:p>
        </w:tc>
        <w:tc>
          <w:tcPr>
            <w:tcW w:w="756" w:type="dxa"/>
            <w:vAlign w:val="center"/>
          </w:tcPr>
          <w:p w14:paraId="128E8926" w14:textId="77777777" w:rsidR="00A249BB" w:rsidRPr="005B564C" w:rsidRDefault="00A249BB" w:rsidP="002E1A55">
            <w:p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1302FAE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</w:tr>
      <w:tr w:rsidR="00A249BB" w:rsidRPr="005B564C" w14:paraId="643E9693" w14:textId="77777777" w:rsidTr="00DB4A1D">
        <w:tc>
          <w:tcPr>
            <w:tcW w:w="1660" w:type="dxa"/>
            <w:vMerge/>
          </w:tcPr>
          <w:p w14:paraId="4B62AF89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5376" w:type="dxa"/>
          </w:tcPr>
          <w:p w14:paraId="23F4E91C" w14:textId="77777777" w:rsidR="00A249BB" w:rsidRPr="005B564C" w:rsidRDefault="00A249BB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56" w:type="dxa"/>
            <w:vAlign w:val="center"/>
          </w:tcPr>
          <w:p w14:paraId="059F9A29" w14:textId="7B70DB07" w:rsidR="00A249BB" w:rsidRPr="005B564C" w:rsidRDefault="00A249BB" w:rsidP="004250E4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Mulish" w:hAnsi="Mulish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6E9D934" w14:textId="2BDC2D32" w:rsidR="00A249BB" w:rsidRPr="005B564C" w:rsidRDefault="004250E4" w:rsidP="002E1A55">
            <w:pPr>
              <w:rPr>
                <w:rFonts w:ascii="Mulish" w:hAnsi="Mulish"/>
                <w:sz w:val="18"/>
                <w:szCs w:val="18"/>
              </w:rPr>
            </w:pPr>
            <w:r w:rsidRPr="005B564C">
              <w:rPr>
                <w:rFonts w:ascii="Mulish" w:hAnsi="Mulish"/>
                <w:sz w:val="18"/>
                <w:szCs w:val="18"/>
              </w:rPr>
              <w:t>Si</w:t>
            </w:r>
          </w:p>
        </w:tc>
      </w:tr>
      <w:tr w:rsidR="00A249BB" w:rsidRPr="005B564C" w14:paraId="2F13D281" w14:textId="77777777" w:rsidTr="00DB4A1D">
        <w:tc>
          <w:tcPr>
            <w:tcW w:w="7036" w:type="dxa"/>
            <w:gridSpan w:val="2"/>
          </w:tcPr>
          <w:p w14:paraId="50237AD0" w14:textId="77777777" w:rsidR="00A249BB" w:rsidRPr="005B564C" w:rsidRDefault="00A249BB" w:rsidP="002E1A55">
            <w:pPr>
              <w:jc w:val="right"/>
              <w:rPr>
                <w:rFonts w:ascii="Mulish" w:hAnsi="Mulish"/>
                <w:b/>
                <w:sz w:val="18"/>
                <w:szCs w:val="18"/>
              </w:rPr>
            </w:pPr>
            <w:proofErr w:type="gramStart"/>
            <w:r w:rsidRPr="005B564C">
              <w:rPr>
                <w:rFonts w:ascii="Mulish" w:hAnsi="Mulish"/>
                <w:b/>
                <w:sz w:val="18"/>
                <w:szCs w:val="18"/>
              </w:rPr>
              <w:t>Total</w:t>
            </w:r>
            <w:proofErr w:type="gramEnd"/>
            <w:r w:rsidRPr="005B564C">
              <w:rPr>
                <w:rFonts w:ascii="Mulish" w:hAnsi="Mulish"/>
                <w:b/>
                <w:sz w:val="18"/>
                <w:szCs w:val="18"/>
              </w:rPr>
              <w:t xml:space="preserve"> Recomendaciones</w:t>
            </w:r>
          </w:p>
        </w:tc>
        <w:tc>
          <w:tcPr>
            <w:tcW w:w="756" w:type="dxa"/>
            <w:vAlign w:val="center"/>
          </w:tcPr>
          <w:p w14:paraId="7C2B6F9A" w14:textId="0F807967" w:rsidR="00A249BB" w:rsidRPr="005B564C" w:rsidRDefault="00F54A8F" w:rsidP="002E1A55">
            <w:pPr>
              <w:jc w:val="center"/>
              <w:rPr>
                <w:rFonts w:ascii="Mulish" w:hAnsi="Mulish"/>
                <w:b/>
                <w:sz w:val="18"/>
                <w:szCs w:val="18"/>
              </w:rPr>
            </w:pPr>
            <w:r w:rsidRPr="005B564C">
              <w:rPr>
                <w:rFonts w:ascii="Mulish" w:hAnsi="Mulish"/>
                <w:b/>
                <w:sz w:val="18"/>
                <w:szCs w:val="18"/>
              </w:rPr>
              <w:t>2</w:t>
            </w:r>
            <w:r w:rsidR="00CE59CA" w:rsidRPr="005B564C">
              <w:rPr>
                <w:rFonts w:ascii="Mulish" w:hAnsi="Mulish"/>
                <w:b/>
                <w:sz w:val="18"/>
                <w:szCs w:val="18"/>
              </w:rPr>
              <w:t>3</w:t>
            </w:r>
          </w:p>
        </w:tc>
        <w:tc>
          <w:tcPr>
            <w:tcW w:w="2664" w:type="dxa"/>
          </w:tcPr>
          <w:p w14:paraId="29655252" w14:textId="77777777" w:rsidR="00A249BB" w:rsidRPr="005B564C" w:rsidRDefault="00A249BB" w:rsidP="002E1A55">
            <w:pPr>
              <w:rPr>
                <w:rFonts w:ascii="Mulish" w:hAnsi="Mulish"/>
                <w:b/>
                <w:sz w:val="18"/>
                <w:szCs w:val="18"/>
              </w:rPr>
            </w:pPr>
          </w:p>
        </w:tc>
      </w:tr>
    </w:tbl>
    <w:p w14:paraId="267F79FA" w14:textId="77777777" w:rsidR="003A1694" w:rsidRPr="005B564C" w:rsidRDefault="003A1694" w:rsidP="00AC4A6F">
      <w:pPr>
        <w:rPr>
          <w:rFonts w:ascii="Mulish" w:hAnsi="Mulish"/>
        </w:rPr>
      </w:pPr>
    </w:p>
    <w:p w14:paraId="037740DE" w14:textId="77777777" w:rsidR="00DF56A7" w:rsidRPr="005B564C" w:rsidRDefault="00DF56A7" w:rsidP="00DF56A7">
      <w:pPr>
        <w:jc w:val="both"/>
        <w:rPr>
          <w:rFonts w:ascii="Mulish" w:hAnsi="Mulish"/>
        </w:rPr>
      </w:pPr>
    </w:p>
    <w:p w14:paraId="11003E59" w14:textId="79BCBD9E" w:rsidR="00BA4354" w:rsidRPr="005B564C" w:rsidRDefault="00CE59CA" w:rsidP="00DF56A7">
      <w:pPr>
        <w:jc w:val="both"/>
        <w:rPr>
          <w:rFonts w:ascii="Mulish" w:hAnsi="Mulish"/>
        </w:rPr>
      </w:pPr>
      <w:r w:rsidRPr="005B564C">
        <w:rPr>
          <w:rFonts w:ascii="Mulish" w:hAnsi="Mulish"/>
        </w:rPr>
        <w:t xml:space="preserve">Casa Mediterráneo </w:t>
      </w:r>
      <w:r w:rsidR="00C52EE5" w:rsidRPr="005B564C">
        <w:rPr>
          <w:rFonts w:ascii="Mulish" w:hAnsi="Mulish"/>
        </w:rPr>
        <w:t>ha aplicado</w:t>
      </w:r>
      <w:r w:rsidR="00E71514" w:rsidRPr="005B564C">
        <w:rPr>
          <w:rFonts w:ascii="Mulish" w:hAnsi="Mulish"/>
        </w:rPr>
        <w:t xml:space="preserve"> </w:t>
      </w:r>
      <w:r w:rsidR="004250E4" w:rsidRPr="005B564C">
        <w:rPr>
          <w:rFonts w:ascii="Mulish" w:hAnsi="Mulish"/>
        </w:rPr>
        <w:t>21</w:t>
      </w:r>
      <w:r w:rsidRPr="005B564C">
        <w:rPr>
          <w:rFonts w:ascii="Mulish" w:hAnsi="Mulish"/>
        </w:rPr>
        <w:t xml:space="preserve"> de las 23</w:t>
      </w:r>
      <w:r w:rsidR="00E71514" w:rsidRPr="005B564C">
        <w:rPr>
          <w:rFonts w:ascii="Mulish" w:hAnsi="Mulish"/>
        </w:rPr>
        <w:t xml:space="preserve"> </w:t>
      </w:r>
      <w:r w:rsidR="00C52EE5" w:rsidRPr="005B564C">
        <w:rPr>
          <w:rFonts w:ascii="Mulish" w:hAnsi="Mulish"/>
        </w:rPr>
        <w:t>recomendaciones derivadas de la evaluación realizada en 202</w:t>
      </w:r>
      <w:r w:rsidR="00E71514" w:rsidRPr="005B564C">
        <w:rPr>
          <w:rFonts w:ascii="Mulish" w:hAnsi="Mulish"/>
        </w:rPr>
        <w:t>3</w:t>
      </w:r>
      <w:r w:rsidR="00C52EE5" w:rsidRPr="005B564C">
        <w:rPr>
          <w:rFonts w:ascii="Mulish" w:hAnsi="Mulish"/>
        </w:rPr>
        <w:t>.</w:t>
      </w:r>
    </w:p>
    <w:p w14:paraId="58C357A6" w14:textId="590661E1" w:rsidR="004250E4" w:rsidRPr="005B564C" w:rsidRDefault="004250E4" w:rsidP="00DF56A7">
      <w:pPr>
        <w:jc w:val="both"/>
        <w:rPr>
          <w:rFonts w:ascii="Mulish" w:hAnsi="Mulish"/>
        </w:rPr>
      </w:pPr>
    </w:p>
    <w:p w14:paraId="64E5E820" w14:textId="63070956" w:rsidR="004250E4" w:rsidRPr="005B564C" w:rsidRDefault="004250E4" w:rsidP="00DF56A7">
      <w:pPr>
        <w:jc w:val="both"/>
        <w:rPr>
          <w:rFonts w:ascii="Mulish" w:hAnsi="Mulish"/>
        </w:rPr>
      </w:pPr>
    </w:p>
    <w:p w14:paraId="1FFE0FCC" w14:textId="70B0B9A2" w:rsidR="004250E4" w:rsidRPr="005B564C" w:rsidRDefault="004250E4" w:rsidP="00DF56A7">
      <w:pPr>
        <w:jc w:val="both"/>
        <w:rPr>
          <w:rFonts w:ascii="Mulish" w:hAnsi="Mulish"/>
        </w:rPr>
      </w:pPr>
    </w:p>
    <w:p w14:paraId="46CE625A" w14:textId="76A0031D" w:rsidR="004250E4" w:rsidRPr="005B564C" w:rsidRDefault="004250E4" w:rsidP="00DF56A7">
      <w:pPr>
        <w:jc w:val="both"/>
        <w:rPr>
          <w:rFonts w:ascii="Mulish" w:hAnsi="Mulish"/>
        </w:rPr>
      </w:pPr>
    </w:p>
    <w:p w14:paraId="73A4695E" w14:textId="056B227A" w:rsidR="004250E4" w:rsidRPr="005B564C" w:rsidRDefault="004250E4" w:rsidP="00DF56A7">
      <w:pPr>
        <w:jc w:val="both"/>
        <w:rPr>
          <w:rFonts w:ascii="Mulish" w:hAnsi="Mulish"/>
        </w:rPr>
      </w:pPr>
    </w:p>
    <w:p w14:paraId="7A166860" w14:textId="48AF24B5" w:rsidR="004250E4" w:rsidRPr="005B564C" w:rsidRDefault="004250E4" w:rsidP="00DF56A7">
      <w:pPr>
        <w:jc w:val="both"/>
        <w:rPr>
          <w:rFonts w:ascii="Mulish" w:hAnsi="Mulish"/>
        </w:rPr>
      </w:pPr>
    </w:p>
    <w:p w14:paraId="02201B16" w14:textId="24BBBA9D" w:rsidR="004250E4" w:rsidRPr="005B564C" w:rsidRDefault="004250E4" w:rsidP="00DF56A7">
      <w:pPr>
        <w:jc w:val="both"/>
        <w:rPr>
          <w:rFonts w:ascii="Mulish" w:hAnsi="Mulish"/>
        </w:rPr>
      </w:pPr>
    </w:p>
    <w:p w14:paraId="50F2E58A" w14:textId="115CBB13" w:rsidR="004250E4" w:rsidRPr="005B564C" w:rsidRDefault="004250E4" w:rsidP="00DF56A7">
      <w:pPr>
        <w:jc w:val="both"/>
        <w:rPr>
          <w:rFonts w:ascii="Mulish" w:hAnsi="Mulish"/>
        </w:rPr>
      </w:pPr>
    </w:p>
    <w:p w14:paraId="2D817682" w14:textId="5AAC3251" w:rsidR="004250E4" w:rsidRPr="005B564C" w:rsidRDefault="004250E4" w:rsidP="00DF56A7">
      <w:pPr>
        <w:jc w:val="both"/>
        <w:rPr>
          <w:rFonts w:ascii="Mulish" w:hAnsi="Mulish"/>
        </w:rPr>
      </w:pPr>
    </w:p>
    <w:p w14:paraId="1B132625" w14:textId="77777777" w:rsidR="004250E4" w:rsidRPr="005B564C" w:rsidRDefault="004250E4" w:rsidP="00DF56A7">
      <w:pPr>
        <w:jc w:val="both"/>
        <w:rPr>
          <w:rFonts w:ascii="Mulish" w:hAnsi="Mulish"/>
        </w:rPr>
      </w:pPr>
    </w:p>
    <w:p w14:paraId="51648A90" w14:textId="3F834276" w:rsidR="00FA5AFD" w:rsidRPr="005B564C" w:rsidRDefault="00FA5AFD" w:rsidP="00AC4A6F">
      <w:pPr>
        <w:rPr>
          <w:rFonts w:ascii="Mulish" w:hAnsi="Mulish"/>
        </w:rPr>
      </w:pPr>
    </w:p>
    <w:p w14:paraId="523CD473" w14:textId="5D6F62E7" w:rsidR="003F6EDC" w:rsidRPr="005B564C" w:rsidRDefault="005B564C" w:rsidP="003642A6">
      <w:pPr>
        <w:rPr>
          <w:rFonts w:ascii="Mulish" w:hAnsi="Mulish"/>
          <w:b/>
          <w:color w:val="50866C"/>
          <w:sz w:val="30"/>
          <w:szCs w:val="30"/>
        </w:rPr>
      </w:pPr>
      <w:sdt>
        <w:sdtPr>
          <w:rPr>
            <w:rFonts w:ascii="Mulish" w:hAnsi="Mulish"/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5B564C">
            <w:rPr>
              <w:rFonts w:ascii="Mulish" w:hAnsi="Mulish"/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 w:rsidRPr="005B564C">
            <w:rPr>
              <w:rFonts w:ascii="Mulish" w:hAnsi="Mulish"/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14:paraId="02AF1BDE" w14:textId="114CC5B7" w:rsidR="00FA5AFD" w:rsidRPr="005B564C" w:rsidRDefault="00FA5AFD" w:rsidP="00F05E2C">
      <w:pPr>
        <w:pStyle w:val="Cuerpodelboletn"/>
        <w:rPr>
          <w:rFonts w:ascii="Mulish" w:hAnsi="Mulish"/>
          <w:lang w:bidi="es-ES"/>
        </w:rPr>
      </w:pPr>
    </w:p>
    <w:p w14:paraId="1808C9CE" w14:textId="77B78594" w:rsidR="0099187B" w:rsidRPr="005B564C" w:rsidRDefault="0099187B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783"/>
        <w:gridCol w:w="783"/>
        <w:gridCol w:w="783"/>
        <w:gridCol w:w="783"/>
        <w:gridCol w:w="783"/>
        <w:gridCol w:w="783"/>
        <w:gridCol w:w="783"/>
        <w:gridCol w:w="777"/>
      </w:tblGrid>
      <w:tr w:rsidR="0099187B" w:rsidRPr="005B564C" w14:paraId="7F265975" w14:textId="77777777" w:rsidTr="0099187B">
        <w:trPr>
          <w:divId w:val="1179464329"/>
          <w:trHeight w:val="1995"/>
        </w:trPr>
        <w:tc>
          <w:tcPr>
            <w:tcW w:w="1739" w:type="pct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00642D"/>
            <w:noWrap/>
            <w:textDirection w:val="btLr"/>
            <w:hideMark/>
          </w:tcPr>
          <w:p w14:paraId="3997DFAD" w14:textId="744BB918" w:rsidR="0099187B" w:rsidRPr="005B564C" w:rsidRDefault="0099187B" w:rsidP="0099187B">
            <w:pPr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126CCE09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328EF1B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0469D5B9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38D7DF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7EBE72A7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6B417F8E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4AC75369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408" w:type="pct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shd w:val="clear" w:color="000000" w:fill="00642D"/>
            <w:noWrap/>
            <w:textDirection w:val="btLr"/>
            <w:vAlign w:val="center"/>
            <w:hideMark/>
          </w:tcPr>
          <w:p w14:paraId="5BD7C17A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</w:tr>
      <w:tr w:rsidR="0099187B" w:rsidRPr="005B564C" w14:paraId="31BC034B" w14:textId="77777777" w:rsidTr="0099187B">
        <w:trPr>
          <w:divId w:val="117946432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7D42CC2B" w14:textId="77777777" w:rsidR="0099187B" w:rsidRPr="005B564C" w:rsidRDefault="0099187B" w:rsidP="0099187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69F98C4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85,0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3B45685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867F273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6CD0037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18E2108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96350D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17E2B62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90,0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0532B97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89,3</w:t>
            </w:r>
          </w:p>
        </w:tc>
      </w:tr>
      <w:tr w:rsidR="0099187B" w:rsidRPr="005B564C" w14:paraId="05E4D616" w14:textId="77777777" w:rsidTr="0099187B">
        <w:trPr>
          <w:divId w:val="1179464329"/>
          <w:trHeight w:val="45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14D71A02" w14:textId="77777777" w:rsidR="0099187B" w:rsidRPr="005B564C" w:rsidRDefault="0099187B" w:rsidP="0099187B">
            <w:pPr>
              <w:jc w:val="both"/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De relevancia jurídica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653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1F72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5BB0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51C5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BC72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3F00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B7D1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E71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N.A.</w:t>
            </w:r>
          </w:p>
        </w:tc>
      </w:tr>
      <w:tr w:rsidR="0099187B" w:rsidRPr="005B564C" w14:paraId="7E7FF2F0" w14:textId="77777777" w:rsidTr="0099187B">
        <w:trPr>
          <w:divId w:val="117946432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36F5C616" w14:textId="77777777" w:rsidR="0099187B" w:rsidRPr="005B564C" w:rsidRDefault="0099187B" w:rsidP="0099187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proofErr w:type="gramStart"/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Económica ,</w:t>
            </w:r>
            <w:proofErr w:type="gramEnd"/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 xml:space="preserve"> Presupuestaria y Estadística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BD0766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62,3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7D17985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45,5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A2FB644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70051B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45,5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808B56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D6E5ABB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D9B6E68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63,6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EE767A5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58,3</w:t>
            </w:r>
          </w:p>
        </w:tc>
      </w:tr>
      <w:tr w:rsidR="0099187B" w:rsidRPr="005B564C" w14:paraId="4B09B3E6" w14:textId="77777777" w:rsidTr="0099187B">
        <w:trPr>
          <w:divId w:val="117946432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0D97E4C4" w14:textId="77777777" w:rsidR="0099187B" w:rsidRPr="005B564C" w:rsidRDefault="0099187B" w:rsidP="0099187B">
            <w:pPr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color w:val="FFFFFF"/>
                <w:sz w:val="16"/>
                <w:szCs w:val="16"/>
                <w:lang w:eastAsia="es-ES"/>
              </w:rPr>
              <w:t>Información patrimonial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E52F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F579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DBAD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68F2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D15F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1F6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EC26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4937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color w:val="000000"/>
                <w:sz w:val="16"/>
                <w:szCs w:val="16"/>
                <w:lang w:eastAsia="es-ES"/>
              </w:rPr>
              <w:t>700</w:t>
            </w:r>
          </w:p>
        </w:tc>
      </w:tr>
      <w:tr w:rsidR="0099187B" w:rsidRPr="005B564C" w14:paraId="3528B79A" w14:textId="77777777" w:rsidTr="0099187B">
        <w:trPr>
          <w:divId w:val="1179464329"/>
          <w:trHeight w:val="330"/>
        </w:trPr>
        <w:tc>
          <w:tcPr>
            <w:tcW w:w="173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00642D"/>
            <w:noWrap/>
            <w:vAlign w:val="center"/>
            <w:hideMark/>
          </w:tcPr>
          <w:p w14:paraId="4E474E21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FFFFFF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08D1E15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74,4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C7DA27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E08F1CB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830DA9A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68,2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53F287A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300A4B0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BAE201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77,3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E7D3A0C" w14:textId="77777777" w:rsidR="0099187B" w:rsidRPr="005B564C" w:rsidRDefault="0099187B" w:rsidP="0099187B">
            <w:pPr>
              <w:jc w:val="center"/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Times New Roman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74,6</w:t>
            </w:r>
          </w:p>
        </w:tc>
      </w:tr>
    </w:tbl>
    <w:p w14:paraId="0ED1B22F" w14:textId="640183AB" w:rsidR="007A6E69" w:rsidRPr="005B564C" w:rsidRDefault="007A6E69" w:rsidP="00F05E2C">
      <w:pPr>
        <w:pStyle w:val="Cuerpodelboletn"/>
        <w:rPr>
          <w:rFonts w:ascii="Mulish" w:hAnsi="Mulish"/>
          <w:color w:val="auto"/>
          <w:sz w:val="20"/>
          <w:szCs w:val="20"/>
        </w:rPr>
      </w:pPr>
    </w:p>
    <w:p w14:paraId="1192134F" w14:textId="568C6B69" w:rsidR="00BB3652" w:rsidRPr="005B564C" w:rsidRDefault="004061BC" w:rsidP="00BB3652">
      <w:pPr>
        <w:pStyle w:val="Cuerpodelboletn"/>
        <w:rPr>
          <w:rFonts w:ascii="Mulish" w:hAnsi="Mulish"/>
          <w:lang w:bidi="es-ES"/>
        </w:rPr>
      </w:pPr>
      <w:r w:rsidRPr="005B564C">
        <w:rPr>
          <w:rFonts w:ascii="Mulish" w:hAnsi="Mulish"/>
          <w:lang w:bidi="es-ES"/>
        </w:rPr>
        <w:t xml:space="preserve">El Índice de Cumplimiento de la Información Obligatoria (ICIO) se sitúa en el </w:t>
      </w:r>
      <w:r w:rsidR="0099187B" w:rsidRPr="005B564C">
        <w:rPr>
          <w:rFonts w:ascii="Mulish" w:hAnsi="Mulish"/>
          <w:lang w:bidi="es-ES"/>
        </w:rPr>
        <w:t>74,6</w:t>
      </w:r>
      <w:r w:rsidRPr="005B564C">
        <w:rPr>
          <w:rFonts w:ascii="Mulish" w:hAnsi="Mulish"/>
          <w:lang w:bidi="es-ES"/>
        </w:rPr>
        <w:t>%.</w:t>
      </w:r>
      <w:r w:rsidR="00BB3652" w:rsidRPr="005B564C">
        <w:rPr>
          <w:rFonts w:ascii="Mulish" w:hAnsi="Mulish"/>
          <w:lang w:bidi="es-ES"/>
        </w:rPr>
        <w:t xml:space="preserve"> Respecto de 202</w:t>
      </w:r>
      <w:r w:rsidR="002347EF" w:rsidRPr="005B564C">
        <w:rPr>
          <w:rFonts w:ascii="Mulish" w:hAnsi="Mulish"/>
          <w:lang w:bidi="es-ES"/>
        </w:rPr>
        <w:t>3</w:t>
      </w:r>
      <w:r w:rsidR="00BB3652" w:rsidRPr="005B564C">
        <w:rPr>
          <w:rFonts w:ascii="Mulish" w:hAnsi="Mulish"/>
          <w:lang w:bidi="es-ES"/>
        </w:rPr>
        <w:t xml:space="preserve"> se produce </w:t>
      </w:r>
      <w:r w:rsidR="002347EF" w:rsidRPr="005B564C">
        <w:rPr>
          <w:rFonts w:ascii="Mulish" w:hAnsi="Mulish"/>
          <w:lang w:bidi="es-ES"/>
        </w:rPr>
        <w:t>un</w:t>
      </w:r>
      <w:r w:rsidR="00F66626" w:rsidRPr="005B564C">
        <w:rPr>
          <w:rFonts w:ascii="Mulish" w:hAnsi="Mulish"/>
          <w:lang w:bidi="es-ES"/>
        </w:rPr>
        <w:t xml:space="preserve"> aumento de </w:t>
      </w:r>
      <w:r w:rsidR="0099187B" w:rsidRPr="005B564C">
        <w:rPr>
          <w:rFonts w:ascii="Mulish" w:hAnsi="Mulish"/>
          <w:lang w:bidi="es-ES"/>
        </w:rPr>
        <w:t>50,5</w:t>
      </w:r>
      <w:r w:rsidR="00BB3652" w:rsidRPr="005B564C">
        <w:rPr>
          <w:rFonts w:ascii="Mulish" w:hAnsi="Mulish"/>
          <w:lang w:bidi="es-ES"/>
        </w:rPr>
        <w:t xml:space="preserve"> puntos porcentuales atribuible</w:t>
      </w:r>
      <w:r w:rsidR="0076567C" w:rsidRPr="005B564C">
        <w:rPr>
          <w:rFonts w:ascii="Mulish" w:hAnsi="Mulish"/>
          <w:lang w:bidi="es-ES"/>
        </w:rPr>
        <w:t xml:space="preserve">s a la </w:t>
      </w:r>
      <w:r w:rsidR="0099187B" w:rsidRPr="005B564C">
        <w:rPr>
          <w:rFonts w:ascii="Mulish" w:hAnsi="Mulish"/>
          <w:lang w:bidi="es-ES"/>
        </w:rPr>
        <w:t xml:space="preserve">aplicación de 21 de las 23 recomendaciones efectuadas ese año. </w:t>
      </w:r>
    </w:p>
    <w:p w14:paraId="2BFB87F4" w14:textId="7B53ED9B" w:rsidR="00A670E9" w:rsidRPr="005B564C" w:rsidRDefault="00A670E9" w:rsidP="00F05E2C">
      <w:pPr>
        <w:pStyle w:val="Cuerpodelboletn"/>
        <w:rPr>
          <w:rFonts w:ascii="Mulish" w:hAnsi="Mulish"/>
        </w:rPr>
      </w:pPr>
    </w:p>
    <w:p w14:paraId="6B9B75B4" w14:textId="77777777" w:rsidR="00EB68A3" w:rsidRPr="005B564C" w:rsidRDefault="00EB68A3" w:rsidP="00F05E2C">
      <w:pPr>
        <w:pStyle w:val="Cuerpodelboletn"/>
        <w:rPr>
          <w:rFonts w:ascii="Mulish" w:hAnsi="Mulish"/>
        </w:rPr>
        <w:sectPr w:rsidR="00EB68A3" w:rsidRPr="005B564C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rFonts w:ascii="Mulish" w:hAnsi="Mulish"/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45FF60F8" w14:textId="77777777" w:rsidR="00C259F4" w:rsidRPr="005B564C" w:rsidRDefault="00C259F4" w:rsidP="001763F8">
          <w:pPr>
            <w:pStyle w:val="Cuerpodelboletn"/>
            <w:numPr>
              <w:ilvl w:val="0"/>
              <w:numId w:val="2"/>
            </w:numPr>
            <w:rPr>
              <w:rFonts w:ascii="Mulish" w:hAnsi="Mulish"/>
              <w:sz w:val="30"/>
              <w:szCs w:val="30"/>
            </w:rPr>
          </w:pPr>
          <w:r w:rsidRPr="005B564C">
            <w:rPr>
              <w:rFonts w:ascii="Mulish" w:hAnsi="Mulish"/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7137D731" w14:textId="77777777" w:rsidR="00965C69" w:rsidRPr="005B564C" w:rsidRDefault="00965C69" w:rsidP="00965C69">
      <w:pPr>
        <w:pStyle w:val="Cuerpodelboletn"/>
        <w:rPr>
          <w:rFonts w:ascii="Mulish" w:hAnsi="Mulish"/>
        </w:rPr>
      </w:pPr>
    </w:p>
    <w:p w14:paraId="06476F7C" w14:textId="06E6F8DB" w:rsidR="00BB3652" w:rsidRPr="005B564C" w:rsidRDefault="00BB3652" w:rsidP="00BB3652">
      <w:pPr>
        <w:pStyle w:val="Cuerpodelboletn"/>
        <w:rPr>
          <w:rFonts w:ascii="Mulish" w:hAnsi="Mulish"/>
        </w:rPr>
      </w:pPr>
      <w:r w:rsidRPr="005B564C">
        <w:rPr>
          <w:rFonts w:ascii="Mulish" w:hAnsi="Mulish"/>
        </w:rPr>
        <w:t xml:space="preserve">Este CTBG no puede menos que </w:t>
      </w:r>
      <w:r w:rsidRPr="005B564C">
        <w:rPr>
          <w:rFonts w:ascii="Mulish" w:hAnsi="Mulish"/>
          <w:b/>
        </w:rPr>
        <w:t xml:space="preserve">valorar </w:t>
      </w:r>
      <w:r w:rsidR="00F26CC7" w:rsidRPr="005B564C">
        <w:rPr>
          <w:rFonts w:ascii="Mulish" w:hAnsi="Mulish"/>
          <w:b/>
        </w:rPr>
        <w:t xml:space="preserve">muy </w:t>
      </w:r>
      <w:r w:rsidR="0099187B" w:rsidRPr="005B564C">
        <w:rPr>
          <w:rFonts w:ascii="Mulish" w:hAnsi="Mulish"/>
          <w:b/>
        </w:rPr>
        <w:t xml:space="preserve">positivamente, </w:t>
      </w:r>
      <w:r w:rsidR="0099187B" w:rsidRPr="005B564C">
        <w:rPr>
          <w:rFonts w:ascii="Mulish" w:hAnsi="Mulish"/>
          <w:bCs/>
        </w:rPr>
        <w:t>el esfuerzo realizado por</w:t>
      </w:r>
      <w:r w:rsidR="0099187B" w:rsidRPr="005B564C">
        <w:rPr>
          <w:rFonts w:ascii="Mulish" w:hAnsi="Mulish"/>
          <w:b/>
        </w:rPr>
        <w:t xml:space="preserve"> </w:t>
      </w:r>
      <w:r w:rsidR="0099187B" w:rsidRPr="005B564C">
        <w:rPr>
          <w:rFonts w:ascii="Mulish" w:hAnsi="Mulish"/>
        </w:rPr>
        <w:t>Casa</w:t>
      </w:r>
      <w:r w:rsidR="00F26CC7" w:rsidRPr="005B564C">
        <w:rPr>
          <w:rFonts w:ascii="Mulish" w:hAnsi="Mulish"/>
        </w:rPr>
        <w:t xml:space="preserve"> Mediterráneo</w:t>
      </w:r>
      <w:r w:rsidR="0099187B" w:rsidRPr="005B564C">
        <w:rPr>
          <w:rFonts w:ascii="Mulish" w:hAnsi="Mulish"/>
        </w:rPr>
        <w:t xml:space="preserve"> para mejorar el cumplimiento de las obligaciones de publicidad activa que le son de aplicación</w:t>
      </w:r>
      <w:r w:rsidRPr="005B564C">
        <w:rPr>
          <w:rFonts w:ascii="Mulish" w:hAnsi="Mulish"/>
        </w:rPr>
        <w:t xml:space="preserve">. </w:t>
      </w:r>
      <w:r w:rsidR="0099187B" w:rsidRPr="005B564C">
        <w:rPr>
          <w:rFonts w:ascii="Mulish" w:hAnsi="Mulish"/>
        </w:rPr>
        <w:t xml:space="preserve">Se ha adoptado más del 91% de las recomendaciones realizadas por este Consejo, y, como consecuencia de esto, el Índice de Cumplimiento se ha incrementado en el 209,5%. Para que Casa Mediterráneo logre el pleno cumplimiento de la LTAIBG, debería abordar las siguientes actuaciones: </w:t>
      </w:r>
    </w:p>
    <w:p w14:paraId="6DFE2128" w14:textId="02BD7EF8" w:rsidR="00F26CC7" w:rsidRPr="005B564C" w:rsidRDefault="0099187B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B564C">
        <w:rPr>
          <w:rFonts w:ascii="Mulish" w:hAnsi="Mulish"/>
        </w:rPr>
        <w:t>Publicar e</w:t>
      </w:r>
      <w:r w:rsidR="00F26CC7" w:rsidRPr="005B564C">
        <w:rPr>
          <w:rFonts w:ascii="Mulish" w:hAnsi="Mulish"/>
        </w:rPr>
        <w:t>l Registro de Actividades de Tratamiento</w:t>
      </w:r>
      <w:r w:rsidRPr="005B564C">
        <w:rPr>
          <w:rFonts w:ascii="Mulish" w:hAnsi="Mulish"/>
        </w:rPr>
        <w:t>, con todos los contenidos informativos establecidos en el Reglamento General de Protección de Datos.</w:t>
      </w:r>
    </w:p>
    <w:p w14:paraId="1D3C21BF" w14:textId="1227939C" w:rsidR="00F26CC7" w:rsidRPr="005B564C" w:rsidRDefault="0099187B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B564C">
        <w:rPr>
          <w:rFonts w:ascii="Mulish" w:hAnsi="Mulish"/>
        </w:rPr>
        <w:t>Publicar</w:t>
      </w:r>
      <w:r w:rsidR="00F26CC7" w:rsidRPr="005B564C">
        <w:rPr>
          <w:rFonts w:ascii="Mulish" w:hAnsi="Mulish"/>
        </w:rPr>
        <w:t xml:space="preserve"> información sobre posibles modificaciones de contratos.</w:t>
      </w:r>
      <w:r w:rsidRPr="005B564C">
        <w:rPr>
          <w:rFonts w:ascii="Mulish" w:hAnsi="Mulish"/>
        </w:rPr>
        <w:t xml:space="preserve"> Como se ha señalado esta información es difícilmente localizable en la Plataforma de Contratación del Sector Público, ya que requiere que se abran los enlaces a todas las licitaciones publicadas.</w:t>
      </w:r>
    </w:p>
    <w:p w14:paraId="140C3628" w14:textId="4A03D686" w:rsidR="00F26CC7" w:rsidRPr="005B564C" w:rsidRDefault="0099187B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B564C">
        <w:rPr>
          <w:rFonts w:ascii="Mulish" w:hAnsi="Mulish"/>
        </w:rPr>
        <w:t>Actualizar los</w:t>
      </w:r>
      <w:r w:rsidR="00F26CC7" w:rsidRPr="005B564C">
        <w:rPr>
          <w:rFonts w:ascii="Mulish" w:hAnsi="Mulish"/>
        </w:rPr>
        <w:t xml:space="preserve"> datos estadísticos sobre </w:t>
      </w:r>
      <w:r w:rsidR="00585171" w:rsidRPr="005B564C">
        <w:rPr>
          <w:rFonts w:ascii="Mulish" w:hAnsi="Mulish"/>
        </w:rPr>
        <w:t>la distribución en volumen presupuestario de los contratos según procedimiento de licitación</w:t>
      </w:r>
      <w:r w:rsidR="00F26CC7" w:rsidRPr="005B564C">
        <w:rPr>
          <w:rFonts w:ascii="Mulish" w:hAnsi="Mulish"/>
        </w:rPr>
        <w:t>.</w:t>
      </w:r>
    </w:p>
    <w:p w14:paraId="33865D92" w14:textId="41B0FBFE" w:rsidR="00F26CC7" w:rsidRPr="005B564C" w:rsidRDefault="0099187B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B564C">
        <w:rPr>
          <w:rFonts w:ascii="Mulish" w:hAnsi="Mulish"/>
        </w:rPr>
        <w:t>Publicar</w:t>
      </w:r>
      <w:r w:rsidR="00F26CC7" w:rsidRPr="005B564C">
        <w:rPr>
          <w:rFonts w:ascii="Mulish" w:hAnsi="Mulish"/>
        </w:rPr>
        <w:t xml:space="preserve"> datos estadísticos sobre los contratos adjudicados a </w:t>
      </w:r>
      <w:proofErr w:type="spellStart"/>
      <w:r w:rsidR="00F26CC7" w:rsidRPr="005B564C">
        <w:rPr>
          <w:rFonts w:ascii="Mulish" w:hAnsi="Mulish"/>
        </w:rPr>
        <w:t>PYMEs</w:t>
      </w:r>
      <w:proofErr w:type="spellEnd"/>
      <w:r w:rsidR="00F26CC7" w:rsidRPr="005B564C">
        <w:rPr>
          <w:rFonts w:ascii="Mulish" w:hAnsi="Mulish"/>
        </w:rPr>
        <w:t xml:space="preserve"> según tipo de contrato y según procedimiento de licitación.</w:t>
      </w:r>
      <w:r w:rsidRPr="005B564C">
        <w:rPr>
          <w:rFonts w:ascii="Mulish" w:hAnsi="Mulish"/>
        </w:rPr>
        <w:t xml:space="preserve"> En el informe de evaluación 2023 ya </w:t>
      </w:r>
      <w:r w:rsidRPr="005B564C">
        <w:rPr>
          <w:rFonts w:ascii="Mulish" w:hAnsi="Mulish"/>
        </w:rPr>
        <w:lastRenderedPageBreak/>
        <w:t>se advirtió a Casa Mediterráneo de que esta nueva obligación de publicidad activa se incorporaba a partir de julio de 2023.</w:t>
      </w:r>
    </w:p>
    <w:p w14:paraId="1C24B41F" w14:textId="34C6B963" w:rsidR="00F26CC7" w:rsidRPr="005B564C" w:rsidRDefault="0099187B" w:rsidP="00F26CC7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Mulish" w:hAnsi="Mulish"/>
        </w:rPr>
      </w:pPr>
      <w:r w:rsidRPr="005B564C">
        <w:rPr>
          <w:rFonts w:ascii="Mulish" w:hAnsi="Mulish"/>
        </w:rPr>
        <w:t>Publicar los</w:t>
      </w:r>
      <w:r w:rsidR="00F26CC7" w:rsidRPr="005B564C">
        <w:rPr>
          <w:rFonts w:ascii="Mulish" w:hAnsi="Mulish"/>
        </w:rPr>
        <w:t xml:space="preserve"> informes de auditoría emitidos por el Tribunal de Cuentas, que es el órgano de control externo de la AGE.</w:t>
      </w:r>
    </w:p>
    <w:p w14:paraId="03A85467" w14:textId="77777777" w:rsidR="00F26CC7" w:rsidRPr="005B564C" w:rsidRDefault="00F26CC7" w:rsidP="00F26CC7">
      <w:pPr>
        <w:pStyle w:val="Sinespaciado"/>
        <w:spacing w:line="276" w:lineRule="auto"/>
        <w:ind w:left="2160"/>
        <w:jc w:val="both"/>
        <w:rPr>
          <w:rFonts w:ascii="Mulish" w:hAnsi="Mulish"/>
        </w:rPr>
      </w:pPr>
    </w:p>
    <w:p w14:paraId="64C9EB25" w14:textId="77777777" w:rsidR="00B325ED" w:rsidRPr="005B564C" w:rsidRDefault="00B325ED" w:rsidP="004061BC">
      <w:pPr>
        <w:pStyle w:val="Sinespaciado"/>
        <w:spacing w:line="276" w:lineRule="auto"/>
        <w:jc w:val="both"/>
        <w:rPr>
          <w:rFonts w:ascii="Mulish" w:hAnsi="Mulish"/>
        </w:rPr>
      </w:pPr>
    </w:p>
    <w:p w14:paraId="36699A31" w14:textId="790D1073" w:rsidR="004061BC" w:rsidRPr="005B564C" w:rsidRDefault="004061BC" w:rsidP="0099187B">
      <w:pPr>
        <w:pStyle w:val="Sinespaciado"/>
        <w:spacing w:line="276" w:lineRule="auto"/>
        <w:ind w:left="6480" w:firstLine="720"/>
        <w:jc w:val="both"/>
        <w:rPr>
          <w:rFonts w:ascii="Mulish" w:hAnsi="Mulish"/>
        </w:rPr>
      </w:pPr>
      <w:r w:rsidRPr="005B564C">
        <w:rPr>
          <w:rFonts w:ascii="Mulish" w:hAnsi="Mulish"/>
        </w:rPr>
        <w:t xml:space="preserve">Madrid, </w:t>
      </w:r>
      <w:r w:rsidR="0099187B" w:rsidRPr="005B564C">
        <w:rPr>
          <w:rFonts w:ascii="Mulish" w:hAnsi="Mulish"/>
        </w:rPr>
        <w:t>abril</w:t>
      </w:r>
      <w:r w:rsidR="00B325ED" w:rsidRPr="005B564C">
        <w:rPr>
          <w:rFonts w:ascii="Mulish" w:hAnsi="Mulish"/>
        </w:rPr>
        <w:t xml:space="preserve"> de 2024</w:t>
      </w:r>
      <w:r w:rsidRPr="005B564C">
        <w:rPr>
          <w:rFonts w:ascii="Mulish" w:hAnsi="Mulish"/>
        </w:rPr>
        <w:br w:type="page"/>
      </w:r>
    </w:p>
    <w:p w14:paraId="0C4D15C8" w14:textId="77777777" w:rsidR="00E17DF6" w:rsidRPr="005B564C" w:rsidRDefault="00E17DF6" w:rsidP="00C61E7F">
      <w:pPr>
        <w:pStyle w:val="Sinespaciado"/>
        <w:spacing w:line="276" w:lineRule="auto"/>
        <w:jc w:val="both"/>
        <w:rPr>
          <w:rFonts w:ascii="Mulish" w:hAnsi="Mulish"/>
        </w:rPr>
      </w:pPr>
    </w:p>
    <w:p w14:paraId="0449542E" w14:textId="77777777" w:rsidR="009654DA" w:rsidRPr="005B564C" w:rsidRDefault="002D27E4" w:rsidP="00AE4F68">
      <w:pPr>
        <w:pStyle w:val="Cuerpodelboletn"/>
        <w:jc w:val="center"/>
        <w:rPr>
          <w:rFonts w:ascii="Mulish" w:hAnsi="Mulish"/>
          <w:b/>
          <w:sz w:val="30"/>
          <w:szCs w:val="30"/>
        </w:rPr>
      </w:pPr>
      <w:r w:rsidRPr="005B564C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9442C6" wp14:editId="1BD298A6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81F8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iBgIAAO0DAAAOAAAAZHJzL2Uyb0RvYy54bWysU9uO0zAQfUfiHyy/01xYYBs1Xa1aLUJa&#10;YMXCB7iOk1g4HjN2m5a/4Vv2xxg7bSnwhnixPPb4zJkzx4ub/WDYTqHXYGtezHLOlJXQaNvV/Mvn&#10;uxfXnPkgbCMMWFXzg/L8Zvn82WJ0lSqhB9MoZARifTW6mvchuCrLvOzVIPwMnLJ02QIOIlCIXdag&#10;GAl9MFmZ56+zEbBxCFJ5T6fr6ZIvE37bKhk+tq1XgZmaE7eQVkzrJq7ZciGqDoXrtTzSEP/AYhDa&#10;UtEz1FoEwbao/4IatETw0IaZhCGDttVSpR6omyL/o5vHXjiVeiFxvDvL5P8frPywe0Cmm5qXJWdW&#10;DDSjT6Ta0w/bbQ2wYh4lGp2vKPPRPWBs0rt7kF89s7Dqhe3ULSKMvRINEStifvbbgxh4eso243to&#10;qIDYBkhq7VscIiDpwPZpKIfzUNQ+MEmH1zkJk9PsJN0Vb17O52lqmahOrx368FbBwOKm5kj0E7rY&#10;3fsQ2YjqlJLYg9HNnTYmBdhtVgbZTpBBVq/W63WZGqAmL9OMjckW4rMJcTpRyWLHMqc+J7020Byo&#10;Z4TJc/RHaNMDfudsJL/V3H/bClScmXeWdJsXV1fRoJcBXgaby0BYSVA1D5xN21WYTL11qLueKhVJ&#10;Agu3pHWrkwyR38TqOCHyVFLn6P9o2ss4Zf36pcufAAAA//8DAFBLAwQUAAYACAAAACEAPtwGT94A&#10;AAAJAQAADwAAAGRycy9kb3ducmV2LnhtbEyPzU7DMBCE70i8g7VIXBB1SJX+hDhVVQlxTgoSvTnx&#10;kljEdhS7jfv2bE9w251ZzX5T7KIZ2AUnr50V8LJIgKFtndK2E/BxfHveAPNBWiUHZ1HAFT3syvu7&#10;QubKzbbCSx06RiHW51JAH8KYc+7bHo30CzeiJe/bTUYGWqeOq0nOFG4GnibJihupLX3o5YiHHtuf&#10;+mwEnJbNIQ77z/c6VvNTuv66VjrTQjw+xP0rsIAx/B3DDZ/QoSSmxp2t8mwQQEUCqdl6C+xmp6uE&#10;pIamTbYEXhb8f4PyFwAA//8DAFBLAQItABQABgAIAAAAIQC2gziS/gAAAOEBAAATAAAAAAAAAAAA&#10;AAAAAAAAAABbQ29udGVudF9UeXBlc10ueG1sUEsBAi0AFAAGAAgAAAAhADj9If/WAAAAlAEAAAsA&#10;AAAAAAAAAAAAAAAALwEAAF9yZWxzLy5yZWxzUEsBAi0AFAAGAAgAAAAhAMg1NeIGAgAA7QMAAA4A&#10;AAAAAAAAAAAAAAAALgIAAGRycy9lMm9Eb2MueG1sUEsBAi0AFAAGAAgAAAAhAD7cBk/eAAAACQEA&#10;AA8AAAAAAAAAAAAAAAAAYA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5B564C">
        <w:rPr>
          <w:rFonts w:ascii="Mulish" w:eastAsia="Arial" w:hAnsi="Mulish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36CF4D" wp14:editId="46BBA34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03EF8" w14:textId="77777777" w:rsidR="00EB68A3" w:rsidRPr="00F31BC3" w:rsidRDefault="00EB68A3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ACDA9C7" wp14:editId="0EF6F5B6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F4D" id="Rectángulo 18" o:spid="_x0000_s1028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hHCQIAAP8D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TmXOfU56hbEak7CLs4IV&#10;1EdSAWHaQvo1ZHSA3zgbaANL7r/uBSrOzFtLSq7ni0Vc2WsHr53q2hFWElTJA2eTuQvTmu8d6raj&#10;SvMkioU7Ur/RSZjIeGJ1mhltWZL29CPiGl/7KevXv93+BAAA//8DAFBLAwQUAAYACAAAACEAIu+g&#10;U9wAAAAHAQAADwAAAGRycy9kb3ducmV2LnhtbEyPQU/DMAyF70j8h8hI3FhKNcpUmk4MCSQOPTCY&#10;tKPbmLaicaom28q/xzuxk5/9rOfPxXp2gzrSFHrPBu4XCSjixtueWwNfn693K1AhIlscPJOBXwqw&#10;Lq+vCsytP/EHHbexVRLCIUcDXYxjrnVoOnIYFn4kFu/bTw6jtFOr7YQnCXeDTpMk0w57lgsdjvTS&#10;UfOzPTgD+wzr3Xs1ppu9rXZvy8qnq83SmNub+fkJVKQ5/i/DGV/QoRSm2h/YBjUYkEeiTKWczTRL&#10;RNWiHh4T0GWhL/nLPwAAAP//AwBQSwECLQAUAAYACAAAACEAtoM4kv4AAADhAQAAEwAAAAAAAAAA&#10;AAAAAAAAAAAAW0NvbnRlbnRfVHlwZXNdLnhtbFBLAQItABQABgAIAAAAIQA4/SH/1gAAAJQBAAAL&#10;AAAAAAAAAAAAAAAAAC8BAABfcmVscy8ucmVsc1BLAQItABQABgAIAAAAIQCTM2hHCQIAAP8DAAAO&#10;AAAAAAAAAAAAAAAAAC4CAABkcnMvZTJvRG9jLnhtbFBLAQItABQABgAIAAAAIQAi76BT3AAAAAcB&#10;AAAPAAAAAAAAAAAAAAAAAGMEAABkcnMvZG93bnJldi54bWxQSwUGAAAAAAQABADzAAAAbAUAAAAA&#10;" fillcolor="#50866c" stroked="f">
                <v:textbox inset=",7.2pt,,7.2pt">
                  <w:txbxContent>
                    <w:p w14:paraId="15D03EF8" w14:textId="77777777" w:rsidR="00EB68A3" w:rsidRPr="00F31BC3" w:rsidRDefault="00EB68A3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ACDA9C7" wp14:editId="0EF6F5B6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rFonts w:ascii="Mulish" w:hAnsi="Mulish"/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5B564C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2772A5D8" wp14:editId="74510FE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EEDBA39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EXBgIAAO0DAAAOAAAAZHJzL2Uyb0RvYy54bWysU1GO0zAQ/UfiDpb/aZKyC9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Xn15xZ&#10;0dOMPpJqP77bdmeAFYso0eB8SZlP7hFjk949gPzimYV1J2yr7hBh6JSoiVgR87PfHsTA01O2Hd5B&#10;TQXELkBS69BgHwFJB3ZIQzlehqIOgUk6vMlJmJxmJ+mueP1ysUhTy0R5fu3QhzcKehY3FUein9DF&#10;/sGHyEaU55TEHoyu77UxKcB2uzbI9oIMsr7ebDbz1AA1OU0zNiZbiM9GxPFEJYudypz7HPXaQn2k&#10;nhFGz9EfoU0H+I2zgfxWcf91J1BxZt5a0m1RXF1Fg04DnAbbaSCsJKiKB87G7TqMpt451G1HlYok&#10;gYU70rrRSYbIb2R1mhB5Kqlz8n807TROWb9+6eonAAAA//8DAFBLAwQUAAYACAAAACEACqf7G+AA&#10;AAALAQAADwAAAGRycy9kb3ducmV2LnhtbEyPwU7DMBBE70j8g7VIXFDrNCUlCnGqqhLinAAS3Jx4&#10;SSxiO4rdxv17tie47c6MZt+W+2hGdsbZa2cFbNYJMLSdU9r2At7fXlY5MB+kVXJ0FgVc0MO+ur0p&#10;ZaHcYms8N6FnVGJ9IQUMIUwF574b0Ei/dhNa8r7dbGSgde65muVC5WbkaZLsuJHa0oVBTngcsPtp&#10;TkbA17Y9xvHw8drEenlInz4vtc60EPd38fAMLGAMf2G44hM6VMTUupNVno0CVpuMkqRnu0dg10Ca&#10;5SS1NOXbHHhV8v8/VL8AAAD//wMAUEsBAi0AFAAGAAgAAAAhALaDOJL+AAAA4QEAABMAAAAAAAAA&#10;AAAAAAAAAAAAAFtDb250ZW50X1R5cGVzXS54bWxQSwECLQAUAAYACAAAACEAOP0h/9YAAACUAQAA&#10;CwAAAAAAAAAAAAAAAAAvAQAAX3JlbHMvLnJlbHNQSwECLQAUAAYACAAAACEAz7OxFwYCAADtAwAA&#10;DgAAAAAAAAAAAAAAAAAuAgAAZHJzL2Uyb0RvYy54bWxQSwECLQAUAAYACAAAACEACqf7G+AAAAAL&#10;AQAADwAAAAAAAAAAAAAAAABgBAAAZHJzL2Rvd25yZXYueG1sUEsFBgAAAAAEAAQA8wAAAG0FAAAA&#10;AA=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5B564C">
            <w:rPr>
              <w:rFonts w:ascii="Mulish" w:eastAsia="Arial" w:hAnsi="Mulish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64DC1936" wp14:editId="6AC0160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9C2F76" w14:textId="77777777" w:rsidR="00EB68A3" w:rsidRPr="00F31BC3" w:rsidRDefault="00EB68A3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33D065C" wp14:editId="4729B69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DC1936" id="_x0000_s1029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5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685&#10;s6KnHX0k1n58t+3OACuWkaLB+ZIin90TxiG9ewT5xTMLm07YVt0hwtApUVNjRYzPfkuIjqdUth3e&#10;QU0FxC5AYmtssI+AxAMb01IO56WoMTBJl8uciMlpd5LeVqt8QXYsIcpTtkMf3ijoWTQqjtR+Qhf7&#10;Rx+m0FNI6h6Mrh+0McnBdrsxyPaCBHKdLxeLzRHdX4YZG4MtxLQJcbpRSWLHMqc5J77CuB0Tsdcn&#10;BrdQH4gFhEmF9GvI6AC/cTaQAivuv+4EKs7MW0tMroqrqyjZSwcvne2lI6wkqIoHziZzEyaZ7xzq&#10;tqNKRSLFwh2x3+hETOx46uq4M1JZovb4I6KML/0U9evfrn8CAAD//wMAUEsDBBQABgAIAAAAIQAE&#10;CGhB3QAAAAkBAAAPAAAAZHJzL2Rvd25yZXYueG1sTE9BasMwELwX+gexhd4SOSYKxrUcmkILPfjQ&#10;pIEcZWtrm1orYymJ+/tuTu1pZplhdqbYzm4QF5xC70nDapmAQGq87anV8Hl4XWQgQjRkzeAJNfxg&#10;gG15f1eY3PorfeBlH1vBIRRyo6GLccylDE2HzoSlH5FY+/KTM5HPqZV2MlcOd4NMk2QjnemJP3Rm&#10;xJcOm+/92Wk4bUx9fK/GdHey1fFtXfk02621fnyYn59ARJzjnxlu9bk6lNyp9meyQQwaFivFTkaG&#10;m5yqjFnNTCkFsizk/wXlLwAAAP//AwBQSwECLQAUAAYACAAAACEAtoM4kv4AAADhAQAAEwAAAAAA&#10;AAAAAAAAAAAAAAAAW0NvbnRlbnRfVHlwZXNdLnhtbFBLAQItABQABgAIAAAAIQA4/SH/1gAAAJQB&#10;AAALAAAAAAAAAAAAAAAAAC8BAABfcmVscy8ucmVsc1BLAQItABQABgAIAAAAIQB1zT5NCwIAAP8D&#10;AAAOAAAAAAAAAAAAAAAAAC4CAABkcnMvZTJvRG9jLnhtbFBLAQItABQABgAIAAAAIQAECGhB3QAA&#10;AAkBAAAPAAAAAAAAAAAAAAAAAGUEAABkcnMvZG93bnJldi54bWxQSwUGAAAAAAQABADzAAAAbwUA&#10;AAAA&#10;" fillcolor="#50866c" stroked="f">
                    <v:textbox inset=",7.2pt,,7.2pt">
                      <w:txbxContent>
                        <w:p w14:paraId="059C2F76" w14:textId="77777777" w:rsidR="00EB68A3" w:rsidRPr="00F31BC3" w:rsidRDefault="00EB68A3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33D065C" wp14:editId="4729B696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5B564C">
            <w:rPr>
              <w:rFonts w:ascii="Mulish" w:hAnsi="Mulish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734"/>
        <w:gridCol w:w="735"/>
        <w:gridCol w:w="4028"/>
      </w:tblGrid>
      <w:tr w:rsidR="009654DA" w:rsidRPr="005B564C" w14:paraId="01EFBF17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C2F16DF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8D184C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10E9C054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840A23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4E85E6B0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5B564C" w14:paraId="3C0F5703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DF7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CE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AA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B78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5B564C" w14:paraId="1C240016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E4E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4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11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2B23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C33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5B564C" w14:paraId="24115DC4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0876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0BE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CF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5B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BD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5B564C" w14:paraId="5E562B90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DDB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106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A98B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B7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60B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De forma </w:t>
            </w:r>
            <w:proofErr w:type="gramStart"/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INDIRECTA</w:t>
            </w:r>
            <w:proofErr w:type="gramEnd"/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sin dirigir a la información a la que se refiere</w:t>
            </w:r>
          </w:p>
        </w:tc>
      </w:tr>
      <w:tr w:rsidR="009654DA" w:rsidRPr="005B564C" w14:paraId="49A5F111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206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219A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965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7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F25F" w14:textId="77777777" w:rsidR="009654DA" w:rsidRPr="005B564C" w:rsidRDefault="009654DA" w:rsidP="00903FE0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5B564C" w14:paraId="12D761CE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E8B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E3D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A41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EC5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794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Tiene </w:t>
            </w:r>
            <w:proofErr w:type="gramStart"/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FECHA  pero</w:t>
            </w:r>
            <w:proofErr w:type="gramEnd"/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NO ESTA ACTUALIZADO dentro de los tres meses</w:t>
            </w:r>
          </w:p>
        </w:tc>
      </w:tr>
      <w:tr w:rsidR="009654DA" w:rsidRPr="005B564C" w14:paraId="141A174C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5B6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B1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101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4A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43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5B564C" w14:paraId="3502C611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CC2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A0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F3A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2E3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C06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5B564C" w14:paraId="17B7A78E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36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CBD6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44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72A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BE0B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5B564C" w14:paraId="4C8B028E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BA4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A29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6DE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90A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776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5B564C" w14:paraId="11E34754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E98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1DF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1E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92D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770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5B564C" w14:paraId="34F4487E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22E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DE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DF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5A46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1ED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5B564C" w14:paraId="11F7C4ED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E59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8C5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ED4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AF1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C7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5B564C" w14:paraId="66FD4854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21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86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371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BE3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59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5B564C" w14:paraId="7F4AE3D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9A6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93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65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2D9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04F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5B564C" w14:paraId="2578265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DD0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D2B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A6B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46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C4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5B564C" w14:paraId="69DB26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722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77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E82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8C5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3D3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5B564C" w14:paraId="694BCAD7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89A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FF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D23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001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846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5B564C" w14:paraId="288E77D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8422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0A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843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3B20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CF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5B564C" w14:paraId="67F971BF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1C3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45A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3F3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289B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884B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B564C" w14:paraId="0472B5E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97A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29C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2F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9FA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3F06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5B564C" w14:paraId="5DE56D90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927F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591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FB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B9F8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406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B564C" w14:paraId="65619E9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109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648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3B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0EA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EE0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5B564C" w14:paraId="3988FBEA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FAF2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72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CD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BAD7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6C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B564C" w14:paraId="5FD73F21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134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E3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6E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B2FE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F62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5B564C" w14:paraId="3C32E689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D0D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1F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1FA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1CC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477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B564C" w14:paraId="78C8A3F3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4DB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C4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CEB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B7D6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94E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5B564C" w14:paraId="0998C544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992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BB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B96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B47F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3F2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5B564C" w14:paraId="370B78C8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6C1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670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773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CF6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A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5B564C" w14:paraId="23E14A9C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70F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0B1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02F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7984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B31E" w14:textId="77777777" w:rsidR="009654DA" w:rsidRPr="005B564C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5B564C" w14:paraId="0EF44626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0BC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99C1B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6691D" w14:textId="77777777" w:rsidR="009654DA" w:rsidRPr="005B564C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4F1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AF5C" w14:textId="77777777" w:rsidR="009654DA" w:rsidRPr="005B564C" w:rsidRDefault="009654DA" w:rsidP="009654DA">
            <w:pPr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5B564C" w14:paraId="0FC0E589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DE98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F4C" w14:textId="77777777" w:rsidR="009654DA" w:rsidRPr="005B564C" w:rsidRDefault="00903FE0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DE6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AA0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D32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5B564C" w14:paraId="007F3BDF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8199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B9B4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04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A7D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353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5B564C" w14:paraId="4A9FE084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8DCA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91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016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2400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87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5B564C" w14:paraId="7B357DBC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FD25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6271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F0A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FFF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498D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Apartado </w:t>
            </w:r>
            <w:proofErr w:type="gramStart"/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específico</w:t>
            </w:r>
            <w:proofErr w:type="gramEnd"/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 xml:space="preserve"> pero NO en la página de inicio</w:t>
            </w:r>
          </w:p>
        </w:tc>
      </w:tr>
      <w:tr w:rsidR="009654DA" w:rsidRPr="005B564C" w14:paraId="1389FC43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59B7E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6E7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57F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A136" w14:textId="77777777" w:rsidR="009654DA" w:rsidRPr="005B564C" w:rsidRDefault="009654DA" w:rsidP="009654DA">
            <w:pPr>
              <w:jc w:val="center"/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7A00" w14:textId="77777777" w:rsidR="009654DA" w:rsidRPr="005B564C" w:rsidRDefault="009654DA" w:rsidP="009654DA">
            <w:pPr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</w:pPr>
            <w:r w:rsidRPr="005B564C">
              <w:rPr>
                <w:rFonts w:ascii="Mulish" w:eastAsia="Times New Roman" w:hAnsi="Mulish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2F9F5AE7" w14:textId="77777777" w:rsidR="00965C69" w:rsidRPr="005B564C" w:rsidRDefault="00965C69" w:rsidP="00965C69">
      <w:pPr>
        <w:pStyle w:val="Cuerpodelboletn"/>
        <w:rPr>
          <w:rFonts w:ascii="Mulish" w:hAnsi="Mulish"/>
        </w:rPr>
      </w:pPr>
    </w:p>
    <w:sectPr w:rsidR="00965C69" w:rsidRPr="005B564C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7F0" w14:textId="77777777" w:rsidR="00EB68A3" w:rsidRDefault="00EB68A3" w:rsidP="00F31BC3">
      <w:r>
        <w:separator/>
      </w:r>
    </w:p>
  </w:endnote>
  <w:endnote w:type="continuationSeparator" w:id="0">
    <w:p w14:paraId="403499C5" w14:textId="77777777" w:rsidR="00EB68A3" w:rsidRDefault="00EB68A3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1C7C" w14:textId="77777777" w:rsidR="00DB4A1D" w:rsidRDefault="00DB4A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EB4F" w14:textId="77777777" w:rsidR="00DB4A1D" w:rsidRDefault="00DB4A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07E" w14:textId="77777777" w:rsidR="00DB4A1D" w:rsidRDefault="00DB4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6D46" w14:textId="77777777" w:rsidR="00EB68A3" w:rsidRDefault="00EB68A3" w:rsidP="00F31BC3">
      <w:r>
        <w:separator/>
      </w:r>
    </w:p>
  </w:footnote>
  <w:footnote w:type="continuationSeparator" w:id="0">
    <w:p w14:paraId="6D68EE0F" w14:textId="77777777" w:rsidR="00EB68A3" w:rsidRDefault="00EB68A3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A84" w14:textId="0AF77031" w:rsidR="00DB4A1D" w:rsidRDefault="00DB4A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7C3D" w14:textId="5197C5EA" w:rsidR="00DB4A1D" w:rsidRDefault="00DB4A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62F5" w14:textId="757B018D" w:rsidR="00DB4A1D" w:rsidRDefault="00DB4A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7B521C"/>
    <w:multiLevelType w:val="hybridMultilevel"/>
    <w:tmpl w:val="7A16356C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F38E9"/>
    <w:multiLevelType w:val="hybridMultilevel"/>
    <w:tmpl w:val="671E4908"/>
    <w:lvl w:ilvl="0" w:tplc="9DD44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67E96"/>
    <w:multiLevelType w:val="hybridMultilevel"/>
    <w:tmpl w:val="BA04DCC4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550"/>
    <w:multiLevelType w:val="hybridMultilevel"/>
    <w:tmpl w:val="C720C34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293"/>
    <w:multiLevelType w:val="hybridMultilevel"/>
    <w:tmpl w:val="016E25D0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 w15:restartNumberingAfterBreak="0">
    <w:nsid w:val="3987320E"/>
    <w:multiLevelType w:val="hybridMultilevel"/>
    <w:tmpl w:val="B0E838BE"/>
    <w:lvl w:ilvl="0" w:tplc="ACD03D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61C3"/>
    <w:multiLevelType w:val="hybridMultilevel"/>
    <w:tmpl w:val="14F6A8B2"/>
    <w:lvl w:ilvl="0" w:tplc="6A3AB4BA">
      <w:start w:val="1"/>
      <w:numFmt w:val="bullet"/>
      <w:lvlText w:val=""/>
      <w:lvlJc w:val="center"/>
      <w:pPr>
        <w:ind w:left="786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B85"/>
    <w:multiLevelType w:val="hybridMultilevel"/>
    <w:tmpl w:val="F1E8E0E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766EA"/>
    <w:multiLevelType w:val="hybridMultilevel"/>
    <w:tmpl w:val="C1FEB768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2FA"/>
    <w:multiLevelType w:val="hybridMultilevel"/>
    <w:tmpl w:val="229C424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0"/>
  </w:num>
  <w:num w:numId="5">
    <w:abstractNumId w:val="21"/>
  </w:num>
  <w:num w:numId="6">
    <w:abstractNumId w:val="23"/>
  </w:num>
  <w:num w:numId="7">
    <w:abstractNumId w:val="20"/>
  </w:num>
  <w:num w:numId="8">
    <w:abstractNumId w:val="1"/>
  </w:num>
  <w:num w:numId="9">
    <w:abstractNumId w:val="5"/>
  </w:num>
  <w:num w:numId="10">
    <w:abstractNumId w:val="3"/>
  </w:num>
  <w:num w:numId="11">
    <w:abstractNumId w:val="25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27"/>
  </w:num>
  <w:num w:numId="17">
    <w:abstractNumId w:val="15"/>
  </w:num>
  <w:num w:numId="18">
    <w:abstractNumId w:val="9"/>
  </w:num>
  <w:num w:numId="19">
    <w:abstractNumId w:val="6"/>
  </w:num>
  <w:num w:numId="20">
    <w:abstractNumId w:val="22"/>
  </w:num>
  <w:num w:numId="21">
    <w:abstractNumId w:val="8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  <w:num w:numId="26">
    <w:abstractNumId w:val="10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C"/>
    <w:rsid w:val="0000112E"/>
    <w:rsid w:val="00006957"/>
    <w:rsid w:val="00011946"/>
    <w:rsid w:val="00016718"/>
    <w:rsid w:val="00032D8A"/>
    <w:rsid w:val="00040AF4"/>
    <w:rsid w:val="00040DB2"/>
    <w:rsid w:val="00053A0E"/>
    <w:rsid w:val="0005642F"/>
    <w:rsid w:val="0006621B"/>
    <w:rsid w:val="00072B7E"/>
    <w:rsid w:val="000775A5"/>
    <w:rsid w:val="00085C93"/>
    <w:rsid w:val="00096BA7"/>
    <w:rsid w:val="000A7668"/>
    <w:rsid w:val="000A77F5"/>
    <w:rsid w:val="000B14B9"/>
    <w:rsid w:val="000D3907"/>
    <w:rsid w:val="000D5417"/>
    <w:rsid w:val="000E0A9E"/>
    <w:rsid w:val="000F0DA5"/>
    <w:rsid w:val="00104DE9"/>
    <w:rsid w:val="00104E94"/>
    <w:rsid w:val="001149B1"/>
    <w:rsid w:val="001238DB"/>
    <w:rsid w:val="00132732"/>
    <w:rsid w:val="0013450B"/>
    <w:rsid w:val="00146C3C"/>
    <w:rsid w:val="00164876"/>
    <w:rsid w:val="00166259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347EF"/>
    <w:rsid w:val="00243294"/>
    <w:rsid w:val="00244EDA"/>
    <w:rsid w:val="002467FA"/>
    <w:rsid w:val="00246B40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3060"/>
    <w:rsid w:val="00337C82"/>
    <w:rsid w:val="00347877"/>
    <w:rsid w:val="00352994"/>
    <w:rsid w:val="00355DC0"/>
    <w:rsid w:val="003642A6"/>
    <w:rsid w:val="003707BF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250E4"/>
    <w:rsid w:val="00450A7A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D57"/>
    <w:rsid w:val="00521C69"/>
    <w:rsid w:val="005301DF"/>
    <w:rsid w:val="00536832"/>
    <w:rsid w:val="00540929"/>
    <w:rsid w:val="0056327A"/>
    <w:rsid w:val="00563295"/>
    <w:rsid w:val="00564E23"/>
    <w:rsid w:val="00575611"/>
    <w:rsid w:val="00582A8C"/>
    <w:rsid w:val="00585171"/>
    <w:rsid w:val="005B1544"/>
    <w:rsid w:val="005B564C"/>
    <w:rsid w:val="005C4778"/>
    <w:rsid w:val="005D5014"/>
    <w:rsid w:val="005E2505"/>
    <w:rsid w:val="005E6704"/>
    <w:rsid w:val="005F580F"/>
    <w:rsid w:val="00603DFC"/>
    <w:rsid w:val="00607613"/>
    <w:rsid w:val="00620CDB"/>
    <w:rsid w:val="00623CFC"/>
    <w:rsid w:val="006253FA"/>
    <w:rsid w:val="006266A5"/>
    <w:rsid w:val="00633EAA"/>
    <w:rsid w:val="00652D56"/>
    <w:rsid w:val="00690065"/>
    <w:rsid w:val="0069423E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23F5"/>
    <w:rsid w:val="007942B7"/>
    <w:rsid w:val="007954A6"/>
    <w:rsid w:val="007A1372"/>
    <w:rsid w:val="007A488D"/>
    <w:rsid w:val="007A6E69"/>
    <w:rsid w:val="007B216E"/>
    <w:rsid w:val="007C65C5"/>
    <w:rsid w:val="007D1701"/>
    <w:rsid w:val="007D5CBF"/>
    <w:rsid w:val="007D5FDD"/>
    <w:rsid w:val="007D69D9"/>
    <w:rsid w:val="007F1D56"/>
    <w:rsid w:val="007F41AC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3990"/>
    <w:rsid w:val="00894358"/>
    <w:rsid w:val="0089455A"/>
    <w:rsid w:val="008977C3"/>
    <w:rsid w:val="00897D04"/>
    <w:rsid w:val="008A5AAE"/>
    <w:rsid w:val="008D1784"/>
    <w:rsid w:val="008D6E75"/>
    <w:rsid w:val="008F2EF6"/>
    <w:rsid w:val="00902A71"/>
    <w:rsid w:val="009039FD"/>
    <w:rsid w:val="00903FE0"/>
    <w:rsid w:val="00912DB4"/>
    <w:rsid w:val="009172F0"/>
    <w:rsid w:val="00947271"/>
    <w:rsid w:val="009654DA"/>
    <w:rsid w:val="00965C69"/>
    <w:rsid w:val="00982299"/>
    <w:rsid w:val="0099187B"/>
    <w:rsid w:val="009A0CAE"/>
    <w:rsid w:val="009B48FD"/>
    <w:rsid w:val="009B75CD"/>
    <w:rsid w:val="009C5469"/>
    <w:rsid w:val="009D35A4"/>
    <w:rsid w:val="009D3CC3"/>
    <w:rsid w:val="009D4047"/>
    <w:rsid w:val="009D78D2"/>
    <w:rsid w:val="009E049D"/>
    <w:rsid w:val="009E1312"/>
    <w:rsid w:val="009E2E6F"/>
    <w:rsid w:val="009E49C7"/>
    <w:rsid w:val="009E7254"/>
    <w:rsid w:val="009F2835"/>
    <w:rsid w:val="00A03993"/>
    <w:rsid w:val="00A05F57"/>
    <w:rsid w:val="00A0626F"/>
    <w:rsid w:val="00A06BF1"/>
    <w:rsid w:val="00A10B8C"/>
    <w:rsid w:val="00A1361E"/>
    <w:rsid w:val="00A249BB"/>
    <w:rsid w:val="00A24E51"/>
    <w:rsid w:val="00A50DBC"/>
    <w:rsid w:val="00A51AAD"/>
    <w:rsid w:val="00A51BFC"/>
    <w:rsid w:val="00A536E3"/>
    <w:rsid w:val="00A670E9"/>
    <w:rsid w:val="00A82709"/>
    <w:rsid w:val="00AA0AE1"/>
    <w:rsid w:val="00AC2723"/>
    <w:rsid w:val="00AC4A6F"/>
    <w:rsid w:val="00AD0890"/>
    <w:rsid w:val="00AD6065"/>
    <w:rsid w:val="00AE4F68"/>
    <w:rsid w:val="00AE6A4F"/>
    <w:rsid w:val="00AF196B"/>
    <w:rsid w:val="00AF5151"/>
    <w:rsid w:val="00B1184C"/>
    <w:rsid w:val="00B220EC"/>
    <w:rsid w:val="00B325ED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BE513D"/>
    <w:rsid w:val="00BF75B4"/>
    <w:rsid w:val="00C02953"/>
    <w:rsid w:val="00C1290B"/>
    <w:rsid w:val="00C14BF7"/>
    <w:rsid w:val="00C213EC"/>
    <w:rsid w:val="00C22B10"/>
    <w:rsid w:val="00C24010"/>
    <w:rsid w:val="00C259F4"/>
    <w:rsid w:val="00C26ADC"/>
    <w:rsid w:val="00C27705"/>
    <w:rsid w:val="00C3228C"/>
    <w:rsid w:val="00C4050E"/>
    <w:rsid w:val="00C4208D"/>
    <w:rsid w:val="00C4430D"/>
    <w:rsid w:val="00C451D3"/>
    <w:rsid w:val="00C5055D"/>
    <w:rsid w:val="00C52EE5"/>
    <w:rsid w:val="00C54D21"/>
    <w:rsid w:val="00C555C6"/>
    <w:rsid w:val="00C61E7F"/>
    <w:rsid w:val="00C66E73"/>
    <w:rsid w:val="00C73055"/>
    <w:rsid w:val="00C74EDD"/>
    <w:rsid w:val="00C90A32"/>
    <w:rsid w:val="00C91330"/>
    <w:rsid w:val="00CB5BE7"/>
    <w:rsid w:val="00CB6837"/>
    <w:rsid w:val="00CC3B31"/>
    <w:rsid w:val="00CC48E8"/>
    <w:rsid w:val="00CD3DE8"/>
    <w:rsid w:val="00CE59CA"/>
    <w:rsid w:val="00CF21EB"/>
    <w:rsid w:val="00D014E1"/>
    <w:rsid w:val="00D01CA1"/>
    <w:rsid w:val="00D1453D"/>
    <w:rsid w:val="00D41F4C"/>
    <w:rsid w:val="00D43B6F"/>
    <w:rsid w:val="00D45F5C"/>
    <w:rsid w:val="00D4777C"/>
    <w:rsid w:val="00D520C8"/>
    <w:rsid w:val="00D70570"/>
    <w:rsid w:val="00D77D83"/>
    <w:rsid w:val="00D9090A"/>
    <w:rsid w:val="00D96084"/>
    <w:rsid w:val="00DA6660"/>
    <w:rsid w:val="00DB4A1D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265DB"/>
    <w:rsid w:val="00E33169"/>
    <w:rsid w:val="00E36285"/>
    <w:rsid w:val="00E51AC4"/>
    <w:rsid w:val="00E6528C"/>
    <w:rsid w:val="00E71514"/>
    <w:rsid w:val="00E73F4D"/>
    <w:rsid w:val="00E83650"/>
    <w:rsid w:val="00E9162C"/>
    <w:rsid w:val="00EA529B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26CC7"/>
    <w:rsid w:val="00F31BC3"/>
    <w:rsid w:val="00F36022"/>
    <w:rsid w:val="00F361B3"/>
    <w:rsid w:val="00F54A8F"/>
    <w:rsid w:val="00F614CD"/>
    <w:rsid w:val="00F66626"/>
    <w:rsid w:val="00F7274D"/>
    <w:rsid w:val="00F95333"/>
    <w:rsid w:val="00FA0C58"/>
    <w:rsid w:val="00FA11BE"/>
    <w:rsid w:val="00FA1911"/>
    <w:rsid w:val="00FA5997"/>
    <w:rsid w:val="00FA5AFD"/>
    <w:rsid w:val="00FB5F9E"/>
    <w:rsid w:val="00FB6D50"/>
    <w:rsid w:val="00FC4E74"/>
    <w:rsid w:val="00FD375A"/>
    <w:rsid w:val="00FD4E10"/>
    <w:rsid w:val="00FD5B4C"/>
    <w:rsid w:val="00FF235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B3A1068"/>
  <w15:docId w15:val="{0DA303E3-3A6F-44A6-BD5F-0E345DC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30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30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306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30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306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3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D53E7-6AA1-4200-B7BE-55FCD48A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321</TotalTime>
  <Pages>6</Pages>
  <Words>1142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 MARIA RUIZ MARTINEZ</cp:lastModifiedBy>
  <cp:revision>9</cp:revision>
  <cp:lastPrinted>2008-09-26T23:14:00Z</cp:lastPrinted>
  <dcterms:created xsi:type="dcterms:W3CDTF">2024-03-07T09:15:00Z</dcterms:created>
  <dcterms:modified xsi:type="dcterms:W3CDTF">2024-05-21T08:38:00Z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